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b/>
          <w:sz w:val="22"/>
        </w:rPr>
      </w:pPr>
    </w:p>
    <w:p>
      <w:pPr>
        <w:jc w:val="left"/>
        <w:rPr>
          <w:rFonts w:asciiTheme="majorEastAsia" w:hAnsiTheme="majorEastAsia" w:eastAsiaTheme="majorEastAsia"/>
          <w:b/>
          <w:sz w:val="22"/>
        </w:rPr>
      </w:pPr>
    </w:p>
    <w:p>
      <w:pPr>
        <w:jc w:val="left"/>
        <w:rPr>
          <w:rFonts w:asciiTheme="majorEastAsia" w:hAnsiTheme="majorEastAsia" w:eastAsiaTheme="majorEastAsia"/>
          <w:b/>
          <w:sz w:val="22"/>
        </w:rPr>
      </w:pPr>
    </w:p>
    <w:p>
      <w:pPr>
        <w:jc w:val="left"/>
        <w:rPr>
          <w:rFonts w:asciiTheme="majorEastAsia" w:hAnsiTheme="majorEastAsia" w:eastAsiaTheme="majorEastAsia"/>
          <w:b/>
          <w:sz w:val="22"/>
        </w:rPr>
      </w:pPr>
    </w:p>
    <w:p>
      <w:pPr>
        <w:jc w:val="left"/>
        <w:rPr>
          <w:rFonts w:asciiTheme="majorEastAsia" w:hAnsiTheme="majorEastAsia" w:eastAsiaTheme="majorEastAsia"/>
          <w:b/>
          <w:sz w:val="22"/>
        </w:rPr>
      </w:pPr>
    </w:p>
    <w:p>
      <w:pPr>
        <w:jc w:val="left"/>
        <w:rPr>
          <w:rFonts w:asciiTheme="majorEastAsia" w:hAnsiTheme="majorEastAsia" w:eastAsiaTheme="majorEastAsia"/>
          <w:b/>
          <w:sz w:val="22"/>
        </w:rPr>
      </w:pPr>
    </w:p>
    <w:p>
      <w:pPr>
        <w:jc w:val="left"/>
        <w:rPr>
          <w:rFonts w:asciiTheme="majorEastAsia" w:hAnsiTheme="majorEastAsia" w:eastAsiaTheme="majorEastAsia"/>
          <w:b/>
          <w:sz w:val="22"/>
        </w:rPr>
      </w:pPr>
    </w:p>
    <w:p>
      <w:pPr>
        <w:jc w:val="center"/>
        <w:rPr>
          <w:b/>
          <w:bCs/>
          <w:sz w:val="48"/>
          <w:szCs w:val="48"/>
        </w:rPr>
      </w:pPr>
    </w:p>
    <w:p>
      <w:pPr>
        <w:jc w:val="center"/>
        <w:rPr>
          <w:b/>
          <w:bCs/>
          <w:sz w:val="44"/>
          <w:szCs w:val="44"/>
        </w:rPr>
      </w:pPr>
    </w:p>
    <w:p>
      <w:pPr>
        <w:jc w:val="center"/>
        <w:rPr>
          <w:rFonts w:hint="eastAsia"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44"/>
          <w:szCs w:val="44"/>
        </w:rPr>
        <w:t>琼海市烟草专卖局责任清单</w:t>
      </w: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b/>
          <w:bCs/>
          <w:sz w:val="72"/>
          <w:szCs w:val="72"/>
        </w:rPr>
      </w:pPr>
    </w:p>
    <w:p>
      <w:pPr>
        <w:jc w:val="center"/>
        <w:rPr>
          <w:rFonts w:asciiTheme="minorEastAsia" w:hAnsiTheme="minorEastAsia"/>
          <w:b/>
          <w:bCs/>
          <w:sz w:val="28"/>
          <w:szCs w:val="28"/>
        </w:rPr>
      </w:pPr>
    </w:p>
    <w:p>
      <w:pPr>
        <w:jc w:val="center"/>
        <w:rPr>
          <w:b/>
          <w:bCs/>
        </w:rPr>
      </w:pPr>
    </w:p>
    <w:p>
      <w:pPr>
        <w:jc w:val="center"/>
        <w:rPr>
          <w:b/>
          <w:bCs/>
        </w:rPr>
      </w:pPr>
    </w:p>
    <w:p>
      <w:pPr>
        <w:jc w:val="center"/>
        <w:rPr>
          <w:b/>
          <w:bCs/>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sz w:val="32"/>
          <w:szCs w:val="32"/>
        </w:rPr>
      </w:pPr>
      <w:r>
        <w:rPr>
          <w:rFonts w:hint="eastAsia"/>
          <w:b/>
          <w:bCs/>
          <w:sz w:val="32"/>
          <w:szCs w:val="32"/>
        </w:rPr>
        <w:t>目    录</w:t>
      </w:r>
    </w:p>
    <w:p>
      <w:pPr>
        <w:jc w:val="center"/>
      </w:pPr>
      <w:r>
        <w:rPr>
          <w:rFonts w:hint="eastAsia"/>
          <w:sz w:val="32"/>
          <w:szCs w:val="32"/>
        </w:rPr>
        <w:t> </w:t>
      </w:r>
    </w:p>
    <w:sdt>
      <w:sdtPr>
        <w:rPr>
          <w:rFonts w:ascii="宋体" w:hAnsi="宋体" w:eastAsia="宋体"/>
        </w:rPr>
        <w:id w:val="147481995"/>
        <w:docPartObj>
          <w:docPartGallery w:val="Table of Contents"/>
          <w:docPartUnique/>
        </w:docPartObj>
      </w:sdtPr>
      <w:sdtEndPr>
        <w:rPr>
          <w:rFonts w:ascii="宋体" w:hAnsi="宋体" w:eastAsia="宋体"/>
        </w:rPr>
      </w:sdtEndPr>
      <w:sdtContent>
        <w:p/>
        <w:p>
          <w:pPr>
            <w:pStyle w:val="22"/>
            <w:tabs>
              <w:tab w:val="right" w:leader="dot" w:pos="8306"/>
            </w:tabs>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"1-1" \h \u </w:instrText>
          </w:r>
          <w:r>
            <w:rPr>
              <w:rFonts w:hint="eastAsia" w:ascii="仿宋_GB2312" w:hAnsi="仿宋_GB2312" w:eastAsia="仿宋_GB2312" w:cs="仿宋_GB2312"/>
              <w:sz w:val="28"/>
              <w:szCs w:val="28"/>
            </w:rPr>
            <w:fldChar w:fldCharType="separate"/>
          </w:r>
          <w:r>
            <w:fldChar w:fldCharType="begin"/>
          </w:r>
          <w:r>
            <w:instrText xml:space="preserve"> HYPERLINK \l "_Toc13931" </w:instrText>
          </w:r>
          <w:r>
            <w:fldChar w:fldCharType="separate"/>
          </w:r>
          <w:r>
            <w:rPr>
              <w:rFonts w:hint="eastAsia" w:ascii="仿宋_GB2312" w:hAnsi="仿宋_GB2312" w:eastAsia="仿宋_GB2312" w:cs="仿宋_GB2312"/>
              <w:sz w:val="28"/>
              <w:szCs w:val="28"/>
            </w:rPr>
            <w:t>一、部门职责登记表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_Toc13931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2"/>
            <w:tabs>
              <w:tab w:val="right" w:leader="dot" w:pos="8306"/>
            </w:tabs>
            <w:rPr>
              <w:rFonts w:ascii="仿宋_GB2312" w:hAnsi="仿宋_GB2312" w:eastAsia="仿宋_GB2312" w:cs="仿宋_GB2312"/>
              <w:sz w:val="28"/>
              <w:szCs w:val="28"/>
            </w:rPr>
          </w:pPr>
          <w:r>
            <w:fldChar w:fldCharType="begin"/>
          </w:r>
          <w:r>
            <w:instrText xml:space="preserve"> HYPERLINK \l "_Toc20787" </w:instrText>
          </w:r>
          <w:r>
            <w:fldChar w:fldCharType="separate"/>
          </w:r>
          <w:r>
            <w:rPr>
              <w:rFonts w:hint="eastAsia" w:ascii="仿宋_GB2312" w:hAnsi="仿宋_GB2312" w:eastAsia="仿宋_GB2312" w:cs="仿宋_GB2312"/>
              <w:sz w:val="28"/>
              <w:szCs w:val="28"/>
            </w:rPr>
            <w:t>二、与相关部门的职责边界登记表</w:t>
          </w:r>
          <w:r>
            <w:rPr>
              <w:rFonts w:hint="eastAsia" w:ascii="仿宋_GB2312" w:hAnsi="仿宋_GB2312" w:eastAsia="仿宋_GB2312" w:cs="仿宋_GB2312"/>
              <w:sz w:val="28"/>
              <w:szCs w:val="28"/>
            </w:rPr>
            <w:tab/>
          </w:r>
          <w:r>
            <w:rPr>
              <w:rFonts w:hint="default" w:ascii="仿宋_GB2312" w:hAnsi="仿宋_GB2312" w:eastAsia="仿宋_GB2312" w:cs="仿宋_GB2312"/>
              <w:sz w:val="28"/>
              <w:szCs w:val="28"/>
              <w:lang w:val="en"/>
            </w:rPr>
            <w:t>4</w:t>
          </w:r>
          <w:r>
            <w:rPr>
              <w:rFonts w:hint="eastAsia" w:ascii="仿宋_GB2312" w:hAnsi="仿宋_GB2312" w:eastAsia="仿宋_GB2312" w:cs="仿宋_GB2312"/>
              <w:sz w:val="28"/>
              <w:szCs w:val="28"/>
            </w:rPr>
            <w:fldChar w:fldCharType="end"/>
          </w:r>
        </w:p>
        <w:p>
          <w:pPr>
            <w:pStyle w:val="22"/>
            <w:tabs>
              <w:tab w:val="right" w:leader="dot" w:pos="8306"/>
            </w:tabs>
            <w:rPr>
              <w:rFonts w:ascii="仿宋_GB2312" w:hAnsi="仿宋_GB2312" w:eastAsia="仿宋_GB2312" w:cs="仿宋_GB2312"/>
              <w:sz w:val="28"/>
              <w:szCs w:val="28"/>
            </w:rPr>
          </w:pPr>
          <w:r>
            <w:fldChar w:fldCharType="begin"/>
          </w:r>
          <w:r>
            <w:instrText xml:space="preserve"> HYPERLINK \l "_Toc17607" </w:instrText>
          </w:r>
          <w:r>
            <w:fldChar w:fldCharType="separate"/>
          </w:r>
          <w:r>
            <w:rPr>
              <w:rFonts w:hint="eastAsia" w:ascii="仿宋_GB2312" w:hAnsi="仿宋_GB2312" w:eastAsia="仿宋_GB2312" w:cs="仿宋_GB2312"/>
              <w:sz w:val="28"/>
              <w:szCs w:val="28"/>
            </w:rPr>
            <w:t>三、事中事后监管制度</w:t>
          </w:r>
          <w:r>
            <w:rPr>
              <w:rFonts w:hint="eastAsia" w:ascii="仿宋_GB2312" w:hAnsi="仿宋_GB2312" w:eastAsia="仿宋_GB2312" w:cs="仿宋_GB2312"/>
              <w:sz w:val="28"/>
              <w:szCs w:val="28"/>
            </w:rPr>
            <w:tab/>
          </w:r>
          <w:r>
            <w:rPr>
              <w:rFonts w:hint="default" w:ascii="仿宋_GB2312" w:hAnsi="仿宋_GB2312" w:eastAsia="仿宋_GB2312" w:cs="仿宋_GB2312"/>
              <w:sz w:val="28"/>
              <w:szCs w:val="28"/>
              <w:lang w:val="en"/>
            </w:rPr>
            <w:t>6</w:t>
          </w:r>
          <w:r>
            <w:rPr>
              <w:rFonts w:hint="eastAsia" w:ascii="仿宋_GB2312" w:hAnsi="仿宋_GB2312" w:eastAsia="仿宋_GB2312" w:cs="仿宋_GB2312"/>
              <w:sz w:val="28"/>
              <w:szCs w:val="28"/>
            </w:rPr>
            <w:fldChar w:fldCharType="end"/>
          </w:r>
        </w:p>
        <w:p>
          <w:pPr>
            <w:pStyle w:val="22"/>
            <w:tabs>
              <w:tab w:val="right" w:leader="dot" w:pos="8306"/>
            </w:tabs>
            <w:rPr>
              <w:rFonts w:hint="default" w:ascii="仿宋_GB2312" w:hAnsi="仿宋_GB2312" w:eastAsia="仿宋_GB2312" w:cs="仿宋_GB2312"/>
              <w:sz w:val="28"/>
              <w:szCs w:val="28"/>
              <w:lang w:val="en"/>
            </w:rPr>
          </w:pPr>
          <w:r>
            <w:fldChar w:fldCharType="begin"/>
          </w:r>
          <w:r>
            <w:instrText xml:space="preserve"> HYPERLINK \l "_Toc28084" </w:instrText>
          </w:r>
          <w:r>
            <w:fldChar w:fldCharType="separate"/>
          </w:r>
          <w:r>
            <w:rPr>
              <w:rFonts w:hint="eastAsia" w:ascii="仿宋_GB2312" w:hAnsi="仿宋_GB2312" w:eastAsia="仿宋_GB2312" w:cs="仿宋_GB2312"/>
              <w:sz w:val="28"/>
              <w:szCs w:val="28"/>
            </w:rPr>
            <w:t>四、公共服务事项登记表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_Toc28084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lang w:val="en"/>
            </w:rPr>
            <w:t>5</w:t>
          </w:r>
        </w:p>
        <w:p>
          <w:r>
            <w:rPr>
              <w:rFonts w:hint="eastAsia" w:ascii="仿宋_GB2312" w:hAnsi="仿宋_GB2312" w:eastAsia="仿宋_GB2312" w:cs="仿宋_GB2312"/>
              <w:sz w:val="28"/>
              <w:szCs w:val="28"/>
            </w:rPr>
            <w:fldChar w:fldCharType="end"/>
          </w:r>
        </w:p>
      </w:sdtContent>
    </w:sdt>
    <w:p>
      <w:pPr>
        <w:rPr>
          <w:rFonts w:asciiTheme="majorEastAsia" w:hAnsiTheme="majorEastAsia" w:eastAsiaTheme="majorEastAsia"/>
          <w:sz w:val="22"/>
        </w:rPr>
      </w:pPr>
      <w:r>
        <w:rPr>
          <w:rFonts w:hint="eastAsia" w:asciiTheme="majorEastAsia" w:hAnsiTheme="majorEastAsia" w:eastAsiaTheme="majorEastAsia"/>
          <w:sz w:val="22"/>
        </w:rPr>
        <w:br w:type="page"/>
      </w:r>
    </w:p>
    <w:p>
      <w:pPr>
        <w:pStyle w:val="18"/>
        <w:numPr>
          <w:numId w:val="0"/>
        </w:numPr>
        <w:ind w:leftChars="0"/>
        <w:jc w:val="center"/>
        <w:outlineLvl w:val="0"/>
        <w:rPr>
          <w:rFonts w:ascii="方正小标宋_GBK" w:hAnsi="宋体" w:eastAsia="方正小标宋_GBK"/>
          <w:b/>
          <w:sz w:val="36"/>
          <w:szCs w:val="44"/>
        </w:rPr>
      </w:pPr>
      <w:bookmarkStart w:id="0" w:name="_Toc13931"/>
      <w:r>
        <w:rPr>
          <w:rFonts w:hint="eastAsia" w:ascii="方正小标宋_GBK" w:hAnsi="宋体" w:eastAsia="方正小标宋_GBK"/>
          <w:b/>
          <w:sz w:val="36"/>
          <w:szCs w:val="44"/>
          <w:lang w:eastAsia="zh-CN"/>
        </w:rPr>
        <w:t>一、</w:t>
      </w:r>
      <w:r>
        <w:rPr>
          <w:rFonts w:hint="eastAsia" w:ascii="方正小标宋_GBK" w:hAnsi="宋体" w:eastAsia="方正小标宋_GBK"/>
          <w:b/>
          <w:sz w:val="36"/>
          <w:szCs w:val="44"/>
        </w:rPr>
        <w:t>部门职责登记表</w:t>
      </w:r>
      <w:bookmarkEnd w:id="0"/>
    </w:p>
    <w:p>
      <w:pPr>
        <w:pStyle w:val="18"/>
        <w:ind w:left="-284" w:firstLine="0" w:firstLineChars="0"/>
        <w:outlineLvl w:val="0"/>
        <w:rPr>
          <w:rFonts w:hint="eastAsia" w:ascii="方正小标宋_GBK" w:hAnsi="宋体" w:eastAsia="楷体_GB2312" w:cstheme="minorBidi"/>
          <w:b/>
          <w:sz w:val="36"/>
          <w:szCs w:val="44"/>
          <w:lang w:eastAsia="zh-CN"/>
        </w:rPr>
      </w:pPr>
      <w:r>
        <w:rPr>
          <w:rFonts w:hint="eastAsia" w:ascii="楷体_GB2312" w:hAnsi="Times New Roman" w:eastAsia="楷体_GB2312"/>
          <w:b/>
          <w:sz w:val="32"/>
          <w:szCs w:val="32"/>
        </w:rPr>
        <w:t>部门名称:</w:t>
      </w:r>
      <w:r>
        <w:rPr>
          <w:rFonts w:hint="eastAsia" w:ascii="楷体_GB2312" w:hAnsi="Times New Roman" w:eastAsia="楷体_GB2312"/>
          <w:b/>
          <w:sz w:val="32"/>
          <w:szCs w:val="32"/>
          <w:lang w:eastAsia="zh-CN"/>
        </w:rPr>
        <w:t>琼海市烟草专卖局</w:t>
      </w:r>
    </w:p>
    <w:tbl>
      <w:tblPr>
        <w:tblStyle w:val="11"/>
        <w:tblW w:w="10207"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2552"/>
        <w:gridCol w:w="5670"/>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b/>
                <w:sz w:val="28"/>
                <w:szCs w:val="28"/>
              </w:rPr>
            </w:pPr>
            <w:r>
              <w:rPr>
                <w:rFonts w:hint="eastAsia"/>
                <w:b/>
                <w:sz w:val="28"/>
                <w:szCs w:val="28"/>
              </w:rPr>
              <w:t>序号</w:t>
            </w:r>
          </w:p>
        </w:tc>
        <w:tc>
          <w:tcPr>
            <w:tcW w:w="2552" w:type="dxa"/>
          </w:tcPr>
          <w:p>
            <w:pPr>
              <w:ind w:firstLine="281" w:firstLineChars="100"/>
              <w:jc w:val="center"/>
              <w:rPr>
                <w:b/>
                <w:sz w:val="28"/>
                <w:szCs w:val="28"/>
              </w:rPr>
            </w:pPr>
            <w:r>
              <w:rPr>
                <w:rFonts w:hint="eastAsia"/>
                <w:b/>
                <w:sz w:val="28"/>
                <w:szCs w:val="28"/>
              </w:rPr>
              <w:t>主要职责</w:t>
            </w:r>
          </w:p>
        </w:tc>
        <w:tc>
          <w:tcPr>
            <w:tcW w:w="5670" w:type="dxa"/>
          </w:tcPr>
          <w:p>
            <w:pPr>
              <w:jc w:val="center"/>
              <w:rPr>
                <w:b/>
                <w:sz w:val="28"/>
                <w:szCs w:val="28"/>
              </w:rPr>
            </w:pPr>
            <w:r>
              <w:rPr>
                <w:rFonts w:hint="eastAsia"/>
                <w:b/>
                <w:sz w:val="28"/>
                <w:szCs w:val="28"/>
              </w:rPr>
              <w:t>具体工作事项</w:t>
            </w:r>
          </w:p>
        </w:tc>
        <w:tc>
          <w:tcPr>
            <w:tcW w:w="1134" w:type="dxa"/>
          </w:tcPr>
          <w:p>
            <w:pPr>
              <w:ind w:firstLine="140" w:firstLineChars="50"/>
              <w:rPr>
                <w:b/>
                <w:sz w:val="28"/>
                <w:szCs w:val="28"/>
              </w:rPr>
            </w:pPr>
            <w:r>
              <w:rPr>
                <w:rFonts w:hint="eastAsia"/>
                <w:b/>
                <w:sz w:val="28"/>
                <w:szCs w:val="28"/>
              </w:rPr>
              <w:t>备 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2" w:hRule="atLeast"/>
        </w:trPr>
        <w:tc>
          <w:tcPr>
            <w:tcW w:w="851" w:type="dxa"/>
            <w:vMerge w:val="restart"/>
            <w:vAlign w:val="center"/>
          </w:tcPr>
          <w:p>
            <w:pPr>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2552" w:type="dxa"/>
            <w:vMerge w:val="restart"/>
            <w:vAlign w:val="center"/>
          </w:tcPr>
          <w:p>
            <w:pPr>
              <w:rPr>
                <w:rFonts w:asciiTheme="minorEastAsia" w:hAnsiTheme="minorEastAsia"/>
                <w:bCs/>
                <w:szCs w:val="21"/>
              </w:rPr>
            </w:pPr>
            <w:r>
              <w:rPr>
                <w:rFonts w:hint="eastAsia" w:asciiTheme="minorEastAsia" w:hAnsiTheme="minorEastAsia"/>
                <w:szCs w:val="21"/>
              </w:rPr>
              <w:t>坚持维护“统一领导、垂直管理、专卖专营”的烟草专卖体制，贯彻《</w:t>
            </w:r>
            <w:r>
              <w:rPr>
                <w:rFonts w:hint="eastAsia" w:asciiTheme="minorEastAsia" w:hAnsiTheme="minorEastAsia"/>
                <w:bCs/>
                <w:szCs w:val="21"/>
              </w:rPr>
              <w:t>中华人民共和国烟草专卖法》及《中华人民共和国烟草专卖法实施条例》等有关法律、法规以及</w:t>
            </w:r>
            <w:r>
              <w:rPr>
                <w:rFonts w:hint="eastAsia" w:asciiTheme="minorEastAsia" w:hAnsiTheme="minorEastAsia"/>
                <w:szCs w:val="21"/>
              </w:rPr>
              <w:t>行业有关政策规定；依法办理烟草专卖零售许可证，做好证件管理工作；管理、督导、检查琼海及辖区各县级局做好专卖监督管理工作，打击制假售假、走私贩私烟草制品的不法行为，为合法的卷烟生产经营活动提供保障和服务。</w:t>
            </w:r>
          </w:p>
        </w:tc>
        <w:tc>
          <w:tcPr>
            <w:tcW w:w="5670" w:type="dxa"/>
          </w:tcPr>
          <w:p>
            <w:pPr>
              <w:rPr>
                <w:rFonts w:asciiTheme="minorEastAsia" w:hAnsiTheme="minorEastAsia"/>
                <w:szCs w:val="21"/>
              </w:rPr>
            </w:pPr>
            <w:r>
              <w:rPr>
                <w:rFonts w:hint="eastAsia" w:asciiTheme="minorEastAsia" w:hAnsiTheme="minorEastAsia"/>
                <w:szCs w:val="21"/>
              </w:rPr>
              <w:t>负责制定全年工作计划并实施，根据全年工作计划，负责制定有关工作制度、规定和细则；负责制订并组织落实有关专卖监督管理与内部专卖监督管理工作的规章制度。</w:t>
            </w:r>
          </w:p>
        </w:tc>
        <w:tc>
          <w:tcPr>
            <w:tcW w:w="1134" w:type="dxa"/>
          </w:tcPr>
          <w:p>
            <w:pP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2" w:hRule="atLeast"/>
        </w:trPr>
        <w:tc>
          <w:tcPr>
            <w:tcW w:w="851" w:type="dxa"/>
            <w:vMerge w:val="continue"/>
            <w:vAlign w:val="center"/>
          </w:tcPr>
          <w:p>
            <w:pPr>
              <w:ind w:firstLine="360" w:firstLineChars="100"/>
              <w:rPr>
                <w:sz w:val="36"/>
                <w:szCs w:val="36"/>
              </w:rPr>
            </w:pPr>
          </w:p>
        </w:tc>
        <w:tc>
          <w:tcPr>
            <w:tcW w:w="2552" w:type="dxa"/>
            <w:vMerge w:val="continue"/>
            <w:vAlign w:val="center"/>
          </w:tcPr>
          <w:p>
            <w:pPr>
              <w:rPr>
                <w:rFonts w:asciiTheme="minorEastAsia" w:hAnsiTheme="minorEastAsia"/>
                <w:szCs w:val="21"/>
              </w:rPr>
            </w:pPr>
          </w:p>
        </w:tc>
        <w:tc>
          <w:tcPr>
            <w:tcW w:w="5670" w:type="dxa"/>
            <w:vAlign w:val="center"/>
          </w:tcPr>
          <w:p>
            <w:pPr>
              <w:rPr>
                <w:rFonts w:asciiTheme="minorEastAsia" w:hAnsiTheme="minorEastAsia"/>
                <w:szCs w:val="21"/>
              </w:rPr>
            </w:pPr>
            <w:r>
              <w:rPr>
                <w:rFonts w:hint="eastAsia" w:asciiTheme="minorEastAsia" w:hAnsiTheme="minorEastAsia"/>
                <w:color w:val="000000"/>
                <w:szCs w:val="21"/>
              </w:rPr>
              <w:t>审批发放烟草专卖零售许可证；审核或审批烟草专卖零售许可证延续、变更、停业、恢复营业、歇业等申请；</w:t>
            </w:r>
            <w:r>
              <w:rPr>
                <w:rFonts w:hint="eastAsia" w:asciiTheme="minorEastAsia" w:hAnsiTheme="minorEastAsia"/>
                <w:bCs/>
                <w:szCs w:val="21"/>
              </w:rPr>
              <w:t>对本辖区内许可证的使用情况进行监督检查；对县级局核发烟草专卖零售许可证进行指导；负责专卖队伍组织建设和专卖管理人员培训；负责督导考核县级局专卖管理工作。</w:t>
            </w:r>
          </w:p>
        </w:tc>
        <w:tc>
          <w:tcPr>
            <w:tcW w:w="1134" w:type="dxa"/>
          </w:tcPr>
          <w:p>
            <w:pP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34" w:hRule="atLeast"/>
        </w:trPr>
        <w:tc>
          <w:tcPr>
            <w:tcW w:w="851" w:type="dxa"/>
            <w:vMerge w:val="continue"/>
            <w:vAlign w:val="center"/>
          </w:tcPr>
          <w:p>
            <w:pPr>
              <w:ind w:firstLine="360" w:firstLineChars="100"/>
              <w:rPr>
                <w:sz w:val="36"/>
                <w:szCs w:val="36"/>
              </w:rPr>
            </w:pPr>
          </w:p>
        </w:tc>
        <w:tc>
          <w:tcPr>
            <w:tcW w:w="2552" w:type="dxa"/>
            <w:vMerge w:val="continue"/>
            <w:vAlign w:val="center"/>
          </w:tcPr>
          <w:p>
            <w:pPr>
              <w:rPr>
                <w:rFonts w:asciiTheme="minorEastAsia" w:hAnsiTheme="minorEastAsia"/>
                <w:szCs w:val="21"/>
              </w:rPr>
            </w:pPr>
          </w:p>
        </w:tc>
        <w:tc>
          <w:tcPr>
            <w:tcW w:w="5670" w:type="dxa"/>
            <w:vAlign w:val="center"/>
          </w:tcPr>
          <w:p>
            <w:pPr>
              <w:rPr>
                <w:rFonts w:asciiTheme="minorEastAsia" w:hAnsiTheme="minorEastAsia"/>
                <w:szCs w:val="21"/>
              </w:rPr>
            </w:pPr>
            <w:r>
              <w:rPr>
                <w:rFonts w:hint="eastAsia" w:asciiTheme="minorEastAsia" w:hAnsiTheme="minorEastAsia"/>
                <w:szCs w:val="21"/>
              </w:rPr>
              <w:t>依法对执行烟草专卖相关法律、法规的情况进行监督、检查；负责组织本辖区卷烟打假打私工作，负责督办或直接查处各类重大烟草违法案件，组织、指挥、协调打击制售假烟网络案件的经营和查办工作；负责协调配合相关执法、司法部门建立协作机制，建立健全行政执法与刑事司法衔接机制；负责本地区涉烟违法案件的情报信息管理工作，建立健全查处涉烟违法案件信息联动及共享机制；负责指导、监督、检查罚没物品的处理和罚没收入的管理。</w:t>
            </w:r>
          </w:p>
        </w:tc>
        <w:tc>
          <w:tcPr>
            <w:tcW w:w="1134" w:type="dxa"/>
          </w:tcPr>
          <w:p>
            <w:pP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0" w:hRule="atLeast"/>
        </w:trPr>
        <w:tc>
          <w:tcPr>
            <w:tcW w:w="851" w:type="dxa"/>
            <w:vMerge w:val="continue"/>
          </w:tcPr>
          <w:p>
            <w:pPr>
              <w:rPr>
                <w:sz w:val="36"/>
                <w:szCs w:val="36"/>
              </w:rPr>
            </w:pPr>
          </w:p>
        </w:tc>
        <w:tc>
          <w:tcPr>
            <w:tcW w:w="2552" w:type="dxa"/>
            <w:vMerge w:val="continue"/>
          </w:tcPr>
          <w:p>
            <w:pPr>
              <w:rPr>
                <w:rFonts w:asciiTheme="minorEastAsia" w:hAnsiTheme="minorEastAsia"/>
                <w:szCs w:val="21"/>
              </w:rPr>
            </w:pPr>
          </w:p>
        </w:tc>
        <w:tc>
          <w:tcPr>
            <w:tcW w:w="5670" w:type="dxa"/>
            <w:vAlign w:val="center"/>
          </w:tcPr>
          <w:p>
            <w:pPr>
              <w:rPr>
                <w:rFonts w:asciiTheme="minorEastAsia" w:hAnsiTheme="minorEastAsia"/>
                <w:color w:val="000000"/>
                <w:szCs w:val="21"/>
                <w:shd w:val="clear" w:color="auto" w:fill="FFFFFF"/>
              </w:rPr>
            </w:pPr>
            <w:r>
              <w:rPr>
                <w:rFonts w:hint="eastAsia" w:asciiTheme="minorEastAsia" w:hAnsiTheme="minorEastAsia"/>
                <w:szCs w:val="21"/>
              </w:rPr>
              <w:t>负责监督考核县级局专卖管理工作；负责组织对县级局的内部生产经营活动开展同级监管、日常监管；负责本单位行政执法错案责任追究；负责</w:t>
            </w:r>
            <w:r>
              <w:rPr>
                <w:rFonts w:hint="eastAsia" w:asciiTheme="minorEastAsia" w:hAnsiTheme="minorEastAsia"/>
                <w:bCs/>
                <w:szCs w:val="21"/>
              </w:rPr>
              <w:t>对县级局核发烟草专卖零售许可证进行指导；</w:t>
            </w:r>
            <w:r>
              <w:rPr>
                <w:rFonts w:hint="eastAsia" w:asciiTheme="minorEastAsia" w:hAnsiTheme="minorEastAsia"/>
                <w:szCs w:val="21"/>
              </w:rPr>
              <w:t>负责全市系统专卖信息化建设的实施工作。</w:t>
            </w:r>
          </w:p>
        </w:tc>
        <w:tc>
          <w:tcPr>
            <w:tcW w:w="1134" w:type="dxa"/>
          </w:tcPr>
          <w:p>
            <w:pP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0" w:hRule="atLeast"/>
        </w:trPr>
        <w:tc>
          <w:tcPr>
            <w:tcW w:w="851" w:type="dxa"/>
            <w:vMerge w:val="restart"/>
            <w:vAlign w:val="center"/>
          </w:tcPr>
          <w:p>
            <w:pPr>
              <w:ind w:firstLine="240" w:firstLineChars="100"/>
              <w:rPr>
                <w:rFonts w:hint="eastAsia" w:eastAsiaTheme="minorEastAsia"/>
                <w:sz w:val="36"/>
                <w:szCs w:val="36"/>
                <w:lang w:eastAsia="zh-CN"/>
              </w:rPr>
            </w:pPr>
            <w:r>
              <w:rPr>
                <w:rFonts w:hint="eastAsia" w:asciiTheme="majorEastAsia" w:hAnsiTheme="majorEastAsia" w:eastAsiaTheme="majorEastAsia"/>
                <w:sz w:val="24"/>
                <w:szCs w:val="24"/>
                <w:lang w:val="en-US" w:eastAsia="zh-CN"/>
              </w:rPr>
              <w:t>2</w:t>
            </w:r>
          </w:p>
        </w:tc>
        <w:tc>
          <w:tcPr>
            <w:tcW w:w="2552" w:type="dxa"/>
            <w:vMerge w:val="restart"/>
            <w:vAlign w:val="center"/>
          </w:tcPr>
          <w:p>
            <w:r>
              <w:rPr>
                <w:rFonts w:hint="eastAsia"/>
              </w:rPr>
              <w:t>负责承办辖区体制改革有关事项，办理企业的设立、合并、撤销及企业注册登记等具体工作；承办法制宣传和法律咨询工作；开展本辖区烟草专卖行政执法监督工作，监督专卖人员依法行政、文明执法。</w:t>
            </w:r>
          </w:p>
        </w:tc>
        <w:tc>
          <w:tcPr>
            <w:tcW w:w="5670" w:type="dxa"/>
            <w:vAlign w:val="center"/>
          </w:tcPr>
          <w:p>
            <w:r>
              <w:rPr>
                <w:rFonts w:hint="eastAsia"/>
              </w:rPr>
              <w:t>负责监督检查国家有关法律、法规和国家局、省局政策、规定等规范性文件在本辖区的贯彻执行情况，研究提出贯彻落实的意见；负责依法审议辖区规章制度、规范性文件报备工作和经济合同审查工作。</w:t>
            </w:r>
          </w:p>
        </w:tc>
        <w:tc>
          <w:tcPr>
            <w:tcW w:w="1134" w:type="dxa"/>
          </w:tcPr>
          <w:p>
            <w:pP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9" w:hRule="atLeast"/>
        </w:trPr>
        <w:tc>
          <w:tcPr>
            <w:tcW w:w="851" w:type="dxa"/>
            <w:vMerge w:val="continue"/>
          </w:tcPr>
          <w:p>
            <w:pPr>
              <w:rPr>
                <w:sz w:val="36"/>
                <w:szCs w:val="36"/>
              </w:rPr>
            </w:pPr>
          </w:p>
        </w:tc>
        <w:tc>
          <w:tcPr>
            <w:tcW w:w="2552" w:type="dxa"/>
            <w:vMerge w:val="continue"/>
          </w:tcPr>
          <w:p/>
        </w:tc>
        <w:tc>
          <w:tcPr>
            <w:tcW w:w="5670" w:type="dxa"/>
            <w:vAlign w:val="center"/>
          </w:tcPr>
          <w:p>
            <w:r>
              <w:rPr>
                <w:rFonts w:hint="eastAsia"/>
              </w:rPr>
              <w:t>负责辖区的法律咨询、处理法律事务工作和企业法律顾问的管理工作，组织承办有关的法律诉讼工作。</w:t>
            </w:r>
          </w:p>
        </w:tc>
        <w:tc>
          <w:tcPr>
            <w:tcW w:w="1134" w:type="dxa"/>
          </w:tcPr>
          <w:p>
            <w:pP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2" w:hRule="atLeast"/>
        </w:trPr>
        <w:tc>
          <w:tcPr>
            <w:tcW w:w="851" w:type="dxa"/>
            <w:vMerge w:val="continue"/>
          </w:tcPr>
          <w:p>
            <w:pPr>
              <w:rPr>
                <w:sz w:val="36"/>
                <w:szCs w:val="36"/>
              </w:rPr>
            </w:pPr>
          </w:p>
        </w:tc>
        <w:tc>
          <w:tcPr>
            <w:tcW w:w="2552" w:type="dxa"/>
            <w:vMerge w:val="continue"/>
          </w:tcPr>
          <w:p/>
        </w:tc>
        <w:tc>
          <w:tcPr>
            <w:tcW w:w="5670" w:type="dxa"/>
            <w:vAlign w:val="center"/>
          </w:tcPr>
          <w:p>
            <w:r>
              <w:rPr>
                <w:rFonts w:hint="eastAsia"/>
              </w:rPr>
              <w:t>负责本单位专卖行政执法案件的合法性审查工作；负责对辖</w:t>
            </w:r>
            <w:r>
              <w:rPr>
                <w:rFonts w:hint="eastAsia"/>
                <w:color w:val="auto"/>
              </w:rPr>
              <w:t>区定期开展案卷评查以及专卖行政执法责任制考核等工作；组织专卖执法人员学习有关法律法规，不断提高专卖执法队伍业务素质。</w:t>
            </w:r>
          </w:p>
        </w:tc>
        <w:tc>
          <w:tcPr>
            <w:tcW w:w="1134" w:type="dxa"/>
          </w:tcPr>
          <w:p>
            <w:pPr>
              <w:rPr>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trPr>
        <w:tc>
          <w:tcPr>
            <w:tcW w:w="851" w:type="dxa"/>
            <w:vAlign w:val="center"/>
          </w:tcPr>
          <w:p>
            <w:pPr>
              <w:ind w:firstLine="210" w:firstLineChars="100"/>
              <w:rPr>
                <w:rFonts w:hint="eastAsia" w:asciiTheme="majorEastAsia" w:hAnsiTheme="majorEastAsia" w:eastAsiaTheme="majorEastAsia"/>
                <w:szCs w:val="21"/>
                <w:lang w:val="en" w:eastAsia="zh-CN"/>
              </w:rPr>
            </w:pPr>
            <w:r>
              <w:rPr>
                <w:rFonts w:hint="eastAsia" w:asciiTheme="majorEastAsia" w:hAnsiTheme="majorEastAsia" w:eastAsiaTheme="majorEastAsia"/>
                <w:szCs w:val="21"/>
                <w:lang w:val="en-US" w:eastAsia="zh-CN"/>
              </w:rPr>
              <w:t>3</w:t>
            </w:r>
          </w:p>
        </w:tc>
        <w:tc>
          <w:tcPr>
            <w:tcW w:w="2552" w:type="dxa"/>
            <w:vAlign w:val="center"/>
          </w:tcPr>
          <w:p>
            <w:pPr>
              <w:rPr>
                <w:rFonts w:asciiTheme="minorEastAsia" w:hAnsiTheme="minorEastAsia"/>
                <w:color w:val="000000"/>
                <w:szCs w:val="21"/>
              </w:rPr>
            </w:pPr>
            <w:r>
              <w:rPr>
                <w:rFonts w:hint="eastAsia" w:asciiTheme="minorEastAsia" w:hAnsiTheme="minorEastAsia"/>
                <w:szCs w:val="21"/>
              </w:rPr>
              <w:t>承办市政府和上级部门交办的工作。</w:t>
            </w:r>
          </w:p>
        </w:tc>
        <w:tc>
          <w:tcPr>
            <w:tcW w:w="5670" w:type="dxa"/>
            <w:vAlign w:val="center"/>
          </w:tcPr>
          <w:p>
            <w:pPr>
              <w:ind w:firstLine="210" w:firstLineChars="100"/>
              <w:rPr>
                <w:rFonts w:asciiTheme="minorEastAsia" w:hAnsiTheme="minorEastAsia"/>
                <w:color w:val="000000"/>
                <w:szCs w:val="21"/>
              </w:rPr>
            </w:pPr>
            <w:r>
              <w:rPr>
                <w:rFonts w:hint="eastAsia" w:asciiTheme="minorEastAsia" w:hAnsiTheme="minorEastAsia"/>
                <w:szCs w:val="21"/>
              </w:rPr>
              <w:t>承办市政府和上级部门交办的工作。</w:t>
            </w:r>
          </w:p>
        </w:tc>
        <w:tc>
          <w:tcPr>
            <w:tcW w:w="1134" w:type="dxa"/>
          </w:tcPr>
          <w:p>
            <w:pPr>
              <w:rPr>
                <w:sz w:val="36"/>
                <w:szCs w:val="36"/>
              </w:rPr>
            </w:pPr>
          </w:p>
        </w:tc>
      </w:tr>
    </w:tbl>
    <w:p/>
    <w:p/>
    <w:p>
      <w:pPr>
        <w:spacing w:line="360" w:lineRule="exact"/>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4"/>
          <w:szCs w:val="24"/>
        </w:rPr>
        <w:t>填报人：</w:t>
      </w:r>
      <w:r>
        <w:rPr>
          <w:rFonts w:hint="eastAsia" w:ascii="仿宋_GB2312" w:hAnsi="Times New Roman" w:eastAsia="仿宋_GB2312" w:cs="Times New Roman"/>
          <w:sz w:val="24"/>
          <w:szCs w:val="24"/>
          <w:lang w:eastAsia="zh-CN"/>
        </w:rPr>
        <w:t>殷礼师</w:t>
      </w:r>
      <w:r>
        <w:rPr>
          <w:rFonts w:hint="eastAsia" w:ascii="仿宋_GB2312" w:hAnsi="Times New Roman" w:eastAsia="仿宋_GB2312" w:cs="Times New Roman"/>
          <w:sz w:val="24"/>
          <w:szCs w:val="24"/>
        </w:rPr>
        <w:t>　</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sz w:val="24"/>
          <w:szCs w:val="24"/>
        </w:rPr>
        <w:t>　填报时间：</w:t>
      </w:r>
      <w:r>
        <w:rPr>
          <w:rFonts w:hint="eastAsia" w:ascii="仿宋_GB2312" w:hAnsi="Times New Roman" w:eastAsia="仿宋_GB2312" w:cs="Times New Roman"/>
          <w:sz w:val="24"/>
          <w:szCs w:val="24"/>
          <w:lang w:val="en-US" w:eastAsia="zh-CN"/>
        </w:rPr>
        <w:t>2023年11月30日</w:t>
      </w:r>
      <w:r>
        <w:rPr>
          <w:rFonts w:hint="eastAsia" w:ascii="仿宋_GB2312" w:hAnsi="Times New Roman" w:eastAsia="仿宋_GB2312" w:cs="Times New Roman"/>
          <w:sz w:val="24"/>
          <w:szCs w:val="24"/>
        </w:rPr>
        <w:t>　</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sz w:val="24"/>
          <w:szCs w:val="24"/>
        </w:rPr>
        <w:t>联系电话：</w:t>
      </w:r>
      <w:r>
        <w:rPr>
          <w:rFonts w:hint="eastAsia" w:ascii="仿宋_GB2312" w:hAnsi="Times New Roman" w:eastAsia="仿宋_GB2312" w:cs="Times New Roman"/>
          <w:sz w:val="24"/>
          <w:szCs w:val="24"/>
          <w:lang w:val="en-US" w:eastAsia="zh-CN"/>
        </w:rPr>
        <w:t>62926316</w:t>
      </w:r>
    </w:p>
    <w:p/>
    <w:p>
      <w:pPr>
        <w:jc w:val="left"/>
        <w:rPr>
          <w:sz w:val="22"/>
        </w:rPr>
      </w:pPr>
    </w:p>
    <w:p>
      <w:pPr>
        <w:jc w:val="center"/>
        <w:outlineLvl w:val="0"/>
        <w:rPr>
          <w:rFonts w:ascii="方正小标宋_GBK" w:hAnsi="宋体" w:eastAsia="方正小标宋_GBK"/>
          <w:b/>
          <w:sz w:val="36"/>
          <w:szCs w:val="44"/>
        </w:rPr>
      </w:pPr>
      <w:bookmarkStart w:id="1" w:name="_Toc20787"/>
      <w:r>
        <w:rPr>
          <w:rFonts w:hint="eastAsia" w:ascii="方正小标宋_GBK" w:hAnsi="宋体" w:eastAsia="方正小标宋_GBK"/>
          <w:b/>
          <w:sz w:val="36"/>
          <w:szCs w:val="44"/>
        </w:rPr>
        <w:t>二、与相关部门的职责边界登记表</w:t>
      </w:r>
      <w:bookmarkEnd w:id="1"/>
    </w:p>
    <w:p>
      <w:pPr>
        <w:pStyle w:val="18"/>
        <w:ind w:left="-284" w:firstLine="0" w:firstLineChars="0"/>
        <w:outlineLvl w:val="0"/>
        <w:rPr>
          <w:rFonts w:ascii="方正小标宋_GBK" w:hAnsi="宋体" w:eastAsia="方正小标宋_GBK" w:cstheme="minorBidi"/>
          <w:b/>
          <w:sz w:val="36"/>
          <w:szCs w:val="44"/>
        </w:rPr>
      </w:pPr>
      <w:r>
        <w:rPr>
          <w:rFonts w:hint="eastAsia" w:ascii="楷体_GB2312" w:hAnsi="Times New Roman" w:eastAsia="楷体_GB2312"/>
          <w:b/>
          <w:sz w:val="32"/>
          <w:szCs w:val="32"/>
        </w:rPr>
        <w:t>部门名称:</w:t>
      </w:r>
      <w:r>
        <w:rPr>
          <w:rFonts w:hint="eastAsia" w:ascii="楷体_GB2312" w:hAnsi="Times New Roman" w:eastAsia="楷体_GB2312"/>
          <w:b/>
          <w:sz w:val="32"/>
          <w:szCs w:val="32"/>
          <w:lang w:eastAsia="zh-CN"/>
        </w:rPr>
        <w:t>琼海市烟草专卖局</w:t>
      </w:r>
    </w:p>
    <w:tbl>
      <w:tblPr>
        <w:tblStyle w:val="10"/>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76"/>
        <w:gridCol w:w="1276"/>
        <w:gridCol w:w="2126"/>
        <w:gridCol w:w="255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9" w:type="dxa"/>
            <w:vAlign w:val="center"/>
          </w:tcPr>
          <w:p>
            <w:pPr>
              <w:jc w:val="center"/>
              <w:rPr>
                <w:b/>
                <w:sz w:val="24"/>
              </w:rPr>
            </w:pPr>
            <w:r>
              <w:rPr>
                <w:rFonts w:hint="eastAsia"/>
                <w:b/>
                <w:sz w:val="24"/>
              </w:rPr>
              <w:t>序号</w:t>
            </w:r>
          </w:p>
        </w:tc>
        <w:tc>
          <w:tcPr>
            <w:tcW w:w="1276" w:type="dxa"/>
            <w:vAlign w:val="center"/>
          </w:tcPr>
          <w:p>
            <w:pPr>
              <w:jc w:val="center"/>
              <w:rPr>
                <w:b/>
                <w:sz w:val="24"/>
              </w:rPr>
            </w:pPr>
            <w:r>
              <w:rPr>
                <w:rFonts w:hint="eastAsia"/>
                <w:b/>
                <w:sz w:val="24"/>
              </w:rPr>
              <w:t>管理事项</w:t>
            </w:r>
          </w:p>
        </w:tc>
        <w:tc>
          <w:tcPr>
            <w:tcW w:w="1276" w:type="dxa"/>
            <w:vAlign w:val="center"/>
          </w:tcPr>
          <w:p>
            <w:pPr>
              <w:jc w:val="center"/>
              <w:rPr>
                <w:b/>
                <w:sz w:val="24"/>
              </w:rPr>
            </w:pPr>
            <w:r>
              <w:rPr>
                <w:rFonts w:hint="eastAsia"/>
                <w:b/>
                <w:sz w:val="24"/>
              </w:rPr>
              <w:t>相关部门</w:t>
            </w:r>
          </w:p>
        </w:tc>
        <w:tc>
          <w:tcPr>
            <w:tcW w:w="2126" w:type="dxa"/>
            <w:vAlign w:val="center"/>
          </w:tcPr>
          <w:p>
            <w:pPr>
              <w:jc w:val="center"/>
              <w:rPr>
                <w:b/>
                <w:sz w:val="24"/>
              </w:rPr>
            </w:pPr>
            <w:r>
              <w:rPr>
                <w:rFonts w:hint="eastAsia"/>
                <w:b/>
                <w:sz w:val="24"/>
              </w:rPr>
              <w:t>职责分工</w:t>
            </w:r>
          </w:p>
        </w:tc>
        <w:tc>
          <w:tcPr>
            <w:tcW w:w="2552" w:type="dxa"/>
            <w:vAlign w:val="center"/>
          </w:tcPr>
          <w:p>
            <w:pPr>
              <w:jc w:val="center"/>
              <w:rPr>
                <w:b/>
                <w:sz w:val="24"/>
              </w:rPr>
            </w:pPr>
            <w:r>
              <w:rPr>
                <w:rFonts w:hint="eastAsia"/>
                <w:b/>
                <w:sz w:val="24"/>
              </w:rPr>
              <w:t>相关依据</w:t>
            </w:r>
          </w:p>
        </w:tc>
        <w:tc>
          <w:tcPr>
            <w:tcW w:w="1984" w:type="dxa"/>
            <w:vAlign w:val="center"/>
          </w:tcPr>
          <w:p>
            <w:pPr>
              <w:jc w:val="center"/>
              <w:rPr>
                <w:b/>
                <w:sz w:val="24"/>
              </w:rPr>
            </w:pPr>
            <w:r>
              <w:rPr>
                <w:rFonts w:hint="eastAsia"/>
                <w:b/>
                <w:sz w:val="24"/>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8" w:hRule="atLeast"/>
          <w:jc w:val="center"/>
        </w:trPr>
        <w:tc>
          <w:tcPr>
            <w:tcW w:w="709" w:type="dxa"/>
            <w:vMerge w:val="restart"/>
            <w:shd w:val="clear" w:color="auto" w:fill="auto"/>
            <w:vAlign w:val="center"/>
          </w:tcPr>
          <w:p>
            <w:pPr>
              <w:jc w:val="center"/>
            </w:pPr>
            <w:r>
              <w:rPr>
                <w:rFonts w:hint="eastAsia"/>
              </w:rPr>
              <w:t>1</w:t>
            </w:r>
          </w:p>
          <w:p>
            <w:pPr>
              <w:jc w:val="center"/>
            </w:pPr>
          </w:p>
        </w:tc>
        <w:tc>
          <w:tcPr>
            <w:tcW w:w="1276" w:type="dxa"/>
            <w:vMerge w:val="restart"/>
            <w:shd w:val="clear" w:color="auto" w:fill="auto"/>
            <w:vAlign w:val="center"/>
          </w:tcPr>
          <w:p>
            <w:r>
              <w:rPr>
                <w:rFonts w:hint="eastAsia" w:ascii="宋体" w:hAnsi="宋体"/>
                <w:szCs w:val="21"/>
              </w:rPr>
              <w:t>无烟草专卖零售许可证经营烟草制品零售业务（一次性销售卷烟、雪茄烟50条以下）管理</w:t>
            </w:r>
          </w:p>
        </w:tc>
        <w:tc>
          <w:tcPr>
            <w:tcW w:w="1276" w:type="dxa"/>
            <w:vAlign w:val="center"/>
          </w:tcPr>
          <w:p>
            <w:pPr>
              <w:rPr>
                <w:szCs w:val="21"/>
              </w:rPr>
            </w:pPr>
            <w:r>
              <w:rPr>
                <w:rFonts w:hint="eastAsia" w:ascii="宋体" w:hAnsi="宋体"/>
                <w:szCs w:val="21"/>
              </w:rPr>
              <w:t>烟草专卖行政主管部门</w:t>
            </w:r>
          </w:p>
        </w:tc>
        <w:tc>
          <w:tcPr>
            <w:tcW w:w="2126" w:type="dxa"/>
            <w:vAlign w:val="center"/>
          </w:tcPr>
          <w:p>
            <w:pPr>
              <w:rPr>
                <w:szCs w:val="21"/>
              </w:rPr>
            </w:pPr>
            <w:r>
              <w:rPr>
                <w:rFonts w:hint="eastAsia" w:ascii="宋体" w:hAnsi="宋体"/>
                <w:szCs w:val="21"/>
              </w:rPr>
              <w:t>负责烟草制品零售市场的日常检查，发现</w:t>
            </w:r>
            <w:r>
              <w:rPr>
                <w:rFonts w:hint="eastAsia"/>
                <w:szCs w:val="21"/>
              </w:rPr>
              <w:t>无烟草专卖零售许可证经营烟草制品零售业务</w:t>
            </w:r>
            <w:r>
              <w:rPr>
                <w:rFonts w:hint="eastAsia" w:ascii="宋体" w:hAnsi="宋体"/>
                <w:szCs w:val="21"/>
              </w:rPr>
              <w:t>的移交</w:t>
            </w:r>
            <w:r>
              <w:rPr>
                <w:rFonts w:hint="eastAsia"/>
                <w:szCs w:val="21"/>
              </w:rPr>
              <w:t>市场监督管理部门</w:t>
            </w:r>
            <w:r>
              <w:rPr>
                <w:rFonts w:hint="eastAsia" w:ascii="宋体" w:hAnsi="宋体"/>
                <w:szCs w:val="21"/>
              </w:rPr>
              <w:t>处理。</w:t>
            </w:r>
          </w:p>
        </w:tc>
        <w:tc>
          <w:tcPr>
            <w:tcW w:w="2552" w:type="dxa"/>
            <w:vMerge w:val="restart"/>
            <w:vAlign w:val="center"/>
          </w:tcPr>
          <w:p>
            <w:pPr>
              <w:rPr>
                <w:rFonts w:ascii="Arial" w:hAnsi="Arial" w:cs="Arial"/>
                <w:szCs w:val="21"/>
              </w:rPr>
            </w:pPr>
            <w:r>
              <w:rPr>
                <w:rFonts w:hint="eastAsia"/>
                <w:szCs w:val="21"/>
              </w:rPr>
              <w:t>1、《中华人民共和国烟草专卖法》；2、《中华人民共和国烟草专卖法实施条例》。</w:t>
            </w:r>
          </w:p>
        </w:tc>
        <w:tc>
          <w:tcPr>
            <w:tcW w:w="1984" w:type="dxa"/>
            <w:vMerge w:val="restart"/>
            <w:vAlign w:val="center"/>
          </w:tcPr>
          <w:p>
            <w:pPr>
              <w:rPr>
                <w:szCs w:val="21"/>
              </w:rPr>
            </w:pPr>
            <w:r>
              <w:rPr>
                <w:rFonts w:hint="eastAsia"/>
                <w:szCs w:val="21"/>
              </w:rPr>
              <w:t>琼海市烟草专卖行政主管部门负责对卷烟市场检查管理，发现无烟草专卖零售许可证经营烟草制品零售业务后，按规范程序移交市场监督管理部门，由市场监督管理部门依法进行行政处罚。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709" w:type="dxa"/>
            <w:vMerge w:val="continue"/>
            <w:shd w:val="clear" w:color="auto" w:fill="auto"/>
            <w:vAlign w:val="center"/>
          </w:tcPr>
          <w:p>
            <w:pPr>
              <w:jc w:val="center"/>
            </w:pPr>
          </w:p>
        </w:tc>
        <w:tc>
          <w:tcPr>
            <w:tcW w:w="1276" w:type="dxa"/>
            <w:vMerge w:val="continue"/>
            <w:shd w:val="clear" w:color="auto" w:fill="auto"/>
            <w:vAlign w:val="center"/>
          </w:tcPr>
          <w:p/>
        </w:tc>
        <w:tc>
          <w:tcPr>
            <w:tcW w:w="1276" w:type="dxa"/>
            <w:vAlign w:val="center"/>
          </w:tcPr>
          <w:p>
            <w:pPr>
              <w:rPr>
                <w:szCs w:val="21"/>
              </w:rPr>
            </w:pPr>
            <w:r>
              <w:rPr>
                <w:rFonts w:hint="eastAsia"/>
                <w:szCs w:val="21"/>
              </w:rPr>
              <w:t>市场监督管理部门</w:t>
            </w:r>
          </w:p>
        </w:tc>
        <w:tc>
          <w:tcPr>
            <w:tcW w:w="2126" w:type="dxa"/>
            <w:vAlign w:val="center"/>
          </w:tcPr>
          <w:p>
            <w:pPr>
              <w:autoSpaceDN w:val="0"/>
              <w:spacing w:line="300" w:lineRule="exact"/>
              <w:jc w:val="left"/>
              <w:textAlignment w:val="center"/>
              <w:rPr>
                <w:rFonts w:ascii="宋体" w:hAnsi="宋体"/>
                <w:color w:val="000000"/>
                <w:szCs w:val="21"/>
              </w:rPr>
            </w:pPr>
            <w:r>
              <w:rPr>
                <w:rFonts w:hint="eastAsia" w:ascii="宋体" w:hAnsi="宋体"/>
                <w:color w:val="000000"/>
                <w:szCs w:val="21"/>
              </w:rPr>
              <w:t>负责对</w:t>
            </w:r>
            <w:r>
              <w:rPr>
                <w:rFonts w:hint="eastAsia"/>
                <w:szCs w:val="21"/>
              </w:rPr>
              <w:t>无烟草专卖零售许可证经营烟草制品零售业务</w:t>
            </w:r>
            <w:r>
              <w:rPr>
                <w:rFonts w:hint="eastAsia" w:ascii="宋体" w:hAnsi="宋体"/>
                <w:color w:val="000000"/>
                <w:szCs w:val="21"/>
              </w:rPr>
              <w:t>的行为进行处罚，责令违法行为人停止经营烟草制品零售业务，没收违法所得，并处罚款。</w:t>
            </w:r>
          </w:p>
        </w:tc>
        <w:tc>
          <w:tcPr>
            <w:tcW w:w="2552" w:type="dxa"/>
            <w:vMerge w:val="continue"/>
            <w:vAlign w:val="center"/>
          </w:tcPr>
          <w:p/>
        </w:tc>
        <w:tc>
          <w:tcPr>
            <w:tcW w:w="198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0" w:hRule="atLeast"/>
          <w:jc w:val="center"/>
        </w:trPr>
        <w:tc>
          <w:tcPr>
            <w:tcW w:w="709" w:type="dxa"/>
            <w:vMerge w:val="restart"/>
            <w:shd w:val="clear" w:color="auto" w:fill="auto"/>
            <w:vAlign w:val="center"/>
          </w:tcPr>
          <w:p>
            <w:pPr>
              <w:jc w:val="center"/>
            </w:pPr>
            <w:r>
              <w:rPr>
                <w:rFonts w:hint="eastAsia"/>
              </w:rPr>
              <w:t>2</w:t>
            </w:r>
          </w:p>
        </w:tc>
        <w:tc>
          <w:tcPr>
            <w:tcW w:w="1276" w:type="dxa"/>
            <w:vMerge w:val="restart"/>
            <w:shd w:val="clear" w:color="auto" w:fill="auto"/>
            <w:vAlign w:val="center"/>
          </w:tcPr>
          <w:p>
            <w:pPr>
              <w:rPr>
                <w:rFonts w:ascii="宋体" w:hAnsi="宋体"/>
                <w:szCs w:val="21"/>
              </w:rPr>
            </w:pPr>
            <w:r>
              <w:rPr>
                <w:rFonts w:hint="eastAsia" w:ascii="宋体" w:hAnsi="宋体"/>
                <w:szCs w:val="21"/>
              </w:rPr>
              <w:t>非法生产、销售烟草专卖品刑事案件的查处管理</w:t>
            </w:r>
          </w:p>
        </w:tc>
        <w:tc>
          <w:tcPr>
            <w:tcW w:w="1276" w:type="dxa"/>
            <w:vAlign w:val="center"/>
          </w:tcPr>
          <w:p>
            <w:pPr>
              <w:rPr>
                <w:szCs w:val="21"/>
              </w:rPr>
            </w:pPr>
            <w:r>
              <w:rPr>
                <w:rFonts w:hint="eastAsia" w:ascii="宋体" w:hAnsi="宋体"/>
                <w:szCs w:val="21"/>
              </w:rPr>
              <w:t>烟草专卖行政主管部门</w:t>
            </w:r>
          </w:p>
        </w:tc>
        <w:tc>
          <w:tcPr>
            <w:tcW w:w="2126" w:type="dxa"/>
            <w:vAlign w:val="center"/>
          </w:tcPr>
          <w:p>
            <w:pPr>
              <w:autoSpaceDN w:val="0"/>
              <w:spacing w:line="300" w:lineRule="exact"/>
              <w:jc w:val="left"/>
              <w:textAlignment w:val="center"/>
              <w:rPr>
                <w:szCs w:val="21"/>
              </w:rPr>
            </w:pPr>
            <w:r>
              <w:rPr>
                <w:rFonts w:hint="eastAsia" w:ascii="宋体" w:hAnsi="宋体" w:eastAsia="宋体"/>
                <w:szCs w:val="21"/>
              </w:rPr>
              <w:t>负责烟草专卖品生产、销售情况的检查，发现非法生产、销售烟草专卖品涉嫌刑事犯罪的移交公安部门处理或</w:t>
            </w:r>
            <w:r>
              <w:rPr>
                <w:rFonts w:hint="eastAsia" w:ascii="宋体" w:hAnsi="宋体" w:eastAsia="宋体"/>
                <w:color w:val="000000"/>
                <w:szCs w:val="21"/>
              </w:rPr>
              <w:t>联合公安部门对非法生产、销售烟草专卖品涉嫌犯罪行为进行检查（侦查）。</w:t>
            </w:r>
          </w:p>
        </w:tc>
        <w:tc>
          <w:tcPr>
            <w:tcW w:w="2552" w:type="dxa"/>
            <w:vMerge w:val="restart"/>
            <w:vAlign w:val="center"/>
          </w:tcPr>
          <w:p>
            <w:pPr>
              <w:rPr>
                <w:b/>
              </w:rPr>
            </w:pPr>
            <w:r>
              <w:rPr>
                <w:rFonts w:hint="eastAsia" w:ascii="宋体" w:hAnsi="宋体"/>
                <w:szCs w:val="21"/>
              </w:rPr>
              <w:t>1、《中华人民共和国刑法》</w:t>
            </w:r>
            <w:r>
              <w:rPr>
                <w:rFonts w:hint="eastAsia"/>
              </w:rPr>
              <w:t>；2、《</w:t>
            </w:r>
            <w:r>
              <w:rPr>
                <w:rFonts w:hint="eastAsia" w:ascii="宋体" w:hAnsi="宋体"/>
                <w:szCs w:val="21"/>
              </w:rPr>
              <w:t>最高人民法院、最高人民检察院关于办理非法生产、销售烟草专卖品等刑事案件具体应用法律若干问题的解释》</w:t>
            </w:r>
            <w:r>
              <w:rPr>
                <w:rFonts w:hint="eastAsia" w:asciiTheme="majorEastAsia" w:hAnsiTheme="majorEastAsia" w:eastAsiaTheme="majorEastAsia"/>
              </w:rPr>
              <w:t>（</w:t>
            </w:r>
            <w:r>
              <w:rPr>
                <w:rFonts w:asciiTheme="majorEastAsia" w:hAnsiTheme="majorEastAsia" w:eastAsiaTheme="majorEastAsia"/>
              </w:rPr>
              <w:t>法释[2010]7号</w:t>
            </w:r>
            <w:r>
              <w:rPr>
                <w:rFonts w:hint="eastAsia" w:asciiTheme="majorEastAsia" w:hAnsiTheme="majorEastAsia" w:eastAsiaTheme="majorEastAsia"/>
              </w:rPr>
              <w:t>）</w:t>
            </w:r>
            <w:r>
              <w:rPr>
                <w:rFonts w:hint="eastAsia"/>
              </w:rPr>
              <w:t>；3、</w:t>
            </w:r>
            <w:r>
              <w:rPr>
                <w:rFonts w:hint="eastAsia" w:asciiTheme="minorEastAsia" w:hAnsiTheme="minorEastAsia"/>
                <w:szCs w:val="21"/>
              </w:rPr>
              <w:t>《</w:t>
            </w:r>
            <w:r>
              <w:rPr>
                <w:rFonts w:hint="eastAsia" w:ascii="宋体" w:hAnsi="宋体"/>
                <w:szCs w:val="21"/>
              </w:rPr>
              <w:t>行政执法机关移送涉嫌犯罪案件的规定》。</w:t>
            </w:r>
          </w:p>
        </w:tc>
        <w:tc>
          <w:tcPr>
            <w:tcW w:w="1984" w:type="dxa"/>
            <w:vMerge w:val="restart"/>
            <w:vAlign w:val="center"/>
          </w:tcPr>
          <w:p>
            <w:pPr>
              <w:rPr>
                <w:szCs w:val="21"/>
              </w:rPr>
            </w:pPr>
            <w:r>
              <w:rPr>
                <w:rFonts w:hint="eastAsia"/>
                <w:szCs w:val="21"/>
              </w:rPr>
              <w:t>琼海市烟草专卖行政主管部门负责对</w:t>
            </w:r>
            <w:r>
              <w:rPr>
                <w:rFonts w:hint="eastAsia" w:ascii="宋体" w:hAnsi="宋体"/>
                <w:szCs w:val="21"/>
              </w:rPr>
              <w:t>卷烟的生产销售</w:t>
            </w:r>
            <w:r>
              <w:rPr>
                <w:rFonts w:hint="eastAsia"/>
                <w:szCs w:val="21"/>
              </w:rPr>
              <w:t>检查管理，</w:t>
            </w:r>
            <w:r>
              <w:rPr>
                <w:rFonts w:hint="eastAsia" w:ascii="宋体" w:hAnsi="宋体"/>
                <w:szCs w:val="21"/>
              </w:rPr>
              <w:t>如发现</w:t>
            </w:r>
            <w:r>
              <w:rPr>
                <w:rFonts w:hint="eastAsia" w:ascii="宋体" w:hAnsi="宋体"/>
                <w:color w:val="000000"/>
                <w:szCs w:val="21"/>
              </w:rPr>
              <w:t>非法生产、销售烟草专卖品涉嫌犯罪的案件，</w:t>
            </w:r>
            <w:r>
              <w:rPr>
                <w:rFonts w:hint="eastAsia" w:ascii="宋体" w:hAnsi="宋体"/>
                <w:szCs w:val="21"/>
              </w:rPr>
              <w:t>按规范程序移交公安部门依法对其进行立案侦查或</w:t>
            </w:r>
            <w:r>
              <w:rPr>
                <w:rFonts w:hint="eastAsia" w:ascii="宋体" w:hAnsi="宋体"/>
                <w:color w:val="000000"/>
                <w:szCs w:val="21"/>
              </w:rPr>
              <w:t>联合公安部门对非法生产、销售烟草专卖品涉嫌犯罪行为进行检查（侦查）。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709" w:type="dxa"/>
            <w:vMerge w:val="continue"/>
            <w:shd w:val="clear" w:color="auto" w:fill="auto"/>
            <w:vAlign w:val="center"/>
          </w:tcPr>
          <w:p>
            <w:pPr>
              <w:jc w:val="center"/>
            </w:pPr>
          </w:p>
        </w:tc>
        <w:tc>
          <w:tcPr>
            <w:tcW w:w="1276" w:type="dxa"/>
            <w:vMerge w:val="continue"/>
            <w:shd w:val="clear" w:color="auto" w:fill="auto"/>
            <w:vAlign w:val="center"/>
          </w:tcPr>
          <w:p/>
        </w:tc>
        <w:tc>
          <w:tcPr>
            <w:tcW w:w="1276" w:type="dxa"/>
            <w:vAlign w:val="center"/>
          </w:tcPr>
          <w:p>
            <w:pPr>
              <w:rPr>
                <w:szCs w:val="21"/>
              </w:rPr>
            </w:pPr>
            <w:r>
              <w:rPr>
                <w:rFonts w:hint="eastAsia"/>
                <w:szCs w:val="21"/>
              </w:rPr>
              <w:t>公安行政管理部门</w:t>
            </w:r>
          </w:p>
        </w:tc>
        <w:tc>
          <w:tcPr>
            <w:tcW w:w="2126" w:type="dxa"/>
            <w:vAlign w:val="center"/>
          </w:tcPr>
          <w:p>
            <w:pPr>
              <w:autoSpaceDN w:val="0"/>
              <w:spacing w:line="300" w:lineRule="exact"/>
              <w:jc w:val="left"/>
              <w:textAlignment w:val="center"/>
              <w:rPr>
                <w:rFonts w:ascii="宋体" w:hAnsi="宋体"/>
                <w:color w:val="000000"/>
                <w:szCs w:val="21"/>
              </w:rPr>
            </w:pPr>
            <w:r>
              <w:rPr>
                <w:rFonts w:hint="eastAsia" w:ascii="宋体" w:hAnsi="宋体" w:eastAsia="宋体"/>
                <w:color w:val="000000"/>
                <w:szCs w:val="21"/>
              </w:rPr>
              <w:t>联合烟草专卖行政主管部门对非法生产、销售烟草专卖品涉嫌犯罪行为进行检查（侦查）或对烟草专卖行政主管部门移送涉刑案件予以审查、接收并立案侦查。</w:t>
            </w:r>
          </w:p>
        </w:tc>
        <w:tc>
          <w:tcPr>
            <w:tcW w:w="2552" w:type="dxa"/>
            <w:vMerge w:val="continue"/>
            <w:vAlign w:val="center"/>
          </w:tcPr>
          <w:p/>
        </w:tc>
        <w:tc>
          <w:tcPr>
            <w:tcW w:w="198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8" w:hRule="atLeast"/>
          <w:jc w:val="center"/>
        </w:trPr>
        <w:tc>
          <w:tcPr>
            <w:tcW w:w="709" w:type="dxa"/>
            <w:vMerge w:val="restart"/>
            <w:shd w:val="clear" w:color="auto" w:fill="auto"/>
            <w:vAlign w:val="center"/>
          </w:tcPr>
          <w:p>
            <w:pPr>
              <w:jc w:val="center"/>
              <w:rPr>
                <w:color w:val="auto"/>
              </w:rPr>
            </w:pPr>
            <w:r>
              <w:rPr>
                <w:rFonts w:hint="eastAsia"/>
                <w:color w:val="auto"/>
              </w:rPr>
              <w:t>3</w:t>
            </w:r>
          </w:p>
        </w:tc>
        <w:tc>
          <w:tcPr>
            <w:tcW w:w="1276" w:type="dxa"/>
            <w:vMerge w:val="restart"/>
            <w:shd w:val="clear" w:color="auto" w:fill="auto"/>
            <w:vAlign w:val="center"/>
          </w:tcPr>
          <w:p>
            <w:pPr>
              <w:rPr>
                <w:color w:val="auto"/>
              </w:rPr>
            </w:pPr>
            <w:r>
              <w:rPr>
                <w:rFonts w:hint="eastAsia" w:ascii="宋体" w:hAnsi="宋体"/>
                <w:color w:val="auto"/>
                <w:szCs w:val="21"/>
              </w:rPr>
              <w:t>对从事无合法来源证明进口货物经营行为的管理</w:t>
            </w:r>
          </w:p>
        </w:tc>
        <w:tc>
          <w:tcPr>
            <w:tcW w:w="1276" w:type="dxa"/>
            <w:vAlign w:val="center"/>
          </w:tcPr>
          <w:p>
            <w:pPr>
              <w:rPr>
                <w:color w:val="auto"/>
                <w:szCs w:val="21"/>
              </w:rPr>
            </w:pPr>
            <w:r>
              <w:rPr>
                <w:rFonts w:hint="eastAsia" w:ascii="宋体" w:hAnsi="宋体"/>
                <w:color w:val="auto"/>
                <w:szCs w:val="21"/>
              </w:rPr>
              <w:t>烟草专卖行政主管部门</w:t>
            </w:r>
          </w:p>
        </w:tc>
        <w:tc>
          <w:tcPr>
            <w:tcW w:w="2126" w:type="dxa"/>
            <w:vMerge w:val="restart"/>
            <w:vAlign w:val="center"/>
          </w:tcPr>
          <w:p>
            <w:pPr>
              <w:rPr>
                <w:color w:val="auto"/>
                <w:szCs w:val="21"/>
              </w:rPr>
            </w:pPr>
            <w:r>
              <w:rPr>
                <w:rFonts w:hint="eastAsia"/>
                <w:color w:val="auto"/>
                <w:szCs w:val="21"/>
              </w:rPr>
              <w:t>负责加强对进口货物经营行为的监督检查</w:t>
            </w:r>
            <w:r>
              <w:rPr>
                <w:rFonts w:hint="eastAsia" w:ascii="宋体" w:hAnsi="宋体" w:cs="宋体"/>
                <w:color w:val="auto"/>
                <w:kern w:val="0"/>
                <w:szCs w:val="21"/>
              </w:rPr>
              <w:t>。对经营无合法来源证明进口货物、涉嫌走私的，应当及时移送海关或者公安机关依法处理，对不属于走私的，依法予以查处。</w:t>
            </w:r>
          </w:p>
        </w:tc>
        <w:tc>
          <w:tcPr>
            <w:tcW w:w="2552" w:type="dxa"/>
            <w:vMerge w:val="restart"/>
            <w:vAlign w:val="center"/>
          </w:tcPr>
          <w:p>
            <w:pPr>
              <w:rPr>
                <w:rFonts w:asciiTheme="minorEastAsia" w:hAnsiTheme="minorEastAsia"/>
                <w:color w:val="auto"/>
                <w:szCs w:val="21"/>
              </w:rPr>
            </w:pPr>
            <w:r>
              <w:rPr>
                <w:rFonts w:hint="eastAsia" w:asciiTheme="minorEastAsia" w:hAnsiTheme="minorEastAsia"/>
                <w:color w:val="auto"/>
                <w:szCs w:val="21"/>
              </w:rPr>
              <w:t>《海南省反走私暂行条例》</w:t>
            </w:r>
          </w:p>
        </w:tc>
        <w:tc>
          <w:tcPr>
            <w:tcW w:w="1984" w:type="dxa"/>
            <w:vMerge w:val="restart"/>
            <w:vAlign w:val="center"/>
          </w:tcPr>
          <w:p>
            <w:pPr>
              <w:rPr>
                <w:color w:val="auto"/>
                <w:szCs w:val="21"/>
              </w:rPr>
            </w:pPr>
            <w:r>
              <w:rPr>
                <w:rFonts w:hint="eastAsia"/>
                <w:color w:val="auto"/>
                <w:szCs w:val="21"/>
              </w:rPr>
              <w:t>琼海市烟草专卖行政主管部门在日常检查时</w:t>
            </w:r>
            <w:r>
              <w:rPr>
                <w:rFonts w:hint="eastAsia" w:ascii="宋体" w:hAnsi="宋体" w:cs="宋体"/>
                <w:color w:val="auto"/>
                <w:kern w:val="0"/>
                <w:szCs w:val="21"/>
              </w:rPr>
              <w:t>对经营无合法来源证明进口货物、涉嫌走私的，应当及时移送海关或者公安机关依法处理，对不属于走私的，依法予以查处。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709" w:type="dxa"/>
            <w:vMerge w:val="continue"/>
            <w:shd w:val="clear" w:color="auto" w:fill="auto"/>
            <w:vAlign w:val="center"/>
          </w:tcPr>
          <w:p>
            <w:pPr>
              <w:jc w:val="center"/>
            </w:pPr>
          </w:p>
        </w:tc>
        <w:tc>
          <w:tcPr>
            <w:tcW w:w="1276" w:type="dxa"/>
            <w:vMerge w:val="continue"/>
            <w:shd w:val="clear" w:color="auto" w:fill="auto"/>
            <w:vAlign w:val="center"/>
          </w:tcPr>
          <w:p/>
        </w:tc>
        <w:tc>
          <w:tcPr>
            <w:tcW w:w="1276" w:type="dxa"/>
            <w:vAlign w:val="center"/>
          </w:tcPr>
          <w:p>
            <w:pPr>
              <w:rPr>
                <w:szCs w:val="21"/>
              </w:rPr>
            </w:pPr>
            <w:r>
              <w:rPr>
                <w:rFonts w:hint="eastAsia"/>
                <w:szCs w:val="21"/>
              </w:rPr>
              <w:t>海关</w:t>
            </w:r>
          </w:p>
        </w:tc>
        <w:tc>
          <w:tcPr>
            <w:tcW w:w="2126" w:type="dxa"/>
            <w:vMerge w:val="continue"/>
            <w:vAlign w:val="center"/>
          </w:tcPr>
          <w:p>
            <w:pPr>
              <w:rPr>
                <w:szCs w:val="21"/>
              </w:rPr>
            </w:pPr>
          </w:p>
        </w:tc>
        <w:tc>
          <w:tcPr>
            <w:tcW w:w="2552" w:type="dxa"/>
            <w:vMerge w:val="continue"/>
            <w:vAlign w:val="center"/>
          </w:tcPr>
          <w:p>
            <w:pPr>
              <w:ind w:firstLine="421" w:firstLineChars="200"/>
              <w:rPr>
                <w:rFonts w:asciiTheme="minorEastAsia" w:hAnsiTheme="minorEastAsia"/>
                <w:b/>
                <w:szCs w:val="21"/>
              </w:rPr>
            </w:pPr>
          </w:p>
        </w:tc>
        <w:tc>
          <w:tcPr>
            <w:tcW w:w="1984"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2" w:hRule="atLeast"/>
          <w:jc w:val="center"/>
        </w:trPr>
        <w:tc>
          <w:tcPr>
            <w:tcW w:w="709" w:type="dxa"/>
            <w:vMerge w:val="continue"/>
            <w:shd w:val="clear" w:color="auto" w:fill="auto"/>
            <w:vAlign w:val="center"/>
          </w:tcPr>
          <w:p>
            <w:pPr>
              <w:jc w:val="center"/>
            </w:pPr>
          </w:p>
        </w:tc>
        <w:tc>
          <w:tcPr>
            <w:tcW w:w="1276" w:type="dxa"/>
            <w:vMerge w:val="continue"/>
            <w:shd w:val="clear" w:color="auto" w:fill="auto"/>
            <w:vAlign w:val="center"/>
          </w:tcPr>
          <w:p/>
        </w:tc>
        <w:tc>
          <w:tcPr>
            <w:tcW w:w="1276" w:type="dxa"/>
            <w:vAlign w:val="center"/>
          </w:tcPr>
          <w:p>
            <w:pPr>
              <w:rPr>
                <w:szCs w:val="21"/>
              </w:rPr>
            </w:pPr>
            <w:r>
              <w:rPr>
                <w:rFonts w:hint="eastAsia" w:ascii="宋体" w:hAnsi="宋体"/>
                <w:szCs w:val="21"/>
              </w:rPr>
              <w:t>公安</w:t>
            </w:r>
          </w:p>
        </w:tc>
        <w:tc>
          <w:tcPr>
            <w:tcW w:w="2126" w:type="dxa"/>
            <w:vMerge w:val="continue"/>
            <w:vAlign w:val="center"/>
          </w:tcPr>
          <w:p>
            <w:pPr>
              <w:rPr>
                <w:szCs w:val="21"/>
              </w:rPr>
            </w:pPr>
          </w:p>
        </w:tc>
        <w:tc>
          <w:tcPr>
            <w:tcW w:w="2552" w:type="dxa"/>
            <w:vMerge w:val="continue"/>
            <w:vAlign w:val="center"/>
          </w:tcPr>
          <w:p>
            <w:pPr>
              <w:ind w:firstLine="421" w:firstLineChars="200"/>
              <w:rPr>
                <w:rFonts w:asciiTheme="minorEastAsia" w:hAnsiTheme="minorEastAsia"/>
                <w:b/>
                <w:szCs w:val="21"/>
              </w:rPr>
            </w:pPr>
          </w:p>
        </w:tc>
        <w:tc>
          <w:tcPr>
            <w:tcW w:w="1984"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709" w:type="dxa"/>
            <w:vMerge w:val="continue"/>
            <w:shd w:val="clear" w:color="auto" w:fill="auto"/>
            <w:vAlign w:val="center"/>
          </w:tcPr>
          <w:p>
            <w:pPr>
              <w:jc w:val="center"/>
            </w:pPr>
          </w:p>
        </w:tc>
        <w:tc>
          <w:tcPr>
            <w:tcW w:w="1276" w:type="dxa"/>
            <w:vMerge w:val="continue"/>
            <w:shd w:val="clear" w:color="auto" w:fill="auto"/>
            <w:vAlign w:val="center"/>
          </w:tcPr>
          <w:p/>
        </w:tc>
        <w:tc>
          <w:tcPr>
            <w:tcW w:w="1276" w:type="dxa"/>
            <w:vAlign w:val="center"/>
          </w:tcPr>
          <w:p>
            <w:pPr>
              <w:rPr>
                <w:rFonts w:ascii="宋体" w:hAnsi="宋体"/>
                <w:szCs w:val="21"/>
              </w:rPr>
            </w:pPr>
            <w:r>
              <w:rPr>
                <w:rFonts w:hint="eastAsia" w:ascii="宋体" w:hAnsi="宋体" w:cs="宋体"/>
                <w:kern w:val="0"/>
                <w:szCs w:val="21"/>
              </w:rPr>
              <w:t>市场监管部门</w:t>
            </w:r>
          </w:p>
        </w:tc>
        <w:tc>
          <w:tcPr>
            <w:tcW w:w="2126" w:type="dxa"/>
            <w:vMerge w:val="continue"/>
            <w:vAlign w:val="center"/>
          </w:tcPr>
          <w:p>
            <w:pPr>
              <w:rPr>
                <w:szCs w:val="21"/>
              </w:rPr>
            </w:pPr>
          </w:p>
        </w:tc>
        <w:tc>
          <w:tcPr>
            <w:tcW w:w="2552" w:type="dxa"/>
            <w:vMerge w:val="continue"/>
            <w:vAlign w:val="center"/>
          </w:tcPr>
          <w:p>
            <w:pPr>
              <w:ind w:firstLine="421" w:firstLineChars="200"/>
              <w:rPr>
                <w:rFonts w:asciiTheme="minorEastAsia" w:hAnsiTheme="minorEastAsia"/>
                <w:b/>
                <w:szCs w:val="21"/>
              </w:rPr>
            </w:pPr>
          </w:p>
        </w:tc>
        <w:tc>
          <w:tcPr>
            <w:tcW w:w="1984"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5" w:hRule="atLeast"/>
          <w:jc w:val="center"/>
        </w:trPr>
        <w:tc>
          <w:tcPr>
            <w:tcW w:w="709" w:type="dxa"/>
            <w:vMerge w:val="continue"/>
            <w:shd w:val="clear" w:color="auto" w:fill="auto"/>
            <w:vAlign w:val="center"/>
          </w:tcPr>
          <w:p>
            <w:pPr>
              <w:jc w:val="center"/>
            </w:pPr>
          </w:p>
        </w:tc>
        <w:tc>
          <w:tcPr>
            <w:tcW w:w="1276" w:type="dxa"/>
            <w:vMerge w:val="continue"/>
            <w:shd w:val="clear" w:color="auto" w:fill="auto"/>
            <w:vAlign w:val="center"/>
          </w:tcPr>
          <w:p>
            <w:pPr>
              <w:rPr>
                <w:rFonts w:ascii="宋体" w:hAnsi="宋体"/>
                <w:szCs w:val="21"/>
              </w:rPr>
            </w:pPr>
          </w:p>
        </w:tc>
        <w:tc>
          <w:tcPr>
            <w:tcW w:w="1276" w:type="dxa"/>
            <w:vAlign w:val="center"/>
          </w:tcPr>
          <w:p>
            <w:pPr>
              <w:rPr>
                <w:color w:val="auto"/>
                <w:szCs w:val="21"/>
              </w:rPr>
            </w:pPr>
            <w:r>
              <w:rPr>
                <w:rFonts w:hint="eastAsia"/>
                <w:color w:val="auto"/>
                <w:szCs w:val="21"/>
              </w:rPr>
              <w:t>海关</w:t>
            </w:r>
          </w:p>
        </w:tc>
        <w:tc>
          <w:tcPr>
            <w:tcW w:w="2126" w:type="dxa"/>
            <w:vAlign w:val="center"/>
          </w:tcPr>
          <w:p>
            <w:pPr>
              <w:rPr>
                <w:rFonts w:ascii="宋体" w:hAnsi="宋体" w:eastAsia="宋体" w:cs="宋体"/>
                <w:color w:val="auto"/>
                <w:szCs w:val="21"/>
              </w:rPr>
            </w:pPr>
            <w:r>
              <w:rPr>
                <w:rFonts w:hint="eastAsia" w:ascii="宋体" w:hAnsi="宋体" w:eastAsia="宋体" w:cs="宋体"/>
                <w:color w:val="auto"/>
                <w:szCs w:val="21"/>
              </w:rPr>
              <w:t>依法查处走私卷烟的违法行为</w:t>
            </w:r>
          </w:p>
        </w:tc>
        <w:tc>
          <w:tcPr>
            <w:tcW w:w="2552" w:type="dxa"/>
            <w:vMerge w:val="continue"/>
            <w:vAlign w:val="center"/>
          </w:tcPr>
          <w:p>
            <w:pPr>
              <w:ind w:firstLine="420" w:firstLineChars="200"/>
              <w:rPr>
                <w:rFonts w:ascii="宋体" w:hAnsi="宋体"/>
                <w:szCs w:val="21"/>
              </w:rPr>
            </w:pPr>
          </w:p>
        </w:tc>
        <w:tc>
          <w:tcPr>
            <w:tcW w:w="1984"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09" w:type="dxa"/>
            <w:vMerge w:val="restart"/>
            <w:shd w:val="clear" w:color="auto" w:fill="auto"/>
            <w:vAlign w:val="center"/>
          </w:tcPr>
          <w:p>
            <w:pPr>
              <w:jc w:val="center"/>
              <w:rPr>
                <w:rFonts w:hint="eastAsia" w:eastAsiaTheme="minorEastAsia"/>
                <w:lang w:eastAsia="zh-CN"/>
              </w:rPr>
            </w:pPr>
            <w:r>
              <w:rPr>
                <w:rFonts w:hint="eastAsia"/>
                <w:lang w:val="en-US" w:eastAsia="zh-CN"/>
              </w:rPr>
              <w:t>4</w:t>
            </w:r>
          </w:p>
        </w:tc>
        <w:tc>
          <w:tcPr>
            <w:tcW w:w="1276" w:type="dxa"/>
            <w:vMerge w:val="restart"/>
            <w:shd w:val="clear" w:color="auto" w:fill="auto"/>
            <w:vAlign w:val="center"/>
          </w:tcPr>
          <w:p>
            <w:pPr>
              <w:rPr>
                <w:rFonts w:ascii="宋体" w:hAnsi="宋体"/>
                <w:szCs w:val="21"/>
              </w:rPr>
            </w:pPr>
            <w:r>
              <w:rPr>
                <w:rFonts w:hint="eastAsia" w:ascii="宋体" w:hAnsi="宋体"/>
                <w:szCs w:val="21"/>
              </w:rPr>
              <w:t>对免税进口的烟草制品的保存管理</w:t>
            </w:r>
          </w:p>
        </w:tc>
        <w:tc>
          <w:tcPr>
            <w:tcW w:w="1276" w:type="dxa"/>
            <w:vAlign w:val="center"/>
          </w:tcPr>
          <w:p>
            <w:pPr>
              <w:rPr>
                <w:rFonts w:ascii="宋体" w:hAnsi="宋体" w:cs="宋体"/>
                <w:kern w:val="0"/>
                <w:szCs w:val="21"/>
              </w:rPr>
            </w:pPr>
            <w:r>
              <w:rPr>
                <w:rFonts w:hint="eastAsia" w:ascii="宋体" w:hAnsi="宋体"/>
                <w:szCs w:val="21"/>
              </w:rPr>
              <w:t>烟草专卖行政主管部门</w:t>
            </w:r>
          </w:p>
        </w:tc>
        <w:tc>
          <w:tcPr>
            <w:tcW w:w="2126" w:type="dxa"/>
            <w:vMerge w:val="restart"/>
            <w:vAlign w:val="center"/>
          </w:tcPr>
          <w:p>
            <w:pPr>
              <w:rPr>
                <w:szCs w:val="21"/>
              </w:rPr>
            </w:pPr>
            <w:r>
              <w:rPr>
                <w:rFonts w:ascii="宋体" w:hAnsi="宋体" w:eastAsia="宋体" w:cs="宋体"/>
                <w:szCs w:val="21"/>
              </w:rPr>
              <w:t>免税进口的烟草制品应当存放在海关指定的保税仓库内，并由国务院烟草专卖行政主管部门指定的地方烟草专卖行政主管部门与海关共同加锁管理。</w:t>
            </w:r>
          </w:p>
        </w:tc>
        <w:tc>
          <w:tcPr>
            <w:tcW w:w="2552" w:type="dxa"/>
            <w:vMerge w:val="restart"/>
            <w:vAlign w:val="center"/>
          </w:tcPr>
          <w:p>
            <w:pPr>
              <w:rPr>
                <w:rFonts w:asciiTheme="minorEastAsia" w:hAnsiTheme="minorEastAsia"/>
                <w:b/>
                <w:szCs w:val="21"/>
              </w:rPr>
            </w:pPr>
            <w:r>
              <w:rPr>
                <w:rFonts w:hint="eastAsia"/>
                <w:szCs w:val="21"/>
              </w:rPr>
              <w:t>《中华人民共和国烟草专卖法实施条例》</w:t>
            </w:r>
          </w:p>
        </w:tc>
        <w:tc>
          <w:tcPr>
            <w:tcW w:w="1984" w:type="dxa"/>
            <w:vMerge w:val="restart"/>
          </w:tcPr>
          <w:p>
            <w:pPr>
              <w:rPr>
                <w:szCs w:val="21"/>
              </w:rPr>
            </w:pPr>
          </w:p>
          <w:p>
            <w:pPr>
              <w:rPr>
                <w:szCs w:val="21"/>
              </w:rPr>
            </w:pPr>
          </w:p>
          <w:p>
            <w:pPr>
              <w:rPr>
                <w:szCs w:val="21"/>
              </w:rPr>
            </w:pPr>
            <w:r>
              <w:rPr>
                <w:rFonts w:hint="eastAsia"/>
                <w:szCs w:val="21"/>
              </w:rPr>
              <w:t>琼海市烟草专卖行政主管部门和海关共同对免税进口的烟草制品的存放地点依法进行管理。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jc w:val="center"/>
        </w:trPr>
        <w:tc>
          <w:tcPr>
            <w:tcW w:w="709" w:type="dxa"/>
            <w:vMerge w:val="continue"/>
            <w:shd w:val="clear" w:color="auto" w:fill="auto"/>
            <w:vAlign w:val="center"/>
          </w:tcPr>
          <w:p>
            <w:pPr>
              <w:jc w:val="center"/>
            </w:pPr>
          </w:p>
        </w:tc>
        <w:tc>
          <w:tcPr>
            <w:tcW w:w="1276" w:type="dxa"/>
            <w:vMerge w:val="continue"/>
            <w:shd w:val="clear" w:color="auto" w:fill="auto"/>
            <w:vAlign w:val="center"/>
          </w:tcPr>
          <w:p>
            <w:pPr>
              <w:rPr>
                <w:rFonts w:ascii="宋体" w:hAnsi="宋体"/>
                <w:szCs w:val="21"/>
              </w:rPr>
            </w:pPr>
          </w:p>
        </w:tc>
        <w:tc>
          <w:tcPr>
            <w:tcW w:w="1276" w:type="dxa"/>
            <w:vAlign w:val="center"/>
          </w:tcPr>
          <w:p>
            <w:pPr>
              <w:rPr>
                <w:rFonts w:ascii="宋体" w:hAnsi="宋体" w:cs="宋体"/>
                <w:kern w:val="0"/>
                <w:szCs w:val="21"/>
              </w:rPr>
            </w:pPr>
            <w:r>
              <w:rPr>
                <w:rFonts w:hint="eastAsia" w:ascii="宋体" w:hAnsi="宋体"/>
                <w:szCs w:val="21"/>
              </w:rPr>
              <w:t>海关</w:t>
            </w:r>
          </w:p>
        </w:tc>
        <w:tc>
          <w:tcPr>
            <w:tcW w:w="2126" w:type="dxa"/>
            <w:vMerge w:val="continue"/>
            <w:vAlign w:val="center"/>
          </w:tcPr>
          <w:p>
            <w:pPr>
              <w:rPr>
                <w:szCs w:val="21"/>
              </w:rPr>
            </w:pPr>
          </w:p>
        </w:tc>
        <w:tc>
          <w:tcPr>
            <w:tcW w:w="2552" w:type="dxa"/>
            <w:vMerge w:val="continue"/>
            <w:vAlign w:val="center"/>
          </w:tcPr>
          <w:p>
            <w:pPr>
              <w:ind w:firstLine="421" w:firstLineChars="200"/>
              <w:rPr>
                <w:rFonts w:asciiTheme="minorEastAsia" w:hAnsiTheme="minorEastAsia"/>
                <w:b/>
                <w:szCs w:val="21"/>
              </w:rPr>
            </w:pPr>
          </w:p>
        </w:tc>
        <w:tc>
          <w:tcPr>
            <w:tcW w:w="1984" w:type="dxa"/>
            <w:vMerge w:val="continue"/>
          </w:tcPr>
          <w:p>
            <w:pPr>
              <w:rPr>
                <w:szCs w:val="21"/>
              </w:rPr>
            </w:pPr>
          </w:p>
        </w:tc>
      </w:tr>
    </w:tbl>
    <w:p>
      <w:pPr>
        <w:spacing w:line="360" w:lineRule="exact"/>
        <w:ind w:firstLine="420"/>
        <w:rPr>
          <w:rFonts w:ascii="仿宋_GB2312" w:hAnsi="Times New Roman" w:eastAsia="仿宋_GB2312" w:cs="Times New Roman"/>
          <w:sz w:val="28"/>
          <w:szCs w:val="28"/>
        </w:rPr>
      </w:pPr>
    </w:p>
    <w:p>
      <w:pPr>
        <w:spacing w:line="360" w:lineRule="exact"/>
        <w:ind w:firstLine="420"/>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rPr>
        <w:t>填报人：</w:t>
      </w:r>
      <w:r>
        <w:rPr>
          <w:rFonts w:hint="eastAsia" w:ascii="仿宋_GB2312" w:hAnsi="Times New Roman" w:eastAsia="仿宋_GB2312" w:cs="Times New Roman"/>
          <w:sz w:val="24"/>
          <w:szCs w:val="24"/>
          <w:lang w:eastAsia="zh-CN"/>
        </w:rPr>
        <w:t>殷礼师</w:t>
      </w:r>
      <w:r>
        <w:rPr>
          <w:rFonts w:hint="eastAsia" w:ascii="仿宋_GB2312" w:hAnsi="Times New Roman" w:eastAsia="仿宋_GB2312" w:cs="Times New Roman"/>
          <w:sz w:val="24"/>
          <w:szCs w:val="24"/>
        </w:rPr>
        <w:t>　</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sz w:val="24"/>
          <w:szCs w:val="24"/>
        </w:rPr>
        <w:t>　填报时间：</w:t>
      </w:r>
      <w:r>
        <w:rPr>
          <w:rFonts w:hint="eastAsia" w:ascii="仿宋_GB2312" w:hAnsi="Times New Roman" w:eastAsia="仿宋_GB2312" w:cs="Times New Roman"/>
          <w:sz w:val="24"/>
          <w:szCs w:val="24"/>
          <w:lang w:val="en-US" w:eastAsia="zh-CN"/>
        </w:rPr>
        <w:t>2023年11月30日</w:t>
      </w:r>
      <w:r>
        <w:rPr>
          <w:rFonts w:hint="eastAsia" w:ascii="仿宋_GB2312" w:hAnsi="Times New Roman" w:eastAsia="仿宋_GB2312" w:cs="Times New Roman"/>
          <w:sz w:val="24"/>
          <w:szCs w:val="24"/>
        </w:rPr>
        <w:t>　</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sz w:val="24"/>
          <w:szCs w:val="24"/>
        </w:rPr>
        <w:t>联系电话：</w:t>
      </w:r>
      <w:r>
        <w:rPr>
          <w:rFonts w:hint="eastAsia" w:ascii="仿宋_GB2312" w:hAnsi="Times New Roman" w:eastAsia="仿宋_GB2312" w:cs="Times New Roman"/>
          <w:sz w:val="24"/>
          <w:szCs w:val="24"/>
          <w:lang w:val="en-US" w:eastAsia="zh-CN"/>
        </w:rPr>
        <w:t xml:space="preserve">62926316  </w:t>
      </w:r>
    </w:p>
    <w:p>
      <w:pPr>
        <w:spacing w:line="360" w:lineRule="exact"/>
        <w:ind w:firstLine="420"/>
        <w:rPr>
          <w:rFonts w:hint="eastAsia" w:ascii="仿宋_GB2312" w:hAnsi="Times New Roman" w:eastAsia="仿宋_GB2312" w:cs="Times New Roman"/>
          <w:sz w:val="24"/>
          <w:szCs w:val="24"/>
          <w:lang w:val="en-US" w:eastAsia="zh-CN"/>
        </w:rPr>
      </w:pPr>
    </w:p>
    <w:p>
      <w:pPr>
        <w:spacing w:line="360" w:lineRule="exact"/>
        <w:ind w:firstLine="420"/>
        <w:rPr>
          <w:rFonts w:hint="eastAsia" w:ascii="仿宋_GB2312" w:hAnsi="Times New Roman" w:eastAsia="仿宋_GB2312" w:cs="Times New Roman"/>
          <w:sz w:val="24"/>
          <w:szCs w:val="24"/>
          <w:lang w:val="en-US" w:eastAsia="zh-CN"/>
        </w:rPr>
      </w:pPr>
    </w:p>
    <w:p>
      <w:pPr>
        <w:spacing w:line="360" w:lineRule="exact"/>
        <w:ind w:firstLine="420"/>
        <w:rPr>
          <w:rFonts w:hint="eastAsia" w:ascii="仿宋_GB2312" w:hAnsi="Times New Roman" w:eastAsia="仿宋_GB2312" w:cs="Times New Roman"/>
          <w:sz w:val="24"/>
          <w:szCs w:val="24"/>
          <w:lang w:val="en-US" w:eastAsia="zh-CN"/>
        </w:rPr>
      </w:pPr>
    </w:p>
    <w:p>
      <w:pPr>
        <w:spacing w:line="360" w:lineRule="exact"/>
        <w:ind w:firstLine="420"/>
        <w:rPr>
          <w:rFonts w:hint="eastAsia" w:ascii="仿宋_GB2312" w:hAnsi="Times New Roman" w:eastAsia="仿宋_GB2312" w:cs="Times New Roman"/>
          <w:sz w:val="24"/>
          <w:szCs w:val="24"/>
          <w:lang w:val="en-US" w:eastAsia="zh-CN"/>
        </w:rPr>
      </w:pPr>
    </w:p>
    <w:p>
      <w:pPr>
        <w:spacing w:line="360" w:lineRule="exact"/>
        <w:ind w:firstLine="42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4"/>
          <w:szCs w:val="24"/>
          <w:lang w:val="en-US" w:eastAsia="zh-CN"/>
        </w:rPr>
        <w:t xml:space="preserve">   </w:t>
      </w:r>
    </w:p>
    <w:p/>
    <w:p>
      <w:pPr>
        <w:pStyle w:val="18"/>
        <w:numPr>
          <w:numId w:val="0"/>
        </w:numPr>
        <w:jc w:val="center"/>
        <w:outlineLvl w:val="0"/>
        <w:rPr>
          <w:rFonts w:ascii="方正小标宋_GBK" w:hAnsi="宋体" w:eastAsia="方正小标宋_GBK"/>
          <w:b/>
          <w:sz w:val="36"/>
          <w:szCs w:val="44"/>
        </w:rPr>
      </w:pPr>
      <w:bookmarkStart w:id="2" w:name="_Toc17607"/>
      <w:r>
        <w:rPr>
          <w:rFonts w:hint="eastAsia" w:ascii="方正小标宋_GBK" w:hAnsi="宋体" w:eastAsia="方正小标宋_GBK"/>
          <w:b/>
          <w:sz w:val="36"/>
          <w:szCs w:val="44"/>
          <w:lang w:val="en-US" w:eastAsia="zh-CN"/>
        </w:rPr>
        <w:t xml:space="preserve">   </w:t>
      </w:r>
      <w:r>
        <w:rPr>
          <w:rFonts w:hint="eastAsia" w:ascii="方正小标宋_GBK" w:hAnsi="宋体" w:eastAsia="方正小标宋_GBK"/>
          <w:b/>
          <w:sz w:val="36"/>
          <w:szCs w:val="44"/>
          <w:lang w:eastAsia="zh-CN"/>
        </w:rPr>
        <w:t>三、</w:t>
      </w:r>
      <w:r>
        <w:rPr>
          <w:rFonts w:hint="eastAsia" w:ascii="方正小标宋_GBK" w:hAnsi="宋体" w:eastAsia="方正小标宋_GBK"/>
          <w:b/>
          <w:sz w:val="36"/>
          <w:szCs w:val="44"/>
        </w:rPr>
        <w:t>事中事后监管制度</w:t>
      </w:r>
      <w:bookmarkEnd w:id="2"/>
    </w:p>
    <w:p>
      <w:pPr>
        <w:rPr>
          <w:rFonts w:ascii="仿宋_GB2312" w:hAnsi="宋体" w:eastAsia="仿宋_GB2312"/>
          <w:sz w:val="32"/>
          <w:szCs w:val="32"/>
        </w:rPr>
      </w:pPr>
      <w:r>
        <w:rPr>
          <w:rFonts w:hint="eastAsia" w:ascii="仿宋_GB2312" w:eastAsia="仿宋_GB2312"/>
          <w:sz w:val="32"/>
          <w:szCs w:val="32"/>
        </w:rPr>
        <w:t>单位：</w:t>
      </w:r>
      <w:r>
        <w:rPr>
          <w:rFonts w:hint="eastAsia" w:ascii="仿宋_GB2312" w:hAnsi="宋体" w:eastAsia="仿宋_GB2312"/>
          <w:sz w:val="32"/>
          <w:szCs w:val="32"/>
        </w:rPr>
        <w:t>琼海市烟草专卖局</w:t>
      </w:r>
    </w:p>
    <w:p>
      <w:pPr>
        <w:spacing w:line="600" w:lineRule="exact"/>
        <w:ind w:firstLine="642" w:firstLineChars="200"/>
        <w:rPr>
          <w:rFonts w:ascii="楷体" w:hAnsi="楷体" w:eastAsia="楷体" w:cs="楷体"/>
          <w:b/>
          <w:bCs/>
          <w:color w:val="auto"/>
          <w:kern w:val="0"/>
          <w:sz w:val="32"/>
          <w:szCs w:val="32"/>
        </w:rPr>
      </w:pPr>
      <w:r>
        <w:rPr>
          <w:rFonts w:hint="eastAsia" w:ascii="楷体" w:hAnsi="楷体" w:eastAsia="楷体" w:cs="楷体"/>
          <w:b/>
          <w:bCs/>
          <w:color w:val="auto"/>
          <w:kern w:val="0"/>
          <w:sz w:val="32"/>
          <w:szCs w:val="32"/>
        </w:rPr>
        <w:t>（一）烟草专卖行政处罚案件合法性审查制度</w:t>
      </w:r>
    </w:p>
    <w:p>
      <w:pPr>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规范琼海市局专卖行政处罚行为，加强对烟草专卖行政处罚案件的监督，根据《中华人民共和国行政处罚法》《中华人民共和国烟草专卖法》《中华人民共和国烟草专卖法实施条例》《烟草专卖行政处罚程序规定》的有关规定，结合我局专卖行政执法实际，制订本制度。</w:t>
      </w:r>
    </w:p>
    <w:p>
      <w:pPr>
        <w:spacing w:line="60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1、监督检查对象</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琼海市烟草专卖行政主管部门处理的行政处罚案件。</w:t>
      </w:r>
    </w:p>
    <w:p>
      <w:pPr>
        <w:spacing w:line="60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2、监督检查内容</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法制工作机构或专职法规工作人员对行政处罚案件进行合法性审查，主要包括以下内容：</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（1）当事人的基本情况是否清楚；</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（2）违法行为是否超过追责时效；</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（3）本烟草专卖行政主管部门对该案是否具有管辖权；</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（4）事实是否清楚、明晰；</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（5）证据是否确凿、充分；</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（6）定性是否准确；</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（7）适用法律、法规、规章是否正确；</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（8）行政处罚是否适当；</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（9）程序是否合法；</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（10）材料是否齐全；</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（11）其他依法应当审核的事项。</w:t>
      </w:r>
    </w:p>
    <w:p>
      <w:pPr>
        <w:spacing w:line="60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3、监督检查方式</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法制工作机构或专职法规工作人员对行政处罚案件进行合法性审查，以书面审查为主，必要时可采取向当事人了解情况、听取陈述申辩等方式进行调查取证。</w:t>
      </w:r>
    </w:p>
    <w:p>
      <w:pPr>
        <w:spacing w:line="60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4、监督检查措施</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（1）依法对将以本单位名义做出的行政处罚案件的合法性进行审查；</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（2）对与案件合法性相关的内容提出同意或建议修改、补正、移送等审查意见；</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（3）对合法性审查工作进行审查登记和档案管理，留存审查工作底稿；</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（4）研究梳理合法性审查过程中发现的共性问题，及时汇总并向本烟草专卖行政主管部门负责人及上一级法规部门汇报；</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（5）对合法性审查工作情况进行统计、上报；</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（6）法律法规规章或有关制度要求履行的其它职责。</w:t>
      </w:r>
    </w:p>
    <w:p>
      <w:pPr>
        <w:spacing w:line="60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5、监督检查程序</w:t>
      </w:r>
    </w:p>
    <w:p>
      <w:pPr>
        <w:spacing w:line="600" w:lineRule="exact"/>
        <w:ind w:firstLine="640" w:firstLineChars="200"/>
        <w:rPr>
          <w:rFonts w:ascii="仿宋_GB2312" w:hAnsi="仿宋" w:eastAsia="仿宋_GB2312" w:cs="宋体"/>
          <w:color w:val="auto"/>
          <w:kern w:val="0"/>
          <w:sz w:val="32"/>
          <w:szCs w:val="32"/>
        </w:rPr>
      </w:pPr>
      <w:r>
        <w:rPr>
          <w:rFonts w:hint="eastAsia" w:ascii="仿宋_GB2312" w:hAnsi="仿宋" w:eastAsia="仿宋_GB2312" w:cs="宋体"/>
          <w:kern w:val="0"/>
          <w:sz w:val="32"/>
          <w:szCs w:val="32"/>
        </w:rPr>
        <w:t>（1）专卖执法机构应在案件调查终结后将案卷送同级法制工作机构或专职法规工作人员进行</w:t>
      </w:r>
      <w:r>
        <w:rPr>
          <w:rFonts w:hint="eastAsia" w:ascii="仿宋_GB2312" w:hAnsi="仿宋" w:eastAsia="仿宋_GB2312" w:cs="宋体"/>
          <w:color w:val="auto"/>
          <w:kern w:val="0"/>
          <w:sz w:val="32"/>
          <w:szCs w:val="32"/>
        </w:rPr>
        <w:t>法制审核并签署意见。</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（2）法制工作机构或专职法规工作人员收到并确认送审资料后，填写《烟草专卖行政处罚案件合法性审查登记台帐》。</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（3）法制工作机构或专职法规工作人员收到案卷材料后，应</w:t>
      </w:r>
      <w:r>
        <w:rPr>
          <w:rFonts w:hint="eastAsia" w:ascii="仿宋_GB2312" w:hAnsi="仿宋" w:eastAsia="仿宋_GB2312" w:cs="宋体"/>
          <w:kern w:val="0"/>
          <w:sz w:val="32"/>
          <w:szCs w:val="32"/>
          <w:highlight w:val="none"/>
        </w:rPr>
        <w:t>在3个工作日内审查完毕。重大、复杂、疑难的行政处罚决定，经本单位负责人批准可适当延长：不超过10个</w:t>
      </w:r>
      <w:r>
        <w:rPr>
          <w:rFonts w:hint="eastAsia" w:ascii="仿宋_GB2312" w:hAnsi="仿宋" w:eastAsia="仿宋_GB2312" w:cs="宋体"/>
          <w:kern w:val="0"/>
          <w:sz w:val="32"/>
          <w:szCs w:val="32"/>
        </w:rPr>
        <w:t>工作日，并应向送审部门说明情况和延长时限。</w:t>
      </w:r>
    </w:p>
    <w:p>
      <w:pPr>
        <w:spacing w:line="60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6、监督检查处理</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法制工作机构或专职法规工作人员对行政处罚案件进行合法性审查后，根据不同情况，提出相应的书面意见或建议：</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（1）违法事实清楚、证据确凿充分、定性准确、处罚适当、程序合法的，同意专卖执法机构的意见；</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（2）对违法行为不能成立的，提出不予行政处罚的建议，或者建议专卖执法机构撤销案件；</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（3）对事实不清、证据不足的，建议补充调查；</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（4）对定性不准、运用法律不当或程序违法的，提出纠正意见；</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（5）对不属于本部门管辖的，提出移送意见；</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（6）对重大、复杂案件建议由烟草专卖行政主管部门负责人集体讨论决定；</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（7）对违法行为涉嫌犯罪的，提出移送司法机关的建议。</w:t>
      </w:r>
    </w:p>
    <w:p>
      <w:pPr>
        <w:spacing w:line="600" w:lineRule="exact"/>
        <w:ind w:firstLine="642" w:firstLineChars="200"/>
        <w:rPr>
          <w:rFonts w:hint="eastAsia" w:ascii="楷体" w:hAnsi="楷体" w:eastAsia="楷体" w:cs="楷体"/>
          <w:b/>
          <w:bCs/>
          <w:color w:val="auto"/>
          <w:kern w:val="0"/>
          <w:sz w:val="32"/>
          <w:szCs w:val="32"/>
        </w:rPr>
      </w:pPr>
    </w:p>
    <w:p>
      <w:pPr>
        <w:spacing w:line="600" w:lineRule="exact"/>
        <w:ind w:firstLine="642" w:firstLineChars="200"/>
        <w:rPr>
          <w:rFonts w:ascii="楷体" w:hAnsi="楷体" w:eastAsia="楷体" w:cs="楷体"/>
          <w:b/>
          <w:bCs/>
          <w:color w:val="auto"/>
          <w:kern w:val="0"/>
          <w:sz w:val="32"/>
          <w:szCs w:val="32"/>
        </w:rPr>
      </w:pPr>
      <w:r>
        <w:rPr>
          <w:rFonts w:hint="eastAsia" w:ascii="楷体" w:hAnsi="楷体" w:eastAsia="楷体" w:cs="楷体"/>
          <w:b/>
          <w:bCs/>
          <w:color w:val="auto"/>
          <w:kern w:val="0"/>
          <w:sz w:val="32"/>
          <w:szCs w:val="32"/>
        </w:rPr>
        <w:t>（</w:t>
      </w:r>
      <w:r>
        <w:rPr>
          <w:rFonts w:hint="eastAsia" w:ascii="楷体" w:hAnsi="楷体" w:eastAsia="楷体" w:cs="楷体"/>
          <w:b/>
          <w:bCs/>
          <w:color w:val="auto"/>
          <w:kern w:val="0"/>
          <w:sz w:val="32"/>
          <w:szCs w:val="32"/>
          <w:lang w:val="en" w:eastAsia="zh-CN"/>
        </w:rPr>
        <w:t>二</w:t>
      </w:r>
      <w:r>
        <w:rPr>
          <w:rFonts w:hint="eastAsia" w:ascii="楷体" w:hAnsi="楷体" w:eastAsia="楷体" w:cs="楷体"/>
          <w:b/>
          <w:bCs/>
          <w:color w:val="auto"/>
          <w:kern w:val="0"/>
          <w:sz w:val="32"/>
          <w:szCs w:val="32"/>
        </w:rPr>
        <w:t>）专卖行政执法责任追究制度</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为规范琼海</w:t>
      </w:r>
      <w:r>
        <w:rPr>
          <w:rFonts w:hint="eastAsia" w:ascii="仿宋_GB2312" w:hAnsi="华文宋体" w:eastAsia="仿宋_GB2312"/>
          <w:sz w:val="32"/>
          <w:szCs w:val="32"/>
          <w:lang w:eastAsia="zh-CN"/>
        </w:rPr>
        <w:t>辖区</w:t>
      </w:r>
      <w:r>
        <w:rPr>
          <w:rFonts w:hint="eastAsia" w:ascii="仿宋_GB2312" w:hAnsi="仿宋" w:eastAsia="仿宋_GB2312" w:cs="宋体"/>
          <w:kern w:val="0"/>
          <w:sz w:val="32"/>
          <w:szCs w:val="32"/>
        </w:rPr>
        <w:t>各专卖执法单位</w:t>
      </w:r>
      <w:r>
        <w:rPr>
          <w:rFonts w:hint="eastAsia" w:ascii="仿宋_GB2312" w:hAnsi="华文宋体" w:eastAsia="仿宋_GB2312"/>
          <w:sz w:val="32"/>
          <w:szCs w:val="32"/>
        </w:rPr>
        <w:t>及执法人员的执法行为，保障依法行政，维护行政管理相对人的合法权益，依据《中华人民共和国烟草专卖法》《中华人民共和国烟草专卖法实施条例》《中华人民共和国刑法》等法律法规，制定本制度。</w:t>
      </w:r>
    </w:p>
    <w:p>
      <w:pPr>
        <w:spacing w:line="580" w:lineRule="exact"/>
        <w:ind w:firstLine="629" w:firstLineChars="196"/>
        <w:rPr>
          <w:rFonts w:ascii="仿宋_GB2312" w:hAnsi="仿宋" w:eastAsia="仿宋_GB2312"/>
          <w:b/>
          <w:color w:val="000000"/>
          <w:sz w:val="32"/>
          <w:szCs w:val="32"/>
        </w:rPr>
      </w:pPr>
      <w:r>
        <w:rPr>
          <w:rFonts w:hint="eastAsia" w:ascii="仿宋_GB2312" w:hAnsi="仿宋" w:eastAsia="仿宋_GB2312"/>
          <w:b/>
          <w:color w:val="000000"/>
          <w:sz w:val="32"/>
          <w:szCs w:val="32"/>
        </w:rPr>
        <w:t>1、监督检查对象</w:t>
      </w:r>
    </w:p>
    <w:p>
      <w:pPr>
        <w:spacing w:line="600" w:lineRule="exact"/>
        <w:ind w:firstLine="627" w:firstLineChars="196"/>
        <w:rPr>
          <w:rFonts w:ascii="仿宋_GB2312" w:hAnsi="华文宋体" w:eastAsia="仿宋_GB2312"/>
          <w:kern w:val="0"/>
          <w:sz w:val="32"/>
          <w:szCs w:val="32"/>
        </w:rPr>
      </w:pPr>
      <w:r>
        <w:rPr>
          <w:rFonts w:hint="eastAsia" w:ascii="仿宋_GB2312" w:hAnsi="华文宋体" w:eastAsia="仿宋_GB2312"/>
          <w:kern w:val="0"/>
          <w:sz w:val="32"/>
          <w:szCs w:val="32"/>
        </w:rPr>
        <w:t>琼海</w:t>
      </w:r>
      <w:r>
        <w:rPr>
          <w:rFonts w:hint="eastAsia" w:ascii="仿宋_GB2312" w:hAnsi="华文宋体" w:eastAsia="仿宋_GB2312"/>
          <w:kern w:val="0"/>
          <w:sz w:val="32"/>
          <w:szCs w:val="32"/>
          <w:lang w:eastAsia="zh-CN"/>
        </w:rPr>
        <w:t>辖区</w:t>
      </w:r>
      <w:r>
        <w:rPr>
          <w:rFonts w:hint="eastAsia" w:ascii="仿宋_GB2312" w:hAnsi="仿宋" w:eastAsia="仿宋_GB2312" w:cs="宋体"/>
          <w:kern w:val="0"/>
          <w:sz w:val="32"/>
          <w:szCs w:val="32"/>
        </w:rPr>
        <w:t>各专卖执法单位</w:t>
      </w:r>
      <w:r>
        <w:rPr>
          <w:rFonts w:hint="eastAsia" w:ascii="仿宋_GB2312" w:hAnsi="华文宋体" w:eastAsia="仿宋_GB2312"/>
          <w:kern w:val="0"/>
          <w:sz w:val="32"/>
          <w:szCs w:val="32"/>
        </w:rPr>
        <w:t>及执法人员的执法行为</w:t>
      </w:r>
    </w:p>
    <w:p>
      <w:pPr>
        <w:spacing w:line="600" w:lineRule="exact"/>
        <w:ind w:firstLine="629" w:firstLineChars="196"/>
        <w:rPr>
          <w:rFonts w:ascii="仿宋_GB2312" w:hAnsi="仿宋" w:eastAsia="仿宋_GB2312"/>
          <w:b/>
          <w:color w:val="000000"/>
          <w:sz w:val="32"/>
          <w:szCs w:val="32"/>
        </w:rPr>
      </w:pPr>
      <w:r>
        <w:rPr>
          <w:rFonts w:hint="eastAsia" w:ascii="仿宋_GB2312" w:hAnsi="仿宋" w:eastAsia="仿宋_GB2312"/>
          <w:b/>
          <w:color w:val="000000"/>
          <w:sz w:val="32"/>
          <w:szCs w:val="32"/>
        </w:rPr>
        <w:t>2、监督检查内容</w:t>
      </w:r>
    </w:p>
    <w:p>
      <w:pPr>
        <w:spacing w:line="600" w:lineRule="exact"/>
        <w:ind w:firstLine="640" w:firstLineChars="200"/>
        <w:rPr>
          <w:rFonts w:ascii="仿宋_GB2312" w:hAnsi="仿宋" w:eastAsia="仿宋_GB2312"/>
          <w:color w:val="000000"/>
          <w:sz w:val="32"/>
          <w:szCs w:val="32"/>
        </w:rPr>
      </w:pPr>
      <w:r>
        <w:rPr>
          <w:rFonts w:hint="eastAsia" w:ascii="仿宋_GB2312" w:hAnsi="华文宋体" w:eastAsia="仿宋_GB2312"/>
          <w:kern w:val="0"/>
          <w:sz w:val="32"/>
          <w:szCs w:val="32"/>
        </w:rPr>
        <w:t>琼海</w:t>
      </w:r>
      <w:r>
        <w:rPr>
          <w:rFonts w:hint="eastAsia" w:ascii="仿宋_GB2312" w:hAnsi="华文宋体" w:eastAsia="仿宋_GB2312"/>
          <w:kern w:val="0"/>
          <w:sz w:val="32"/>
          <w:szCs w:val="32"/>
          <w:lang w:eastAsia="zh-CN"/>
        </w:rPr>
        <w:t>辖区</w:t>
      </w:r>
      <w:r>
        <w:rPr>
          <w:rFonts w:hint="eastAsia" w:ascii="仿宋_GB2312" w:hAnsi="仿宋" w:eastAsia="仿宋_GB2312" w:cs="宋体"/>
          <w:kern w:val="0"/>
          <w:sz w:val="32"/>
          <w:szCs w:val="32"/>
        </w:rPr>
        <w:t>各专卖执法单位</w:t>
      </w:r>
      <w:r>
        <w:rPr>
          <w:rFonts w:hint="eastAsia" w:ascii="仿宋_GB2312" w:hAnsi="华文宋体" w:eastAsia="仿宋_GB2312"/>
          <w:kern w:val="0"/>
          <w:sz w:val="32"/>
          <w:szCs w:val="32"/>
        </w:rPr>
        <w:t>及执法人员</w:t>
      </w:r>
      <w:r>
        <w:rPr>
          <w:rFonts w:hint="eastAsia" w:ascii="仿宋_GB2312" w:hAnsi="仿宋" w:eastAsia="仿宋_GB2312"/>
          <w:color w:val="000000"/>
          <w:sz w:val="32"/>
          <w:szCs w:val="32"/>
        </w:rPr>
        <w:t>在行使行政执法职权违法或不当时，有关部门应当追究相关行政执法人员的行政执法过错责任。</w:t>
      </w:r>
    </w:p>
    <w:p>
      <w:pPr>
        <w:spacing w:line="600" w:lineRule="exact"/>
        <w:ind w:firstLine="629" w:firstLineChars="196"/>
        <w:rPr>
          <w:rFonts w:ascii="仿宋_GB2312" w:hAnsi="仿宋" w:eastAsia="仿宋_GB2312"/>
          <w:b/>
          <w:color w:val="000000"/>
          <w:sz w:val="32"/>
          <w:szCs w:val="32"/>
        </w:rPr>
      </w:pPr>
      <w:r>
        <w:rPr>
          <w:rFonts w:hint="eastAsia" w:ascii="仿宋_GB2312" w:hAnsi="仿宋" w:eastAsia="仿宋_GB2312"/>
          <w:b/>
          <w:color w:val="000000"/>
          <w:sz w:val="32"/>
          <w:szCs w:val="32"/>
        </w:rPr>
        <w:t>3、监督检查方式</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（1）及时、公正、公开；</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（2）实事求是，有错必纠；</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（3）责任追究与过错责任相适应；</w:t>
      </w:r>
    </w:p>
    <w:p>
      <w:pPr>
        <w:snapToGrid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（4）追究责任与纠正过错相结合；</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（5）惩戒与教育相结合。</w:t>
      </w:r>
    </w:p>
    <w:p>
      <w:pPr>
        <w:spacing w:line="600" w:lineRule="exact"/>
        <w:ind w:firstLine="642"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4、监督检查措施</w:t>
      </w:r>
    </w:p>
    <w:p>
      <w:pPr>
        <w:pStyle w:val="8"/>
        <w:widowControl w:val="0"/>
        <w:spacing w:before="0" w:beforeAutospacing="0" w:after="0" w:afterAutospacing="0" w:line="60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 xml:space="preserve">烟草专卖执法人员在专卖行政执法过程中发生下列情形之一，查证属实的，视为行政执法过错行为： </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（一）超越法定职权或者不履行法定职责的；</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（二）违反法定程序的；</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（三）擅自委托烟草专卖行政执法的；</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（四）案件事实不清，证据不足的；</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（五）适用法律法规错误的；</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（六）处罚显失公正的；</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（七）复议机关撤销、变更原具体行政行为的；</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（八）上级行政机关发现原具体行政行为违法，做出纠错决定的；</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（九）人民法院在烟草专卖行政诉讼中撤销原具体行政行为的。</w:t>
      </w:r>
    </w:p>
    <w:p>
      <w:pPr>
        <w:spacing w:line="600" w:lineRule="exact"/>
        <w:ind w:firstLine="642" w:firstLineChars="200"/>
        <w:rPr>
          <w:rFonts w:ascii="仿宋_GB2312" w:eastAsia="仿宋_GB2312"/>
          <w:b/>
          <w:color w:val="000000"/>
          <w:sz w:val="32"/>
          <w:szCs w:val="32"/>
        </w:rPr>
      </w:pPr>
      <w:r>
        <w:rPr>
          <w:rFonts w:hint="eastAsia" w:ascii="仿宋_GB2312" w:eastAsia="仿宋_GB2312"/>
          <w:b/>
          <w:color w:val="000000"/>
          <w:sz w:val="32"/>
          <w:szCs w:val="32"/>
        </w:rPr>
        <w:t>5、监督检查程序</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（1）在处理行政违法行为的过程中，应按照合法程序涉案人员、机关予以回避，以免当事人、当事机关利用职权销毁证据材料、掩盖违法事实或者互通情况。</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（2）执法机关工作人员涉嫌违反刑法相关规定的，由本机关负责人指定与案情无利害关系的专人整理涉案材料，及时移送当地司法部门。</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（3）执法机关涉嫌违反刑法规定的，应根据上级主管部门的指示，做好涉案材料的搜集、整理工作，配合上级主管部门做好案件移送工作。</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（4）负责执法过错追究责任的办案人员，要以事实为依据，以法律为准绳，实事求是地调查、核实、不循私情，不弄虚作假，否则从重追究相应责任。</w:t>
      </w:r>
    </w:p>
    <w:p>
      <w:pPr>
        <w:spacing w:line="600" w:lineRule="exact"/>
        <w:ind w:firstLine="640" w:firstLineChars="200"/>
        <w:rPr>
          <w:rFonts w:ascii="仿宋_GB2312" w:hAnsi="华文宋体" w:eastAsia="仿宋_GB2312"/>
          <w:sz w:val="32"/>
          <w:szCs w:val="32"/>
        </w:rPr>
      </w:pPr>
      <w:r>
        <w:rPr>
          <w:rFonts w:hint="eastAsia" w:ascii="仿宋_GB2312" w:hAnsi="华文宋体" w:eastAsia="仿宋_GB2312"/>
          <w:sz w:val="32"/>
          <w:szCs w:val="32"/>
        </w:rPr>
        <w:t>（5）负责执法过错责任追究的办案人员完成调查后，应制作调查报告，将违法事实认定、处理方法等告知当事人。</w:t>
      </w:r>
    </w:p>
    <w:p>
      <w:pPr>
        <w:spacing w:line="600" w:lineRule="exact"/>
        <w:ind w:firstLine="642" w:firstLineChars="200"/>
        <w:rPr>
          <w:rFonts w:ascii="仿宋_GB2312" w:eastAsia="仿宋_GB2312"/>
          <w:b/>
          <w:color w:val="000000"/>
          <w:sz w:val="32"/>
          <w:szCs w:val="32"/>
        </w:rPr>
      </w:pPr>
      <w:r>
        <w:rPr>
          <w:rFonts w:hint="eastAsia" w:ascii="仿宋_GB2312" w:eastAsia="仿宋_GB2312"/>
          <w:b/>
          <w:color w:val="000000"/>
          <w:sz w:val="32"/>
          <w:szCs w:val="32"/>
        </w:rPr>
        <w:t>6、监督检查处理</w:t>
      </w:r>
    </w:p>
    <w:p>
      <w:pPr>
        <w:spacing w:line="60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按照《海南省烟草商业系统工作人员违纪违规行为处理暂行规定的通知》（琼烟办〔2020〕101号）追究相关责任。</w:t>
      </w:r>
    </w:p>
    <w:p>
      <w:pPr>
        <w:spacing w:line="600" w:lineRule="exact"/>
        <w:ind w:firstLine="642" w:firstLineChars="200"/>
        <w:rPr>
          <w:rFonts w:ascii="楷体" w:hAnsi="楷体" w:eastAsia="楷体" w:cs="楷体"/>
          <w:b/>
          <w:bCs/>
          <w:kern w:val="0"/>
          <w:sz w:val="32"/>
          <w:szCs w:val="32"/>
        </w:rPr>
      </w:pPr>
      <w:r>
        <w:rPr>
          <w:rFonts w:hint="eastAsia" w:ascii="楷体" w:hAnsi="楷体" w:eastAsia="楷体" w:cs="楷体"/>
          <w:b/>
          <w:bCs/>
          <w:kern w:val="0"/>
          <w:sz w:val="32"/>
          <w:szCs w:val="32"/>
        </w:rPr>
        <w:t>（</w:t>
      </w:r>
      <w:r>
        <w:rPr>
          <w:rFonts w:hint="eastAsia" w:ascii="楷体" w:hAnsi="楷体" w:eastAsia="楷体" w:cs="楷体"/>
          <w:b/>
          <w:bCs/>
          <w:kern w:val="0"/>
          <w:sz w:val="32"/>
          <w:szCs w:val="32"/>
          <w:lang w:eastAsia="zh-CN"/>
        </w:rPr>
        <w:t>三</w:t>
      </w:r>
      <w:r>
        <w:rPr>
          <w:rFonts w:hint="eastAsia" w:ascii="楷体" w:hAnsi="楷体" w:eastAsia="楷体" w:cs="楷体"/>
          <w:b/>
          <w:bCs/>
          <w:kern w:val="0"/>
          <w:sz w:val="32"/>
          <w:szCs w:val="32"/>
        </w:rPr>
        <w:t>）对烟草专卖许可后续监管工作的监督检查</w:t>
      </w:r>
    </w:p>
    <w:p>
      <w:pPr>
        <w:pStyle w:val="20"/>
        <w:ind w:firstLine="640"/>
      </w:pPr>
      <w:r>
        <w:rPr>
          <w:rFonts w:hint="eastAsia"/>
        </w:rPr>
        <w:t>为加强烟草专卖行政许可后续监管工作，规范烟草专卖许可证管理行为，根据《中华人民共和国烟草专卖法》《中华人民共和国行政许可法》《中华人民共和国烟草专卖法实施条例》《烟草专卖许可证管理办法》等有关法律、法规和规章的规定，结合琼海</w:t>
      </w:r>
      <w:r>
        <w:rPr>
          <w:rFonts w:hint="eastAsia"/>
          <w:lang w:eastAsia="zh-CN"/>
        </w:rPr>
        <w:t>辖区</w:t>
      </w:r>
      <w:r>
        <w:rPr>
          <w:rFonts w:hint="eastAsia"/>
        </w:rPr>
        <w:t>实际，制定本规定。</w:t>
      </w:r>
    </w:p>
    <w:p>
      <w:pPr>
        <w:spacing w:line="600" w:lineRule="exact"/>
        <w:ind w:firstLine="629" w:firstLineChars="196"/>
        <w:rPr>
          <w:rFonts w:ascii="仿宋_GB2312" w:hAnsi="仿宋" w:eastAsia="仿宋_GB2312"/>
          <w:b/>
          <w:color w:val="000000"/>
          <w:sz w:val="32"/>
          <w:szCs w:val="32"/>
        </w:rPr>
      </w:pPr>
      <w:r>
        <w:rPr>
          <w:rFonts w:hint="eastAsia" w:ascii="仿宋_GB2312" w:hAnsi="仿宋" w:eastAsia="仿宋_GB2312"/>
          <w:b/>
          <w:color w:val="000000"/>
          <w:sz w:val="32"/>
          <w:szCs w:val="32"/>
        </w:rPr>
        <w:t>1、监督检查对象</w:t>
      </w:r>
    </w:p>
    <w:p>
      <w:pPr>
        <w:pStyle w:val="20"/>
        <w:ind w:firstLine="640"/>
      </w:pPr>
      <w:r>
        <w:rPr>
          <w:rFonts w:hint="eastAsia"/>
        </w:rPr>
        <w:t>辖区内取得烟草专卖许可证的公民、法人或者其他组织开展后续监管。</w:t>
      </w:r>
    </w:p>
    <w:p>
      <w:pPr>
        <w:spacing w:line="600" w:lineRule="exact"/>
        <w:ind w:firstLine="629" w:firstLineChars="196"/>
        <w:rPr>
          <w:rFonts w:ascii="仿宋_GB2312" w:hAnsi="仿宋" w:eastAsia="仿宋_GB2312"/>
          <w:b/>
          <w:color w:val="000000"/>
          <w:sz w:val="32"/>
          <w:szCs w:val="32"/>
        </w:rPr>
      </w:pPr>
      <w:r>
        <w:rPr>
          <w:rFonts w:hint="eastAsia" w:ascii="仿宋_GB2312" w:hAnsi="仿宋" w:eastAsia="仿宋_GB2312"/>
          <w:b/>
          <w:color w:val="000000"/>
          <w:sz w:val="32"/>
          <w:szCs w:val="32"/>
        </w:rPr>
        <w:t>2、监督检查内容</w:t>
      </w:r>
    </w:p>
    <w:p>
      <w:pPr>
        <w:adjustRightInd w:val="0"/>
        <w:snapToGrid w:val="0"/>
        <w:spacing w:line="600" w:lineRule="exact"/>
        <w:ind w:firstLine="640" w:firstLineChars="200"/>
        <w:rPr>
          <w:rFonts w:ascii="仿宋_GB2312" w:hAnsi="宋体" w:eastAsia="仿宋_GB2312"/>
          <w:bCs/>
          <w:color w:val="000000"/>
          <w:kern w:val="0"/>
          <w:sz w:val="32"/>
          <w:szCs w:val="32"/>
        </w:rPr>
      </w:pPr>
      <w:r>
        <w:rPr>
          <w:rFonts w:hint="eastAsia" w:ascii="仿宋_GB2312" w:hAnsi="宋体" w:eastAsia="仿宋_GB2312"/>
          <w:bCs/>
          <w:color w:val="000000"/>
          <w:kern w:val="0"/>
          <w:sz w:val="32"/>
          <w:szCs w:val="32"/>
        </w:rPr>
        <w:t>（1）烟草专卖零售许可工作管理方式、服务措施等有关要求的落实情况；</w:t>
      </w:r>
    </w:p>
    <w:p>
      <w:pPr>
        <w:adjustRightInd w:val="0"/>
        <w:snapToGrid w:val="0"/>
        <w:spacing w:line="600" w:lineRule="exact"/>
        <w:ind w:firstLine="640" w:firstLineChars="200"/>
        <w:rPr>
          <w:rFonts w:ascii="仿宋_GB2312" w:hAnsi="宋体" w:eastAsia="仿宋_GB2312"/>
          <w:bCs/>
          <w:color w:val="000000"/>
          <w:kern w:val="0"/>
          <w:sz w:val="32"/>
          <w:szCs w:val="32"/>
        </w:rPr>
      </w:pPr>
      <w:r>
        <w:rPr>
          <w:rFonts w:hint="eastAsia" w:ascii="仿宋_GB2312" w:hAnsi="宋体" w:eastAsia="仿宋_GB2312"/>
          <w:bCs/>
          <w:color w:val="000000"/>
          <w:kern w:val="0"/>
          <w:sz w:val="32"/>
          <w:szCs w:val="32"/>
        </w:rPr>
        <w:t>（2）后续监管制度等长效机制的制定和落实情况；</w:t>
      </w:r>
    </w:p>
    <w:p>
      <w:pPr>
        <w:adjustRightInd w:val="0"/>
        <w:snapToGrid w:val="0"/>
        <w:spacing w:line="600" w:lineRule="exact"/>
        <w:ind w:firstLine="640" w:firstLineChars="200"/>
        <w:rPr>
          <w:rFonts w:ascii="仿宋_GB2312" w:hAnsi="宋体" w:eastAsia="仿宋_GB2312"/>
          <w:bCs/>
          <w:color w:val="000000"/>
          <w:kern w:val="0"/>
          <w:sz w:val="32"/>
          <w:szCs w:val="32"/>
        </w:rPr>
      </w:pPr>
      <w:r>
        <w:rPr>
          <w:rFonts w:hint="eastAsia" w:ascii="仿宋_GB2312" w:hAnsi="宋体" w:eastAsia="仿宋_GB2312"/>
          <w:bCs/>
          <w:color w:val="000000"/>
          <w:kern w:val="0"/>
          <w:sz w:val="32"/>
          <w:szCs w:val="32"/>
        </w:rPr>
        <w:t>（3）对零售许可证入网、登记事项异常、异常经营、非法经营、法定退出事项等后续监管事项的工作开展情况；</w:t>
      </w:r>
    </w:p>
    <w:p>
      <w:pPr>
        <w:adjustRightInd w:val="0"/>
        <w:snapToGrid w:val="0"/>
        <w:spacing w:line="600" w:lineRule="exact"/>
        <w:ind w:firstLine="640" w:firstLineChars="200"/>
        <w:rPr>
          <w:rFonts w:ascii="仿宋_GB2312" w:hAnsi="宋体" w:eastAsia="仿宋_GB2312"/>
          <w:bCs/>
          <w:color w:val="000000"/>
          <w:kern w:val="0"/>
          <w:sz w:val="32"/>
          <w:szCs w:val="32"/>
        </w:rPr>
      </w:pPr>
      <w:r>
        <w:rPr>
          <w:rFonts w:hint="eastAsia" w:ascii="仿宋_GB2312" w:hAnsi="宋体" w:eastAsia="仿宋_GB2312"/>
          <w:bCs/>
          <w:color w:val="000000"/>
          <w:kern w:val="0"/>
          <w:sz w:val="32"/>
          <w:szCs w:val="32"/>
        </w:rPr>
        <w:t>（4）零售许可证变更、延续、注销、停业、歇业等后续申请依法依规办理情况；</w:t>
      </w:r>
    </w:p>
    <w:p>
      <w:pPr>
        <w:spacing w:line="600" w:lineRule="exact"/>
        <w:ind w:firstLine="640" w:firstLineChars="200"/>
        <w:rPr>
          <w:rFonts w:ascii="仿宋_GB2312" w:hAnsi="仿宋" w:eastAsia="仿宋_GB2312"/>
          <w:b/>
          <w:color w:val="000000"/>
          <w:sz w:val="32"/>
          <w:szCs w:val="32"/>
        </w:rPr>
      </w:pPr>
      <w:r>
        <w:rPr>
          <w:rFonts w:hint="eastAsia" w:ascii="仿宋_GB2312" w:hAnsi="宋体" w:eastAsia="仿宋_GB2312"/>
          <w:bCs/>
          <w:color w:val="000000"/>
          <w:kern w:val="0"/>
          <w:sz w:val="32"/>
          <w:szCs w:val="32"/>
        </w:rPr>
        <w:t>（5）依法需要检查的其他事项。</w:t>
      </w:r>
    </w:p>
    <w:p>
      <w:pPr>
        <w:spacing w:line="600" w:lineRule="exact"/>
        <w:ind w:firstLine="629" w:firstLineChars="196"/>
        <w:rPr>
          <w:rFonts w:ascii="仿宋_GB2312" w:hAnsi="仿宋" w:eastAsia="仿宋_GB2312"/>
          <w:b/>
          <w:color w:val="000000"/>
          <w:sz w:val="32"/>
          <w:szCs w:val="32"/>
        </w:rPr>
      </w:pPr>
      <w:r>
        <w:rPr>
          <w:rFonts w:hint="eastAsia" w:ascii="仿宋_GB2312" w:hAnsi="仿宋" w:eastAsia="仿宋_GB2312"/>
          <w:b/>
          <w:color w:val="000000"/>
          <w:sz w:val="32"/>
          <w:szCs w:val="32"/>
        </w:rPr>
        <w:t>3、监督检查方式</w:t>
      </w:r>
    </w:p>
    <w:p>
      <w:pPr>
        <w:pStyle w:val="20"/>
        <w:ind w:firstLine="640"/>
      </w:pPr>
      <w:r>
        <w:rPr>
          <w:rFonts w:hint="eastAsia"/>
        </w:rPr>
        <w:t xml:space="preserve">自查和监督检查可以采取书面检查、现场检查或者书面检查与现场检查相结合的方式。 </w:t>
      </w:r>
    </w:p>
    <w:p>
      <w:pPr>
        <w:spacing w:line="600" w:lineRule="exact"/>
        <w:ind w:firstLine="629" w:firstLineChars="196"/>
        <w:rPr>
          <w:rFonts w:ascii="仿宋_GB2312" w:hAnsi="仿宋" w:eastAsia="仿宋_GB2312"/>
          <w:b/>
          <w:color w:val="000000"/>
          <w:sz w:val="32"/>
          <w:szCs w:val="32"/>
        </w:rPr>
      </w:pPr>
      <w:r>
        <w:rPr>
          <w:rFonts w:hint="eastAsia" w:ascii="仿宋_GB2312" w:hAnsi="仿宋" w:eastAsia="仿宋_GB2312"/>
          <w:b/>
          <w:color w:val="000000"/>
          <w:sz w:val="32"/>
          <w:szCs w:val="32"/>
        </w:rPr>
        <w:t>4、监督检查程序</w:t>
      </w:r>
    </w:p>
    <w:p>
      <w:pPr>
        <w:spacing w:line="600" w:lineRule="exact"/>
        <w:ind w:firstLine="627" w:firstLineChars="196"/>
        <w:rPr>
          <w:rFonts w:ascii="仿宋_GB2312" w:eastAsia="仿宋_GB2312"/>
          <w:sz w:val="32"/>
          <w:szCs w:val="32"/>
        </w:rPr>
      </w:pPr>
      <w:r>
        <w:rPr>
          <w:rFonts w:hint="eastAsia" w:ascii="仿宋_GB2312" w:eastAsia="仿宋_GB2312"/>
          <w:sz w:val="32"/>
          <w:szCs w:val="32"/>
        </w:rPr>
        <w:t>烟草专卖行政主管部门应定期或不定期组织自查并对下级烟草专卖行政主管部门许可证后续监管工作进行监督检查，及时纠正违法违规行为。</w:t>
      </w:r>
    </w:p>
    <w:p>
      <w:pPr>
        <w:spacing w:line="600" w:lineRule="exact"/>
        <w:ind w:firstLine="629" w:firstLineChars="196"/>
        <w:rPr>
          <w:rFonts w:ascii="仿宋_GB2312" w:hAnsi="仿宋" w:eastAsia="仿宋_GB2312"/>
          <w:b/>
          <w:color w:val="000000"/>
          <w:sz w:val="32"/>
          <w:szCs w:val="32"/>
        </w:rPr>
      </w:pPr>
      <w:r>
        <w:rPr>
          <w:rFonts w:hint="eastAsia" w:ascii="仿宋_GB2312" w:hAnsi="仿宋" w:eastAsia="仿宋_GB2312"/>
          <w:b/>
          <w:color w:val="000000"/>
          <w:sz w:val="32"/>
          <w:szCs w:val="32"/>
        </w:rPr>
        <w:t>5、监督检查措施</w:t>
      </w:r>
    </w:p>
    <w:p>
      <w:pPr>
        <w:pStyle w:val="20"/>
        <w:ind w:firstLine="640"/>
      </w:pPr>
      <w:r>
        <w:rPr>
          <w:rFonts w:hint="eastAsia"/>
        </w:rPr>
        <w:t>将市局稽查大队及各直属县级局许可证后续监管工作纳入专卖工作考核范围。</w:t>
      </w:r>
    </w:p>
    <w:p>
      <w:pPr>
        <w:spacing w:line="560" w:lineRule="exact"/>
        <w:ind w:firstLine="629" w:firstLineChars="196"/>
        <w:rPr>
          <w:rFonts w:ascii="仿宋_GB2312" w:hAnsi="仿宋" w:eastAsia="仿宋_GB2312"/>
          <w:b/>
          <w:color w:val="000000"/>
          <w:sz w:val="32"/>
          <w:szCs w:val="32"/>
        </w:rPr>
      </w:pPr>
      <w:r>
        <w:rPr>
          <w:rFonts w:hint="eastAsia" w:ascii="仿宋_GB2312" w:hAnsi="仿宋" w:eastAsia="仿宋_GB2312"/>
          <w:b/>
          <w:color w:val="000000"/>
          <w:sz w:val="32"/>
          <w:szCs w:val="32"/>
        </w:rPr>
        <w:t>6、监督检查处理</w:t>
      </w:r>
    </w:p>
    <w:p>
      <w:pPr>
        <w:pStyle w:val="20"/>
        <w:ind w:firstLine="640"/>
      </w:pPr>
      <w:r>
        <w:rPr>
          <w:rFonts w:hint="eastAsia"/>
        </w:rPr>
        <w:t xml:space="preserve">烟草专卖行政主管部门及其工作人员违法《烟草专卖许可证管理办法》的规定，有下列情形之一的，由其上级烟草专卖行政主管部门责令改正；情节严重的，对直接负责的主管人员和其他直接责任人员依法给予行政处分： </w:t>
      </w:r>
    </w:p>
    <w:p>
      <w:pPr>
        <w:pStyle w:val="20"/>
        <w:ind w:firstLine="640"/>
      </w:pPr>
      <w:r>
        <w:rPr>
          <w:rFonts w:hint="eastAsia"/>
        </w:rPr>
        <w:t xml:space="preserve">（1）对符合法定条件的申请不予受理的； </w:t>
      </w:r>
    </w:p>
    <w:p>
      <w:pPr>
        <w:pStyle w:val="20"/>
        <w:ind w:firstLine="640"/>
      </w:pPr>
      <w:r>
        <w:rPr>
          <w:rFonts w:hint="eastAsia"/>
        </w:rPr>
        <w:t xml:space="preserve">（2）不在办公场所公示依法应当公示的材料的； </w:t>
      </w:r>
    </w:p>
    <w:p>
      <w:pPr>
        <w:pStyle w:val="20"/>
        <w:ind w:firstLine="640"/>
      </w:pPr>
      <w:r>
        <w:rPr>
          <w:rFonts w:hint="eastAsia"/>
        </w:rPr>
        <w:t xml:space="preserve">（3）在受理、审查、发放烟草专卖许可证过程中，未向申请人、利害关系人履行法定告知义务的； </w:t>
      </w:r>
    </w:p>
    <w:p>
      <w:pPr>
        <w:pStyle w:val="20"/>
        <w:ind w:firstLine="640"/>
      </w:pPr>
      <w:r>
        <w:rPr>
          <w:rFonts w:hint="eastAsia"/>
        </w:rPr>
        <w:t xml:space="preserve">（4）申请人提交的材料不齐全、不符合法定形式，不一次性告知申请人必须补全全部内容的； </w:t>
      </w:r>
    </w:p>
    <w:p>
      <w:pPr>
        <w:pStyle w:val="20"/>
        <w:ind w:firstLine="640"/>
      </w:pPr>
      <w:r>
        <w:rPr>
          <w:rFonts w:hint="eastAsia"/>
        </w:rPr>
        <w:t xml:space="preserve">（5）未依法说明不受理行政许可申请或者不予行政许可的理由的。 </w:t>
      </w:r>
    </w:p>
    <w:p>
      <w:pPr>
        <w:pStyle w:val="20"/>
        <w:ind w:firstLine="640"/>
      </w:pPr>
      <w:r>
        <w:rPr>
          <w:rFonts w:hint="eastAsia"/>
        </w:rPr>
        <w:t>（6）依法应当举行听证而不举行听证的。</w:t>
      </w:r>
    </w:p>
    <w:p>
      <w:pPr>
        <w:pStyle w:val="20"/>
        <w:ind w:firstLine="640"/>
      </w:pPr>
      <w:r>
        <w:t>烟草专卖局工作人员办理烟草专卖许可证或者依法进行监督检查时，索取、收受他人财物或者谋取其他利益的，依法给予行政处分;构成犯罪的，依法追究刑事责任。</w:t>
      </w:r>
    </w:p>
    <w:p>
      <w:pPr>
        <w:pStyle w:val="20"/>
        <w:ind w:firstLine="640"/>
      </w:pPr>
      <w:r>
        <w:t>烟草专卖局发放烟草专卖许可证，有下列情形之一的，由其上级烟草专卖局责令改正，对直接负责的主管人员和其他直接责任人员依法给予行政处分;构成犯罪的，依法追究刑事责任:</w:t>
      </w:r>
    </w:p>
    <w:p>
      <w:pPr>
        <w:pStyle w:val="20"/>
        <w:ind w:firstLine="640"/>
      </w:pPr>
      <w:r>
        <w:t>(一)对不符合法定条件的申请人发放烟草专卖许可证或者超越法定职权发放烟草专卖许可证的;</w:t>
      </w:r>
    </w:p>
    <w:p>
      <w:pPr>
        <w:pStyle w:val="20"/>
        <w:ind w:firstLine="640"/>
      </w:pPr>
      <w:r>
        <w:t>(二)对符合法定条件的申请人不予发放烟草专卖许可证或者不在法定期限内发放烟草专卖许可证的。</w:t>
      </w:r>
    </w:p>
    <w:p>
      <w:pPr>
        <w:spacing w:line="600" w:lineRule="exact"/>
        <w:ind w:firstLine="642" w:firstLineChars="200"/>
        <w:rPr>
          <w:rFonts w:hint="eastAsia" w:ascii="楷体" w:hAnsi="楷体" w:eastAsia="楷体" w:cs="楷体"/>
          <w:b/>
          <w:bCs/>
          <w:kern w:val="0"/>
          <w:sz w:val="32"/>
          <w:szCs w:val="32"/>
          <w:highlight w:val="none"/>
        </w:rPr>
      </w:pPr>
      <w:r>
        <w:rPr>
          <w:rFonts w:hint="eastAsia" w:ascii="楷体" w:hAnsi="楷体" w:eastAsia="楷体" w:cs="楷体"/>
          <w:b/>
          <w:bCs/>
          <w:kern w:val="0"/>
          <w:sz w:val="32"/>
          <w:szCs w:val="32"/>
          <w:highlight w:val="none"/>
        </w:rPr>
        <w:t>（</w:t>
      </w:r>
      <w:r>
        <w:rPr>
          <w:rFonts w:hint="eastAsia" w:ascii="楷体" w:hAnsi="楷体" w:eastAsia="楷体" w:cs="楷体"/>
          <w:b/>
          <w:bCs/>
          <w:kern w:val="0"/>
          <w:sz w:val="32"/>
          <w:szCs w:val="32"/>
          <w:highlight w:val="none"/>
          <w:lang w:eastAsia="zh-CN"/>
        </w:rPr>
        <w:t>四</w:t>
      </w:r>
      <w:r>
        <w:rPr>
          <w:rFonts w:hint="eastAsia" w:ascii="楷体" w:hAnsi="楷体" w:eastAsia="楷体" w:cs="楷体"/>
          <w:b/>
          <w:bCs/>
          <w:kern w:val="0"/>
          <w:sz w:val="32"/>
          <w:szCs w:val="32"/>
          <w:highlight w:val="none"/>
        </w:rPr>
        <w:t>）规范行政处罚自由裁量权</w:t>
      </w:r>
    </w:p>
    <w:p>
      <w:pPr>
        <w:rPr>
          <w:rFonts w:ascii="仿宋_GB2312" w:hAnsi="Times New Roman" w:eastAsia="仿宋_GB2312" w:cs="Times New Roman"/>
          <w:color w:val="000000"/>
          <w:sz w:val="32"/>
          <w:szCs w:val="32"/>
          <w:highlight w:val="none"/>
        </w:rPr>
      </w:pPr>
      <w:r>
        <w:rPr>
          <w:rFonts w:hint="eastAsia"/>
          <w:highlight w:val="none"/>
        </w:rPr>
        <w:t xml:space="preserve">      </w:t>
      </w:r>
      <w:r>
        <w:rPr>
          <w:rFonts w:hint="eastAsia" w:ascii="仿宋_GB2312" w:hAnsi="仿宋_GB2312" w:eastAsia="仿宋_GB2312" w:cs="仿宋_GB2312"/>
          <w:color w:val="000000"/>
          <w:kern w:val="0"/>
          <w:sz w:val="32"/>
          <w:szCs w:val="32"/>
          <w:highlight w:val="none"/>
        </w:rPr>
        <w:t>为进一步规范烟草专卖行政处罚权的实施，</w:t>
      </w:r>
      <w:r>
        <w:rPr>
          <w:rFonts w:hint="eastAsia" w:ascii="仿宋_GB2312" w:hAnsi="仿宋_GB2312" w:eastAsia="仿宋_GB2312" w:cs="仿宋_GB2312"/>
          <w:color w:val="000000"/>
          <w:sz w:val="32"/>
          <w:szCs w:val="32"/>
          <w:highlight w:val="none"/>
        </w:rPr>
        <w:t>确保行政处罚的公正性和公平性，切实维护公民、法人或者其他组织的合法权益，</w:t>
      </w:r>
      <w:r>
        <w:rPr>
          <w:rFonts w:ascii="仿宋_GB2312" w:hAnsi="Times New Roman" w:eastAsia="仿宋_GB2312" w:cs="Times New Roman"/>
          <w:color w:val="000000"/>
          <w:sz w:val="32"/>
          <w:szCs w:val="32"/>
          <w:highlight w:val="none"/>
        </w:rPr>
        <w:t>根据</w:t>
      </w:r>
      <w:r>
        <w:rPr>
          <w:rFonts w:hint="eastAsia" w:ascii="仿宋_GB2312" w:hAnsi="Times New Roman" w:eastAsia="仿宋_GB2312" w:cs="Times New Roman"/>
          <w:color w:val="000000"/>
          <w:sz w:val="32"/>
          <w:szCs w:val="32"/>
          <w:highlight w:val="none"/>
        </w:rPr>
        <w:t>《行政处罚法》《烟草专卖处罚程序规定》相关要求，</w:t>
      </w:r>
      <w:r>
        <w:rPr>
          <w:rFonts w:hint="eastAsia" w:ascii="仿宋_GB2312" w:hAnsi="仿宋_GB2312" w:eastAsia="仿宋_GB2312" w:cs="仿宋_GB2312"/>
          <w:color w:val="000000"/>
          <w:sz w:val="32"/>
          <w:szCs w:val="32"/>
          <w:highlight w:val="none"/>
        </w:rPr>
        <w:t>琼海市烟草专卖局在实施</w:t>
      </w:r>
      <w:r>
        <w:rPr>
          <w:rFonts w:hint="eastAsia" w:ascii="仿宋_GB2312" w:hAnsi="Times New Roman" w:eastAsia="仿宋_GB2312" w:cs="Times New Roman"/>
          <w:color w:val="000000"/>
          <w:sz w:val="32"/>
          <w:szCs w:val="32"/>
          <w:highlight w:val="none"/>
        </w:rPr>
        <w:t>行政处罚时</w:t>
      </w:r>
      <w:r>
        <w:rPr>
          <w:rFonts w:ascii="仿宋_GB2312" w:hAnsi="Times New Roman" w:eastAsia="仿宋_GB2312" w:cs="Times New Roman"/>
          <w:color w:val="000000"/>
          <w:sz w:val="32"/>
          <w:szCs w:val="32"/>
          <w:highlight w:val="none"/>
        </w:rPr>
        <w:t>，适用行政处罚裁量权规定。</w:t>
      </w:r>
    </w:p>
    <w:p>
      <w:pPr>
        <w:pStyle w:val="18"/>
        <w:numPr>
          <w:ilvl w:val="0"/>
          <w:numId w:val="0"/>
        </w:numPr>
        <w:ind w:firstLine="642" w:firstLineChars="200"/>
        <w:rPr>
          <w:rFonts w:hint="eastAsia" w:ascii="仿宋_GB2312" w:hAnsi="仿宋" w:eastAsia="仿宋_GB2312" w:cstheme="minorBidi"/>
          <w:b/>
          <w:color w:val="000000"/>
          <w:kern w:val="2"/>
          <w:sz w:val="32"/>
          <w:szCs w:val="32"/>
          <w:highlight w:val="none"/>
          <w:lang w:val="en-US" w:eastAsia="zh-CN" w:bidi="ar-SA"/>
        </w:rPr>
      </w:pPr>
      <w:r>
        <w:rPr>
          <w:rFonts w:hint="eastAsia" w:ascii="仿宋_GB2312" w:hAnsi="仿宋" w:eastAsia="仿宋_GB2312" w:cstheme="minorBidi"/>
          <w:b/>
          <w:color w:val="000000"/>
          <w:kern w:val="2"/>
          <w:sz w:val="32"/>
          <w:szCs w:val="32"/>
          <w:highlight w:val="none"/>
          <w:lang w:val="en-US" w:eastAsia="zh-CN" w:bidi="ar-SA"/>
        </w:rPr>
        <w:t>1、主要内容</w:t>
      </w:r>
    </w:p>
    <w:p>
      <w:pPr>
        <w:pStyle w:val="4"/>
        <w:spacing w:line="600" w:lineRule="exact"/>
        <w:ind w:left="0" w:leftChars="0"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行政处罚自由裁量权，是指各级烟草专卖局依法行使行政处罚权时，在法律、法规、规章规定的行政处罚种类和幅度范围内，享有的是否给予行政处罚、给予何种行政处罚和给予何种裁量幅度行政处罚的自主决定权和处置权。具体指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序和违法当事人主观过错、消除违法行为后果或影响等因素，确定适用该行政处罚种类的具体标准及单处、并处的行政处罚的标准。</w:t>
      </w:r>
    </w:p>
    <w:p>
      <w:pPr>
        <w:ind w:firstLine="642" w:firstLineChars="200"/>
        <w:rPr>
          <w:rFonts w:hint="eastAsia" w:ascii="仿宋_GB2312" w:hAnsi="仿宋" w:eastAsia="仿宋_GB2312"/>
          <w:b/>
          <w:color w:val="000000"/>
          <w:sz w:val="32"/>
          <w:szCs w:val="32"/>
          <w:highlight w:val="none"/>
        </w:rPr>
      </w:pPr>
      <w:r>
        <w:rPr>
          <w:rFonts w:hint="eastAsia" w:ascii="仿宋_GB2312" w:hAnsi="仿宋" w:eastAsia="仿宋_GB2312"/>
          <w:b/>
          <w:color w:val="000000"/>
          <w:sz w:val="32"/>
          <w:szCs w:val="32"/>
          <w:highlight w:val="none"/>
        </w:rPr>
        <w:t>2、标准规范</w:t>
      </w:r>
    </w:p>
    <w:p>
      <w:pPr>
        <w:ind w:firstLine="640"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海</w:t>
      </w:r>
      <w:r>
        <w:rPr>
          <w:rFonts w:ascii="仿宋_GB2312" w:hAnsi="Times New Roman" w:eastAsia="仿宋_GB2312" w:cs="Times New Roman"/>
          <w:color w:val="000000"/>
          <w:sz w:val="32"/>
          <w:szCs w:val="32"/>
          <w:highlight w:val="none"/>
        </w:rPr>
        <w:t>南省烟草</w:t>
      </w:r>
      <w:r>
        <w:rPr>
          <w:rFonts w:hint="eastAsia" w:ascii="仿宋_GB2312" w:hAnsi="Times New Roman" w:eastAsia="仿宋_GB2312" w:cs="Times New Roman"/>
          <w:color w:val="000000"/>
          <w:sz w:val="32"/>
          <w:szCs w:val="32"/>
          <w:highlight w:val="none"/>
        </w:rPr>
        <w:t>专卖</w:t>
      </w:r>
      <w:bookmarkStart w:id="3" w:name="biaoti"/>
      <w:r>
        <w:rPr>
          <w:rFonts w:ascii="仿宋_GB2312" w:hAnsi="Times New Roman" w:eastAsia="仿宋_GB2312" w:cs="Times New Roman"/>
          <w:color w:val="000000"/>
          <w:sz w:val="32"/>
          <w:szCs w:val="32"/>
          <w:highlight w:val="none"/>
        </w:rPr>
        <w:t>局</w:t>
      </w:r>
      <w:r>
        <w:rPr>
          <w:rFonts w:hint="eastAsia" w:ascii="仿宋_GB2312" w:hAnsi="Times New Roman" w:eastAsia="仿宋_GB2312" w:cs="Times New Roman"/>
          <w:color w:val="000000"/>
          <w:sz w:val="32"/>
          <w:szCs w:val="32"/>
          <w:highlight w:val="none"/>
        </w:rPr>
        <w:t>于2022年9月13日印发《海南省烟草行业规范烟草专卖行政处罚自由裁量权指导意见（</w:t>
      </w:r>
      <w:r>
        <w:rPr>
          <w:rFonts w:ascii="仿宋_GB2312" w:hAnsi="Times New Roman" w:eastAsia="仿宋_GB2312" w:cs="Times New Roman"/>
          <w:color w:val="000000"/>
          <w:sz w:val="32"/>
          <w:szCs w:val="32"/>
          <w:highlight w:val="none"/>
        </w:rPr>
        <w:t>2022版）</w:t>
      </w:r>
      <w:bookmarkEnd w:id="3"/>
      <w:r>
        <w:rPr>
          <w:rFonts w:hint="eastAsia" w:ascii="仿宋_GB2312" w:hAnsi="Times New Roman" w:eastAsia="仿宋_GB2312" w:cs="Times New Roman"/>
          <w:color w:val="000000"/>
          <w:sz w:val="32"/>
          <w:szCs w:val="32"/>
          <w:highlight w:val="none"/>
        </w:rPr>
        <w:t>》（</w:t>
      </w:r>
      <w:bookmarkStart w:id="4" w:name="wenhao"/>
      <w:r>
        <w:rPr>
          <w:rFonts w:hint="eastAsia" w:ascii="仿宋_GB2312" w:hAnsi="Times New Roman" w:eastAsia="仿宋_GB2312" w:cs="Times New Roman"/>
          <w:bCs/>
          <w:color w:val="000000"/>
          <w:sz w:val="32"/>
          <w:szCs w:val="32"/>
          <w:highlight w:val="none"/>
        </w:rPr>
        <w:t>琼烟法〔</w:t>
      </w:r>
      <w:r>
        <w:rPr>
          <w:rFonts w:ascii="仿宋_GB2312" w:hAnsi="Times New Roman" w:eastAsia="仿宋_GB2312" w:cs="Times New Roman"/>
          <w:bCs/>
          <w:color w:val="000000"/>
          <w:sz w:val="32"/>
          <w:szCs w:val="32"/>
          <w:highlight w:val="none"/>
        </w:rPr>
        <w:t>2022〕69号</w:t>
      </w:r>
      <w:bookmarkEnd w:id="4"/>
      <w:r>
        <w:rPr>
          <w:rFonts w:hint="eastAsia" w:ascii="仿宋_GB2312" w:hAnsi="Times New Roman" w:eastAsia="仿宋_GB2312" w:cs="Times New Roman"/>
          <w:color w:val="000000"/>
          <w:sz w:val="32"/>
          <w:szCs w:val="32"/>
          <w:highlight w:val="none"/>
        </w:rPr>
        <w:t>），</w:t>
      </w:r>
      <w:r>
        <w:rPr>
          <w:rFonts w:ascii="仿宋_GB2312" w:hAnsi="Times New Roman" w:eastAsia="仿宋_GB2312" w:cs="Times New Roman"/>
          <w:color w:val="000000"/>
          <w:sz w:val="32"/>
          <w:szCs w:val="32"/>
          <w:highlight w:val="none"/>
        </w:rPr>
        <w:t>作为全省烟草系统行政处罚裁量的标准规范。</w:t>
      </w:r>
    </w:p>
    <w:p>
      <w:pPr>
        <w:spacing w:line="560" w:lineRule="exact"/>
        <w:ind w:firstLine="629" w:firstLineChars="196"/>
        <w:rPr>
          <w:rFonts w:hint="eastAsia" w:ascii="仿宋_GB2312" w:hAnsi="仿宋" w:eastAsia="仿宋_GB2312"/>
          <w:b/>
          <w:color w:val="000000"/>
          <w:sz w:val="32"/>
          <w:szCs w:val="32"/>
          <w:highlight w:val="none"/>
        </w:rPr>
      </w:pPr>
      <w:r>
        <w:rPr>
          <w:rFonts w:hint="eastAsia" w:ascii="仿宋_GB2312" w:hAnsi="仿宋" w:eastAsia="仿宋_GB2312"/>
          <w:b/>
          <w:color w:val="000000"/>
          <w:sz w:val="32"/>
          <w:szCs w:val="32"/>
          <w:highlight w:val="none"/>
        </w:rPr>
        <w:t>3.有关措施</w:t>
      </w:r>
    </w:p>
    <w:p>
      <w:pPr>
        <w:ind w:firstLine="480" w:firstLineChars="150"/>
        <w:rPr>
          <w:rFonts w:ascii="仿宋_GB2312" w:hAnsi="Times New Roman" w:eastAsia="仿宋_GB2312" w:cs="Times New Roman"/>
          <w:color w:val="000000"/>
          <w:sz w:val="32"/>
          <w:szCs w:val="32"/>
          <w:highlight w:val="none"/>
        </w:rPr>
      </w:pPr>
      <w:r>
        <w:rPr>
          <w:rFonts w:ascii="仿宋_GB2312" w:hAnsi="Times New Roman" w:eastAsia="仿宋_GB2312" w:cs="Times New Roman"/>
          <w:color w:val="000000"/>
          <w:sz w:val="32"/>
          <w:szCs w:val="32"/>
          <w:highlight w:val="none"/>
        </w:rPr>
        <w:t>（一）</w:t>
      </w:r>
      <w:r>
        <w:rPr>
          <w:rFonts w:hint="eastAsia" w:ascii="仿宋_GB2312" w:hAnsi="Times New Roman" w:eastAsia="仿宋_GB2312" w:cs="Times New Roman"/>
          <w:color w:val="000000"/>
          <w:sz w:val="32"/>
          <w:szCs w:val="32"/>
          <w:highlight w:val="none"/>
        </w:rPr>
        <w:t>琼海</w:t>
      </w:r>
      <w:r>
        <w:rPr>
          <w:rFonts w:ascii="仿宋_GB2312" w:hAnsi="Times New Roman" w:eastAsia="仿宋_GB2312" w:cs="Times New Roman"/>
          <w:color w:val="000000"/>
          <w:sz w:val="32"/>
          <w:szCs w:val="32"/>
          <w:highlight w:val="none"/>
        </w:rPr>
        <w:t>市烟草</w:t>
      </w:r>
      <w:r>
        <w:rPr>
          <w:rFonts w:hint="eastAsia" w:ascii="仿宋_GB2312" w:hAnsi="Times New Roman" w:eastAsia="仿宋_GB2312" w:cs="Times New Roman"/>
          <w:color w:val="000000"/>
          <w:sz w:val="32"/>
          <w:szCs w:val="32"/>
          <w:highlight w:val="none"/>
        </w:rPr>
        <w:t>专卖</w:t>
      </w:r>
      <w:r>
        <w:rPr>
          <w:rFonts w:ascii="仿宋_GB2312" w:hAnsi="Times New Roman" w:eastAsia="仿宋_GB2312" w:cs="Times New Roman"/>
          <w:color w:val="000000"/>
          <w:sz w:val="32"/>
          <w:szCs w:val="32"/>
          <w:highlight w:val="none"/>
        </w:rPr>
        <w:t>局对</w:t>
      </w:r>
      <w:r>
        <w:rPr>
          <w:rFonts w:hint="eastAsia" w:ascii="仿宋_GB2312" w:hAnsi="Times New Roman" w:eastAsia="仿宋_GB2312" w:cs="Times New Roman"/>
          <w:color w:val="000000"/>
          <w:sz w:val="32"/>
          <w:szCs w:val="32"/>
          <w:highlight w:val="none"/>
          <w:lang w:eastAsia="zh-CN"/>
        </w:rPr>
        <w:t>辖区</w:t>
      </w:r>
      <w:r>
        <w:rPr>
          <w:rFonts w:hint="eastAsia" w:ascii="仿宋_GB2312" w:hAnsi="Times New Roman" w:eastAsia="仿宋_GB2312" w:cs="Times New Roman"/>
          <w:color w:val="000000"/>
          <w:sz w:val="32"/>
          <w:szCs w:val="32"/>
          <w:highlight w:val="none"/>
        </w:rPr>
        <w:t>各单位</w:t>
      </w:r>
      <w:r>
        <w:rPr>
          <w:rFonts w:ascii="仿宋_GB2312" w:hAnsi="Times New Roman" w:eastAsia="仿宋_GB2312" w:cs="Times New Roman"/>
          <w:color w:val="000000"/>
          <w:sz w:val="32"/>
          <w:szCs w:val="32"/>
          <w:highlight w:val="none"/>
        </w:rPr>
        <w:t>规范行政处罚裁量权工作进行指导监督，并</w:t>
      </w:r>
      <w:r>
        <w:rPr>
          <w:rFonts w:hint="eastAsia" w:ascii="仿宋_GB2312" w:hAnsi="Times New Roman" w:eastAsia="仿宋_GB2312" w:cs="Times New Roman"/>
          <w:color w:val="000000"/>
          <w:sz w:val="32"/>
          <w:szCs w:val="32"/>
          <w:highlight w:val="none"/>
        </w:rPr>
        <w:t>根据上级单位要求和指导，</w:t>
      </w:r>
      <w:r>
        <w:rPr>
          <w:rFonts w:ascii="仿宋_GB2312" w:hAnsi="Times New Roman" w:eastAsia="仿宋_GB2312" w:cs="Times New Roman"/>
          <w:color w:val="000000"/>
          <w:sz w:val="32"/>
          <w:szCs w:val="32"/>
          <w:highlight w:val="none"/>
        </w:rPr>
        <w:t>对行政处罚裁量标准规范的实施情况进行评估，根据法律、法规、规章的修改和废止以及经济形势、社会情形等变化</w:t>
      </w:r>
      <w:r>
        <w:rPr>
          <w:rFonts w:hint="eastAsia" w:ascii="仿宋_GB2312" w:hAnsi="Times New Roman" w:eastAsia="仿宋_GB2312" w:cs="Times New Roman"/>
          <w:color w:val="000000"/>
          <w:sz w:val="32"/>
          <w:szCs w:val="32"/>
          <w:highlight w:val="none"/>
        </w:rPr>
        <w:t>提出</w:t>
      </w:r>
      <w:r>
        <w:rPr>
          <w:rFonts w:ascii="仿宋_GB2312" w:hAnsi="Times New Roman" w:eastAsia="仿宋_GB2312" w:cs="Times New Roman"/>
          <w:color w:val="000000"/>
          <w:sz w:val="32"/>
          <w:szCs w:val="32"/>
          <w:highlight w:val="none"/>
        </w:rPr>
        <w:t>相应调整和完善</w:t>
      </w:r>
      <w:r>
        <w:rPr>
          <w:rFonts w:hint="eastAsia" w:ascii="仿宋_GB2312" w:hAnsi="Times New Roman" w:eastAsia="仿宋_GB2312" w:cs="Times New Roman"/>
          <w:color w:val="000000"/>
          <w:sz w:val="32"/>
          <w:szCs w:val="32"/>
          <w:highlight w:val="none"/>
        </w:rPr>
        <w:t>的意见和建议</w:t>
      </w:r>
      <w:r>
        <w:rPr>
          <w:rFonts w:ascii="仿宋_GB2312" w:hAnsi="Times New Roman" w:eastAsia="仿宋_GB2312" w:cs="Times New Roman"/>
          <w:color w:val="000000"/>
          <w:sz w:val="32"/>
          <w:szCs w:val="32"/>
          <w:highlight w:val="none"/>
        </w:rPr>
        <w:t>。</w:t>
      </w:r>
    </w:p>
    <w:p>
      <w:pPr>
        <w:ind w:firstLine="640" w:firstLineChars="200"/>
        <w:rPr>
          <w:rFonts w:ascii="仿宋_GB2312" w:hAnsi="Times New Roman" w:eastAsia="仿宋_GB2312" w:cs="Times New Roman"/>
          <w:color w:val="000000"/>
          <w:sz w:val="32"/>
          <w:szCs w:val="32"/>
          <w:highlight w:val="none"/>
        </w:rPr>
      </w:pPr>
      <w:r>
        <w:rPr>
          <w:rFonts w:ascii="仿宋_GB2312" w:hAnsi="Times New Roman" w:eastAsia="仿宋_GB2312" w:cs="Times New Roman"/>
          <w:color w:val="000000"/>
          <w:sz w:val="32"/>
          <w:szCs w:val="32"/>
          <w:highlight w:val="none"/>
        </w:rPr>
        <w:t>（二）在建立和推行行政处罚裁量标准制度的同时，建立健全教育培训、案例指导等配套制度。</w:t>
      </w:r>
    </w:p>
    <w:p>
      <w:pPr>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br w:type="textWrapping"/>
      </w:r>
    </w:p>
    <w:p>
      <w:pPr>
        <w:rPr>
          <w:rFonts w:ascii="仿宋_GB2312" w:hAnsi="Times New Roman" w:eastAsia="仿宋_GB2312" w:cs="Times New Roman"/>
          <w:color w:val="000000"/>
          <w:sz w:val="32"/>
          <w:szCs w:val="32"/>
        </w:rPr>
      </w:pPr>
    </w:p>
    <w:p>
      <w:pPr>
        <w:rPr>
          <w:rFonts w:ascii="仿宋_GB2312" w:hAnsi="Times New Roman" w:eastAsia="仿宋_GB2312" w:cs="Times New Roman"/>
          <w:color w:val="000000"/>
          <w:sz w:val="32"/>
          <w:szCs w:val="32"/>
        </w:rPr>
      </w:pPr>
    </w:p>
    <w:p>
      <w:pPr>
        <w:jc w:val="center"/>
        <w:outlineLvl w:val="0"/>
        <w:rPr>
          <w:rFonts w:ascii="方正小标宋_GBK" w:hAnsi="宋体" w:eastAsia="方正小标宋_GBK"/>
          <w:b/>
          <w:sz w:val="36"/>
          <w:szCs w:val="44"/>
        </w:rPr>
      </w:pPr>
      <w:bookmarkStart w:id="5" w:name="_Toc28084"/>
      <w:bookmarkStart w:id="6" w:name="_GoBack"/>
      <w:bookmarkEnd w:id="6"/>
      <w:r>
        <w:rPr>
          <w:rFonts w:hint="eastAsia" w:ascii="方正小标宋_GBK" w:hAnsi="宋体" w:eastAsia="方正小标宋_GBK"/>
          <w:b/>
          <w:sz w:val="36"/>
          <w:szCs w:val="44"/>
        </w:rPr>
        <w:t>四、公共服务事项</w:t>
      </w:r>
      <w:bookmarkEnd w:id="5"/>
      <w:r>
        <w:rPr>
          <w:rFonts w:hint="eastAsia" w:ascii="方正小标宋_GBK" w:hAnsi="宋体" w:eastAsia="方正小标宋_GBK"/>
          <w:b/>
          <w:sz w:val="36"/>
          <w:szCs w:val="44"/>
        </w:rPr>
        <w:t>登记表</w:t>
      </w:r>
    </w:p>
    <w:p>
      <w:pPr>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部门名称：</w:t>
      </w:r>
      <w:r>
        <w:rPr>
          <w:rFonts w:hint="eastAsia" w:ascii="楷体_GB2312" w:hAnsi="Times New Roman" w:eastAsia="楷体_GB2312"/>
          <w:b/>
          <w:sz w:val="32"/>
          <w:szCs w:val="32"/>
          <w:lang w:eastAsia="zh-CN"/>
        </w:rPr>
        <w:t>琼海市烟草专卖局</w:t>
      </w:r>
    </w:p>
    <w:tbl>
      <w:tblPr>
        <w:tblStyle w:val="10"/>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4384"/>
        <w:gridCol w:w="15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851" w:type="dxa"/>
            <w:vAlign w:val="center"/>
          </w:tcPr>
          <w:p>
            <w:pPr>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序号</w:t>
            </w:r>
          </w:p>
        </w:tc>
        <w:tc>
          <w:tcPr>
            <w:tcW w:w="1418" w:type="dxa"/>
            <w:vAlign w:val="center"/>
          </w:tcPr>
          <w:p>
            <w:pPr>
              <w:widowControl/>
              <w:spacing w:line="360" w:lineRule="atLeas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服务事项</w:t>
            </w:r>
          </w:p>
        </w:tc>
        <w:tc>
          <w:tcPr>
            <w:tcW w:w="4384" w:type="dxa"/>
            <w:vAlign w:val="center"/>
          </w:tcPr>
          <w:p>
            <w:pPr>
              <w:widowControl/>
              <w:spacing w:line="360" w:lineRule="atLeas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主要内容</w:t>
            </w:r>
          </w:p>
        </w:tc>
        <w:tc>
          <w:tcPr>
            <w:tcW w:w="1569" w:type="dxa"/>
            <w:vAlign w:val="center"/>
          </w:tcPr>
          <w:p>
            <w:pPr>
              <w:widowControl/>
              <w:spacing w:line="360" w:lineRule="atLeas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承办</w:t>
            </w:r>
          </w:p>
          <w:p>
            <w:pPr>
              <w:widowControl/>
              <w:spacing w:line="360" w:lineRule="atLeas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机构</w:t>
            </w:r>
          </w:p>
        </w:tc>
        <w:tc>
          <w:tcPr>
            <w:tcW w:w="1701" w:type="dxa"/>
            <w:vAlign w:val="center"/>
          </w:tcPr>
          <w:p>
            <w:pPr>
              <w:widowControl/>
              <w:spacing w:line="360" w:lineRule="atLeas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联系</w:t>
            </w:r>
          </w:p>
          <w:p>
            <w:pPr>
              <w:widowControl/>
              <w:spacing w:line="360" w:lineRule="atLeast"/>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atLeast"/>
        </w:trPr>
        <w:tc>
          <w:tcPr>
            <w:tcW w:w="851" w:type="dxa"/>
            <w:vAlign w:val="center"/>
          </w:tcPr>
          <w:p>
            <w:pPr>
              <w:jc w:val="center"/>
              <w:rPr>
                <w:rFonts w:asciiTheme="minorEastAsia" w:hAnsiTheme="minorEastAsia"/>
                <w:szCs w:val="21"/>
              </w:rPr>
            </w:pPr>
            <w:r>
              <w:rPr>
                <w:rFonts w:hint="eastAsia" w:asciiTheme="minorEastAsia" w:hAnsiTheme="minorEastAsia"/>
                <w:szCs w:val="21"/>
              </w:rPr>
              <w:t>1</w:t>
            </w:r>
          </w:p>
        </w:tc>
        <w:tc>
          <w:tcPr>
            <w:tcW w:w="1418" w:type="dxa"/>
            <w:vAlign w:val="center"/>
          </w:tcPr>
          <w:p>
            <w:pPr>
              <w:jc w:val="left"/>
              <w:rPr>
                <w:rFonts w:asciiTheme="minorEastAsia" w:hAnsiTheme="minorEastAsia"/>
                <w:szCs w:val="21"/>
              </w:rPr>
            </w:pPr>
            <w:r>
              <w:rPr>
                <w:rFonts w:hint="eastAsia" w:asciiTheme="minorEastAsia" w:hAnsiTheme="minorEastAsia"/>
                <w:szCs w:val="21"/>
              </w:rPr>
              <w:t>“12345”、“12313”卷烟市场监管电话的举报投诉受理和信息咨询</w:t>
            </w:r>
          </w:p>
        </w:tc>
        <w:tc>
          <w:tcPr>
            <w:tcW w:w="4384" w:type="dxa"/>
            <w:vAlign w:val="center"/>
          </w:tcPr>
          <w:p>
            <w:pPr>
              <w:rPr>
                <w:rFonts w:asciiTheme="minorEastAsia" w:hAnsiTheme="minorEastAsia"/>
                <w:szCs w:val="21"/>
              </w:rPr>
            </w:pPr>
            <w:r>
              <w:rPr>
                <w:rFonts w:hint="eastAsia" w:asciiTheme="minorEastAsia" w:hAnsiTheme="minorEastAsia"/>
                <w:szCs w:val="21"/>
              </w:rPr>
              <w:t>向社会广泛宣传“12345”“12313”举报投诉电话，24小时有负责人员接听。</w:t>
            </w:r>
            <w:r>
              <w:rPr>
                <w:rFonts w:hint="eastAsia" w:cs="Times New Roman" w:asciiTheme="minorEastAsia" w:hAnsiTheme="minorEastAsia"/>
                <w:szCs w:val="21"/>
              </w:rPr>
              <w:t>属于专卖法律法规咨询的，要当场解答</w:t>
            </w:r>
            <w:r>
              <w:rPr>
                <w:rFonts w:hint="eastAsia" w:asciiTheme="minorEastAsia" w:hAnsiTheme="minorEastAsia"/>
                <w:szCs w:val="21"/>
              </w:rPr>
              <w:t>；</w:t>
            </w:r>
            <w:r>
              <w:rPr>
                <w:rFonts w:hint="eastAsia" w:cs="Times New Roman" w:asciiTheme="minorEastAsia" w:hAnsiTheme="minorEastAsia"/>
                <w:szCs w:val="21"/>
              </w:rPr>
              <w:t>属于举报非法生产、经营烟草专卖品行为的，要及时向</w:t>
            </w:r>
            <w:r>
              <w:rPr>
                <w:rFonts w:hint="eastAsia" w:asciiTheme="minorEastAsia" w:hAnsiTheme="minorEastAsia"/>
                <w:szCs w:val="21"/>
              </w:rPr>
              <w:t>部门负责人</w:t>
            </w:r>
            <w:r>
              <w:rPr>
                <w:rFonts w:hint="eastAsia" w:cs="Times New Roman" w:asciiTheme="minorEastAsia" w:hAnsiTheme="minorEastAsia"/>
                <w:szCs w:val="21"/>
              </w:rPr>
              <w:t>汇报。属于举报、投诉烟草专卖人员违法行为的，要及时向</w:t>
            </w:r>
            <w:r>
              <w:rPr>
                <w:rFonts w:hint="eastAsia" w:asciiTheme="minorEastAsia" w:hAnsiTheme="minorEastAsia"/>
                <w:szCs w:val="21"/>
              </w:rPr>
              <w:t>部门负责人</w:t>
            </w:r>
            <w:r>
              <w:rPr>
                <w:rFonts w:hint="eastAsia" w:cs="Times New Roman" w:asciiTheme="minorEastAsia" w:hAnsiTheme="minorEastAsia"/>
                <w:szCs w:val="21"/>
              </w:rPr>
              <w:t>汇报，移交相关部门处理。</w:t>
            </w:r>
          </w:p>
        </w:tc>
        <w:tc>
          <w:tcPr>
            <w:tcW w:w="1569" w:type="dxa"/>
            <w:vAlign w:val="center"/>
          </w:tcPr>
          <w:p>
            <w:pPr>
              <w:rPr>
                <w:rFonts w:asciiTheme="minorEastAsia" w:hAnsiTheme="minorEastAsia"/>
                <w:szCs w:val="21"/>
              </w:rPr>
            </w:pPr>
            <w:r>
              <w:rPr>
                <w:rFonts w:hint="eastAsia" w:asciiTheme="minorEastAsia" w:hAnsiTheme="minorEastAsia"/>
                <w:szCs w:val="21"/>
              </w:rPr>
              <w:t>市烟草专卖局（专卖监督管理科）</w:t>
            </w:r>
          </w:p>
        </w:tc>
        <w:tc>
          <w:tcPr>
            <w:tcW w:w="1701" w:type="dxa"/>
            <w:vAlign w:val="center"/>
          </w:tcPr>
          <w:p>
            <w:pPr>
              <w:widowControl/>
              <w:spacing w:line="360" w:lineRule="atLeast"/>
              <w:rPr>
                <w:rFonts w:cs="宋体" w:asciiTheme="minorEastAsia" w:hAnsiTheme="minorEastAsia"/>
                <w:kern w:val="0"/>
                <w:szCs w:val="21"/>
              </w:rPr>
            </w:pPr>
            <w:r>
              <w:rPr>
                <w:rFonts w:hint="eastAsia" w:cs="宋体" w:asciiTheme="minorEastAsia" w:hAnsiTheme="minorEastAsia"/>
                <w:kern w:val="0"/>
                <w:szCs w:val="21"/>
              </w:rPr>
              <w:t>0898-62926317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851" w:type="dxa"/>
            <w:vAlign w:val="center"/>
          </w:tcPr>
          <w:p>
            <w:pPr>
              <w:jc w:val="center"/>
              <w:rPr>
                <w:rFonts w:asciiTheme="minorEastAsia" w:hAnsiTheme="minorEastAsia"/>
                <w:szCs w:val="21"/>
              </w:rPr>
            </w:pPr>
            <w:r>
              <w:rPr>
                <w:rFonts w:hint="eastAsia" w:asciiTheme="minorEastAsia" w:hAnsiTheme="minorEastAsia"/>
                <w:szCs w:val="21"/>
              </w:rPr>
              <w:t>2</w:t>
            </w:r>
          </w:p>
        </w:tc>
        <w:tc>
          <w:tcPr>
            <w:tcW w:w="1418" w:type="dxa"/>
            <w:vAlign w:val="center"/>
          </w:tcPr>
          <w:p>
            <w:pPr>
              <w:rPr>
                <w:rFonts w:asciiTheme="minorEastAsia" w:hAnsiTheme="minorEastAsia"/>
                <w:szCs w:val="21"/>
              </w:rPr>
            </w:pPr>
            <w:r>
              <w:rPr>
                <w:rFonts w:hint="eastAsia" w:asciiTheme="minorEastAsia" w:hAnsiTheme="minorEastAsia"/>
                <w:szCs w:val="21"/>
              </w:rPr>
              <w:t>烟草专卖法律法规宣传</w:t>
            </w:r>
          </w:p>
        </w:tc>
        <w:tc>
          <w:tcPr>
            <w:tcW w:w="4384" w:type="dxa"/>
            <w:vAlign w:val="center"/>
          </w:tcPr>
          <w:p>
            <w:pPr>
              <w:rPr>
                <w:rFonts w:asciiTheme="minorEastAsia" w:hAnsiTheme="minorEastAsia"/>
                <w:szCs w:val="21"/>
              </w:rPr>
            </w:pPr>
            <w:r>
              <w:rPr>
                <w:rFonts w:hint="eastAsia" w:asciiTheme="minorEastAsia" w:hAnsiTheme="minorEastAsia"/>
                <w:szCs w:val="21"/>
              </w:rPr>
              <w:t>通过“法律六进”等主题活动以及“3.15”、“12.4”等主题宣传日，借助宣传板报、条幅、宣传册、咨询台等方式，广泛向社会公众宣传烟草专卖法律法规，解答社会群众关于烟草行业的法律疑惑，提升公众对与烟草行业的认知度与支持度。</w:t>
            </w:r>
          </w:p>
        </w:tc>
        <w:tc>
          <w:tcPr>
            <w:tcW w:w="1569" w:type="dxa"/>
            <w:vAlign w:val="center"/>
          </w:tcPr>
          <w:p>
            <w:pPr>
              <w:rPr>
                <w:rFonts w:asciiTheme="minorEastAsia" w:hAnsiTheme="minorEastAsia"/>
                <w:szCs w:val="21"/>
              </w:rPr>
            </w:pPr>
            <w:r>
              <w:rPr>
                <w:rFonts w:hint="eastAsia" w:asciiTheme="minorEastAsia" w:hAnsiTheme="minorEastAsia"/>
                <w:szCs w:val="21"/>
              </w:rPr>
              <w:t>市烟草专卖局（法规科）</w:t>
            </w:r>
          </w:p>
        </w:tc>
        <w:tc>
          <w:tcPr>
            <w:tcW w:w="1701" w:type="dxa"/>
            <w:vAlign w:val="center"/>
          </w:tcPr>
          <w:p>
            <w:pPr>
              <w:widowControl/>
              <w:spacing w:line="360" w:lineRule="atLeast"/>
              <w:rPr>
                <w:rFonts w:cs="宋体" w:asciiTheme="minorEastAsia" w:hAnsiTheme="minorEastAsia"/>
                <w:kern w:val="0"/>
                <w:szCs w:val="21"/>
                <w:highlight w:val="yellow"/>
              </w:rPr>
            </w:pPr>
            <w:r>
              <w:rPr>
                <w:rFonts w:hint="eastAsia" w:cs="宋体" w:asciiTheme="minorEastAsia" w:hAnsiTheme="minorEastAsia"/>
                <w:kern w:val="0"/>
                <w:szCs w:val="21"/>
              </w:rPr>
              <w:t>0898-62926316</w:t>
            </w:r>
          </w:p>
        </w:tc>
      </w:tr>
    </w:tbl>
    <w:p>
      <w:pPr>
        <w:spacing w:line="600" w:lineRule="exact"/>
        <w:ind w:firstLine="2835" w:firstLineChars="1350"/>
        <w:rPr>
          <w:rFonts w:asciiTheme="minorEastAsia" w:hAnsiTheme="minorEastAsia"/>
          <w:color w:val="000000"/>
          <w:szCs w:val="21"/>
        </w:rPr>
      </w:pPr>
    </w:p>
    <w:p>
      <w:pPr>
        <w:pStyle w:val="2"/>
        <w:tabs>
          <w:tab w:val="left" w:pos="6780"/>
        </w:tabs>
        <w:spacing w:line="360" w:lineRule="auto"/>
        <w:ind w:firstLine="0"/>
        <w:rPr>
          <w:rFonts w:ascii="仿宋_GB2312" w:eastAsia="仿宋_GB2312"/>
          <w:sz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Arial Unicode MS">
    <w:altName w:val="Times New Roman"/>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䡡湄楮札䍓ⵆ潮瑳">
    <w:panose1 w:val="02010609010101010101"/>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D1"/>
    <w:rsid w:val="0000502B"/>
    <w:rsid w:val="00023E4B"/>
    <w:rsid w:val="0005401F"/>
    <w:rsid w:val="0005586A"/>
    <w:rsid w:val="000774A8"/>
    <w:rsid w:val="00077802"/>
    <w:rsid w:val="0008470E"/>
    <w:rsid w:val="00091098"/>
    <w:rsid w:val="00092CAB"/>
    <w:rsid w:val="0009401A"/>
    <w:rsid w:val="000A0A81"/>
    <w:rsid w:val="000A2673"/>
    <w:rsid w:val="000A3D0E"/>
    <w:rsid w:val="000C3485"/>
    <w:rsid w:val="000F1642"/>
    <w:rsid w:val="000F75F1"/>
    <w:rsid w:val="00104365"/>
    <w:rsid w:val="00107CA8"/>
    <w:rsid w:val="0012532F"/>
    <w:rsid w:val="001310E0"/>
    <w:rsid w:val="0016521E"/>
    <w:rsid w:val="00166184"/>
    <w:rsid w:val="00166EE6"/>
    <w:rsid w:val="0019217B"/>
    <w:rsid w:val="001A1065"/>
    <w:rsid w:val="001A3A17"/>
    <w:rsid w:val="001C2F23"/>
    <w:rsid w:val="001C320B"/>
    <w:rsid w:val="001C6247"/>
    <w:rsid w:val="001D08F1"/>
    <w:rsid w:val="00214921"/>
    <w:rsid w:val="00226E64"/>
    <w:rsid w:val="0023290C"/>
    <w:rsid w:val="002338C2"/>
    <w:rsid w:val="00250709"/>
    <w:rsid w:val="002709DD"/>
    <w:rsid w:val="00274407"/>
    <w:rsid w:val="00274EE4"/>
    <w:rsid w:val="00287958"/>
    <w:rsid w:val="00291FD4"/>
    <w:rsid w:val="002A76E1"/>
    <w:rsid w:val="002D186D"/>
    <w:rsid w:val="002D7AFB"/>
    <w:rsid w:val="00307754"/>
    <w:rsid w:val="0031484C"/>
    <w:rsid w:val="0032747E"/>
    <w:rsid w:val="003303E9"/>
    <w:rsid w:val="00337FBD"/>
    <w:rsid w:val="0036478B"/>
    <w:rsid w:val="00392DF8"/>
    <w:rsid w:val="003C1C0A"/>
    <w:rsid w:val="003C54B5"/>
    <w:rsid w:val="003C7A15"/>
    <w:rsid w:val="003D526C"/>
    <w:rsid w:val="003E2675"/>
    <w:rsid w:val="003E76E8"/>
    <w:rsid w:val="0040398C"/>
    <w:rsid w:val="0042296C"/>
    <w:rsid w:val="004430DD"/>
    <w:rsid w:val="00443AD8"/>
    <w:rsid w:val="00452AE9"/>
    <w:rsid w:val="00457EFD"/>
    <w:rsid w:val="0046548D"/>
    <w:rsid w:val="00467483"/>
    <w:rsid w:val="00480326"/>
    <w:rsid w:val="00491CA4"/>
    <w:rsid w:val="004F51D4"/>
    <w:rsid w:val="00502BEA"/>
    <w:rsid w:val="00510209"/>
    <w:rsid w:val="005164EC"/>
    <w:rsid w:val="005202D1"/>
    <w:rsid w:val="005322FE"/>
    <w:rsid w:val="005346F0"/>
    <w:rsid w:val="005521C3"/>
    <w:rsid w:val="00557E9C"/>
    <w:rsid w:val="00561AEA"/>
    <w:rsid w:val="005701A9"/>
    <w:rsid w:val="00594FBF"/>
    <w:rsid w:val="0059646F"/>
    <w:rsid w:val="005A293A"/>
    <w:rsid w:val="005F38A3"/>
    <w:rsid w:val="006018CF"/>
    <w:rsid w:val="00616AE9"/>
    <w:rsid w:val="00616E5F"/>
    <w:rsid w:val="0062056A"/>
    <w:rsid w:val="00632CAF"/>
    <w:rsid w:val="00633DEB"/>
    <w:rsid w:val="006604DC"/>
    <w:rsid w:val="00675DA4"/>
    <w:rsid w:val="0068359E"/>
    <w:rsid w:val="0068547A"/>
    <w:rsid w:val="00686ABC"/>
    <w:rsid w:val="006870E0"/>
    <w:rsid w:val="006901F7"/>
    <w:rsid w:val="006A747E"/>
    <w:rsid w:val="006B2F68"/>
    <w:rsid w:val="00704458"/>
    <w:rsid w:val="00706E62"/>
    <w:rsid w:val="007133AD"/>
    <w:rsid w:val="00753F89"/>
    <w:rsid w:val="00764001"/>
    <w:rsid w:val="00771A3B"/>
    <w:rsid w:val="00781114"/>
    <w:rsid w:val="00787C31"/>
    <w:rsid w:val="007949CA"/>
    <w:rsid w:val="007B0C5D"/>
    <w:rsid w:val="007D2AA2"/>
    <w:rsid w:val="00800499"/>
    <w:rsid w:val="00807EB8"/>
    <w:rsid w:val="00816ABB"/>
    <w:rsid w:val="0086609D"/>
    <w:rsid w:val="0086770D"/>
    <w:rsid w:val="00870E39"/>
    <w:rsid w:val="00883754"/>
    <w:rsid w:val="00884B8A"/>
    <w:rsid w:val="00893ABE"/>
    <w:rsid w:val="0089586B"/>
    <w:rsid w:val="008B23B7"/>
    <w:rsid w:val="008B58F8"/>
    <w:rsid w:val="008C0EDB"/>
    <w:rsid w:val="008C28CF"/>
    <w:rsid w:val="008C3919"/>
    <w:rsid w:val="008C4705"/>
    <w:rsid w:val="008D0B64"/>
    <w:rsid w:val="008E4EDC"/>
    <w:rsid w:val="008E56B8"/>
    <w:rsid w:val="008F7603"/>
    <w:rsid w:val="009038BC"/>
    <w:rsid w:val="00924364"/>
    <w:rsid w:val="0093773E"/>
    <w:rsid w:val="00947AC7"/>
    <w:rsid w:val="00960BCF"/>
    <w:rsid w:val="00970CD1"/>
    <w:rsid w:val="009719F9"/>
    <w:rsid w:val="009947E0"/>
    <w:rsid w:val="009A571A"/>
    <w:rsid w:val="009A79FF"/>
    <w:rsid w:val="009C2DBC"/>
    <w:rsid w:val="009E0779"/>
    <w:rsid w:val="00A21992"/>
    <w:rsid w:val="00A62A81"/>
    <w:rsid w:val="00A62D96"/>
    <w:rsid w:val="00A634EB"/>
    <w:rsid w:val="00A67A03"/>
    <w:rsid w:val="00A7313B"/>
    <w:rsid w:val="00A81080"/>
    <w:rsid w:val="00A86676"/>
    <w:rsid w:val="00A9388E"/>
    <w:rsid w:val="00AA2AB5"/>
    <w:rsid w:val="00AB5AF2"/>
    <w:rsid w:val="00AC5805"/>
    <w:rsid w:val="00AD4595"/>
    <w:rsid w:val="00B0631A"/>
    <w:rsid w:val="00B10CDF"/>
    <w:rsid w:val="00B13C3E"/>
    <w:rsid w:val="00B368C5"/>
    <w:rsid w:val="00B46825"/>
    <w:rsid w:val="00B72A6F"/>
    <w:rsid w:val="00B873E5"/>
    <w:rsid w:val="00BA10CB"/>
    <w:rsid w:val="00BA2636"/>
    <w:rsid w:val="00BB7F04"/>
    <w:rsid w:val="00BE15A7"/>
    <w:rsid w:val="00C0113B"/>
    <w:rsid w:val="00C50D8F"/>
    <w:rsid w:val="00C921DF"/>
    <w:rsid w:val="00C93112"/>
    <w:rsid w:val="00CB3722"/>
    <w:rsid w:val="00CF2D06"/>
    <w:rsid w:val="00D0135B"/>
    <w:rsid w:val="00D0681B"/>
    <w:rsid w:val="00D64602"/>
    <w:rsid w:val="00D86592"/>
    <w:rsid w:val="00D87840"/>
    <w:rsid w:val="00D940BD"/>
    <w:rsid w:val="00DA3DF3"/>
    <w:rsid w:val="00DA755A"/>
    <w:rsid w:val="00DC3A99"/>
    <w:rsid w:val="00DC7EE4"/>
    <w:rsid w:val="00DD2697"/>
    <w:rsid w:val="00DD27ED"/>
    <w:rsid w:val="00E06F9F"/>
    <w:rsid w:val="00E17159"/>
    <w:rsid w:val="00E263C1"/>
    <w:rsid w:val="00E331AA"/>
    <w:rsid w:val="00E3362B"/>
    <w:rsid w:val="00E33818"/>
    <w:rsid w:val="00E463A1"/>
    <w:rsid w:val="00E7680C"/>
    <w:rsid w:val="00E7706E"/>
    <w:rsid w:val="00E9409C"/>
    <w:rsid w:val="00EB7980"/>
    <w:rsid w:val="00ED18D2"/>
    <w:rsid w:val="00EE1B6C"/>
    <w:rsid w:val="00EE3C70"/>
    <w:rsid w:val="00EF02BF"/>
    <w:rsid w:val="00EF3046"/>
    <w:rsid w:val="00EF319D"/>
    <w:rsid w:val="00EF4EB6"/>
    <w:rsid w:val="00F124BF"/>
    <w:rsid w:val="00F21890"/>
    <w:rsid w:val="00F249E4"/>
    <w:rsid w:val="00F32B60"/>
    <w:rsid w:val="00F44240"/>
    <w:rsid w:val="00F61B5A"/>
    <w:rsid w:val="00F77346"/>
    <w:rsid w:val="00F87B32"/>
    <w:rsid w:val="00FB314F"/>
    <w:rsid w:val="00FC058B"/>
    <w:rsid w:val="00FD1625"/>
    <w:rsid w:val="00FE5FC5"/>
    <w:rsid w:val="01FF5643"/>
    <w:rsid w:val="0ABB08A3"/>
    <w:rsid w:val="0BE435A5"/>
    <w:rsid w:val="0CC634A7"/>
    <w:rsid w:val="15C04667"/>
    <w:rsid w:val="2B4F105E"/>
    <w:rsid w:val="382B1C64"/>
    <w:rsid w:val="4CC6485F"/>
    <w:rsid w:val="4D696A85"/>
    <w:rsid w:val="5FDC1F01"/>
    <w:rsid w:val="6FBFF4CB"/>
    <w:rsid w:val="7AD66F8F"/>
    <w:rsid w:val="7B3B47D1"/>
    <w:rsid w:val="7BBBDCB9"/>
    <w:rsid w:val="7DDD4A19"/>
    <w:rsid w:val="7EEFE373"/>
    <w:rsid w:val="7FBC6DC8"/>
    <w:rsid w:val="7FBDB246"/>
    <w:rsid w:val="8FF54F88"/>
    <w:rsid w:val="9F7FD022"/>
    <w:rsid w:val="B6BFC2D4"/>
    <w:rsid w:val="C7FC67B4"/>
    <w:rsid w:val="CEB76DE7"/>
    <w:rsid w:val="D6FF4CAA"/>
    <w:rsid w:val="F8DDE172"/>
    <w:rsid w:val="FB758CD8"/>
    <w:rsid w:val="FFEB4AC2"/>
    <w:rsid w:val="FFF94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qFormat/>
    <w:uiPriority w:val="0"/>
    <w:pPr>
      <w:ind w:firstLine="420"/>
    </w:pPr>
    <w:rPr>
      <w:rFonts w:ascii="Times New Roman" w:hAnsi="Times New Roman" w:eastAsia="宋体" w:cs="Times New Roman"/>
      <w:szCs w:val="20"/>
    </w:rPr>
  </w:style>
  <w:style w:type="paragraph" w:styleId="3">
    <w:name w:val="annotation text"/>
    <w:basedOn w:val="1"/>
    <w:link w:val="24"/>
    <w:semiHidden/>
    <w:unhideWhenUsed/>
    <w:qFormat/>
    <w:uiPriority w:val="99"/>
    <w:pPr>
      <w:jc w:val="left"/>
    </w:pPr>
  </w:style>
  <w:style w:type="paragraph" w:styleId="4">
    <w:name w:val="Body Text Indent"/>
    <w:basedOn w:val="1"/>
    <w:link w:val="19"/>
    <w:unhideWhenUsed/>
    <w:qFormat/>
    <w:uiPriority w:val="0"/>
    <w:pPr>
      <w:spacing w:after="120"/>
      <w:ind w:left="420" w:leftChars="200"/>
    </w:pPr>
    <w:rPr>
      <w:rFonts w:ascii="Calibri" w:hAnsi="Calibri" w:eastAsia="宋体" w:cs="Times New Roman"/>
    </w:rPr>
  </w:style>
  <w:style w:type="paragraph" w:styleId="5">
    <w:name w:val="Balloon Text"/>
    <w:basedOn w:val="1"/>
    <w:link w:val="23"/>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line="432" w:lineRule="auto"/>
      <w:jc w:val="left"/>
    </w:pPr>
    <w:rPr>
      <w:rFonts w:ascii="Arial Unicode MS" w:hAnsi="Arial Unicode MS" w:eastAsia="Arial Unicode MS" w:cs="Arial Unicode MS"/>
      <w:kern w:val="0"/>
      <w:sz w:val="24"/>
      <w:szCs w:val="24"/>
    </w:rPr>
  </w:style>
  <w:style w:type="paragraph" w:styleId="9">
    <w:name w:val="annotation subject"/>
    <w:basedOn w:val="3"/>
    <w:next w:val="3"/>
    <w:link w:val="25"/>
    <w:semiHidden/>
    <w:unhideWhenUsed/>
    <w:qFormat/>
    <w:uiPriority w:val="99"/>
    <w:rPr>
      <w:b/>
      <w:bC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page number"/>
    <w:basedOn w:val="12"/>
    <w:semiHidden/>
    <w:qFormat/>
    <w:uiPriority w:val="0"/>
  </w:style>
  <w:style w:type="character" w:styleId="14">
    <w:name w:val="Emphasis"/>
    <w:basedOn w:val="12"/>
    <w:qFormat/>
    <w:uiPriority w:val="20"/>
    <w:rPr>
      <w:i/>
      <w:iCs/>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7"/>
    <w:qFormat/>
    <w:uiPriority w:val="99"/>
    <w:rPr>
      <w:sz w:val="18"/>
      <w:szCs w:val="18"/>
    </w:rPr>
  </w:style>
  <w:style w:type="character" w:customStyle="1" w:styleId="17">
    <w:name w:val="页脚 Char"/>
    <w:basedOn w:val="12"/>
    <w:link w:val="6"/>
    <w:qFormat/>
    <w:uiPriority w:val="99"/>
    <w:rPr>
      <w:sz w:val="18"/>
      <w:szCs w:val="18"/>
    </w:rPr>
  </w:style>
  <w:style w:type="paragraph" w:styleId="18">
    <w:name w:val="List Paragraph"/>
    <w:basedOn w:val="1"/>
    <w:qFormat/>
    <w:uiPriority w:val="0"/>
    <w:pPr>
      <w:ind w:firstLine="420" w:firstLineChars="200"/>
    </w:pPr>
    <w:rPr>
      <w:rFonts w:ascii="Calibri" w:hAnsi="Calibri" w:eastAsia="宋体" w:cs="Times New Roman"/>
    </w:rPr>
  </w:style>
  <w:style w:type="character" w:customStyle="1" w:styleId="19">
    <w:name w:val="正文文本缩进 Char"/>
    <w:basedOn w:val="12"/>
    <w:link w:val="4"/>
    <w:qFormat/>
    <w:uiPriority w:val="0"/>
    <w:rPr>
      <w:rFonts w:ascii="Calibri" w:hAnsi="Calibri" w:eastAsia="宋体" w:cs="Times New Roman"/>
    </w:rPr>
  </w:style>
  <w:style w:type="paragraph" w:customStyle="1" w:styleId="20">
    <w:name w:val="样式1"/>
    <w:basedOn w:val="1"/>
    <w:qFormat/>
    <w:uiPriority w:val="0"/>
    <w:pPr>
      <w:adjustRightInd w:val="0"/>
      <w:snapToGrid w:val="0"/>
      <w:spacing w:line="600" w:lineRule="exact"/>
      <w:ind w:firstLine="200" w:firstLineChars="200"/>
    </w:pPr>
    <w:rPr>
      <w:rFonts w:ascii="仿宋_GB2312" w:hAnsi="宋体" w:eastAsia="仿宋_GB2312" w:cs="Times New Roman"/>
      <w:bCs/>
      <w:color w:val="000000"/>
      <w:kern w:val="0"/>
      <w:sz w:val="32"/>
      <w:szCs w:val="20"/>
    </w:rPr>
  </w:style>
  <w:style w:type="paragraph" w:customStyle="1" w:styleId="21">
    <w:name w:val="主送单位"/>
    <w:basedOn w:val="1"/>
    <w:qFormat/>
    <w:uiPriority w:val="0"/>
    <w:pPr>
      <w:widowControl/>
      <w:spacing w:line="520" w:lineRule="atLeast"/>
    </w:pPr>
    <w:rPr>
      <w:rFonts w:ascii="Times New Roman" w:hAnsi="Times New Roman" w:eastAsia="仿宋_GB2312" w:cs="Times New Roman"/>
      <w:kern w:val="0"/>
      <w:sz w:val="32"/>
      <w:szCs w:val="20"/>
    </w:rPr>
  </w:style>
  <w:style w:type="paragraph" w:customStyle="1" w:styleId="22">
    <w:name w:val="WPSOffice手动目录 1"/>
    <w:qFormat/>
    <w:uiPriority w:val="0"/>
    <w:rPr>
      <w:rFonts w:ascii="Times New Roman" w:hAnsi="Times New Roman" w:eastAsia="宋体" w:cs="Times New Roman"/>
      <w:lang w:val="en-US" w:eastAsia="zh-CN" w:bidi="ar-SA"/>
    </w:rPr>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批注文字 Char"/>
    <w:basedOn w:val="12"/>
    <w:link w:val="3"/>
    <w:semiHidden/>
    <w:qFormat/>
    <w:uiPriority w:val="99"/>
    <w:rPr>
      <w:rFonts w:asciiTheme="minorHAnsi" w:hAnsiTheme="minorHAnsi" w:eastAsiaTheme="minorEastAsia" w:cstheme="minorBidi"/>
      <w:kern w:val="2"/>
      <w:sz w:val="21"/>
      <w:szCs w:val="22"/>
    </w:rPr>
  </w:style>
  <w:style w:type="character" w:customStyle="1" w:styleId="25">
    <w:name w:val="批注主题 Char"/>
    <w:basedOn w:val="24"/>
    <w:link w:val="9"/>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1305</Words>
  <Characters>7441</Characters>
  <Lines>62</Lines>
  <Paragraphs>17</Paragraphs>
  <TotalTime>10</TotalTime>
  <ScaleCrop>false</ScaleCrop>
  <LinksUpToDate>false</LinksUpToDate>
  <CharactersWithSpaces>8729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2016-01-27T16:33:00Z</dcterms:created>
  <dc:creator>吴衍芬</dc:creator>
  <cp:lastModifiedBy>thtf</cp:lastModifiedBy>
  <cp:lastPrinted>2016-01-31T14:50:00Z</cp:lastPrinted>
  <dcterms:modified xsi:type="dcterms:W3CDTF">2023-11-30T08:32:50Z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49C6F39D419B4CEB8A669DF2DBEF12DF</vt:lpwstr>
  </property>
</Properties>
</file>