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eastAsia="zh-CN"/>
        </w:rPr>
        <w:t>附件</w:t>
      </w:r>
      <w:r>
        <w:rPr>
          <w:rFonts w:hint="eastAsia" w:ascii="黑体" w:hAnsi="黑体" w:eastAsia="黑体" w:cs="黑体"/>
          <w:sz w:val="32"/>
          <w:szCs w:val="32"/>
          <w:u w:val="none"/>
          <w:lang w:val="en-US" w:eastAsia="zh-CN"/>
        </w:rPr>
        <w:t>2：</w:t>
      </w:r>
    </w:p>
    <w:p>
      <w:pPr>
        <w:rPr>
          <w:sz w:val="84"/>
          <w:szCs w:val="84"/>
          <w:u w:val="single"/>
        </w:rPr>
      </w:pPr>
    </w:p>
    <w:p>
      <w:pPr>
        <w:rPr>
          <w:sz w:val="84"/>
          <w:szCs w:val="84"/>
          <w:u w:val="single"/>
        </w:rPr>
      </w:pPr>
    </w:p>
    <w:p>
      <w:pPr>
        <w:rPr>
          <w:sz w:val="84"/>
          <w:szCs w:val="84"/>
          <w:u w:val="single"/>
        </w:rPr>
      </w:pPr>
    </w:p>
    <w:p>
      <w:pPr>
        <w:jc w:val="center"/>
        <w:rPr>
          <w:rFonts w:hint="eastAsia"/>
          <w:sz w:val="84"/>
          <w:szCs w:val="84"/>
          <w:lang w:eastAsia="zh-CN"/>
        </w:rPr>
      </w:pPr>
      <w:r>
        <w:rPr>
          <w:rFonts w:hint="eastAsia"/>
          <w:sz w:val="84"/>
          <w:szCs w:val="84"/>
          <w:lang w:val="en-US" w:eastAsia="zh-CN"/>
        </w:rPr>
        <w:t>2020</w:t>
      </w:r>
      <w:r>
        <w:rPr>
          <w:rFonts w:hint="eastAsia"/>
          <w:sz w:val="84"/>
          <w:szCs w:val="84"/>
        </w:rPr>
        <w:t>年</w:t>
      </w:r>
      <w:r>
        <w:rPr>
          <w:rFonts w:hint="eastAsia"/>
          <w:sz w:val="84"/>
          <w:szCs w:val="84"/>
          <w:lang w:eastAsia="zh-CN"/>
        </w:rPr>
        <w:t>琼海市</w:t>
      </w:r>
    </w:p>
    <w:p>
      <w:pPr>
        <w:jc w:val="center"/>
        <w:rPr>
          <w:sz w:val="84"/>
          <w:szCs w:val="84"/>
        </w:rPr>
      </w:pPr>
      <w:r>
        <w:rPr>
          <w:rFonts w:hint="eastAsia"/>
          <w:sz w:val="84"/>
          <w:szCs w:val="84"/>
          <w:lang w:eastAsia="zh-CN"/>
        </w:rPr>
        <w:t>生态环境局</w:t>
      </w:r>
      <w:r>
        <w:rPr>
          <w:rFonts w:hint="eastAsia"/>
          <w:sz w:val="84"/>
          <w:szCs w:val="84"/>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32"/>
          <w:szCs w:val="32"/>
        </w:rPr>
      </w:pPr>
    </w:p>
    <w:p>
      <w:pPr>
        <w:rPr>
          <w:sz w:val="32"/>
          <w:szCs w:val="32"/>
        </w:rPr>
      </w:pPr>
    </w:p>
    <w:p>
      <w:pPr>
        <w:rPr>
          <w:sz w:val="32"/>
          <w:szCs w:val="32"/>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_GB2312"/>
          <w:sz w:val="32"/>
          <w:szCs w:val="32"/>
        </w:rPr>
        <w:t>琼海市生态环境局</w:t>
      </w:r>
      <w:r>
        <w:rPr>
          <w:rFonts w:hint="eastAsia" w:ascii="黑体" w:hAnsi="黑体" w:eastAsia="黑体"/>
          <w:sz w:val="32"/>
          <w:szCs w:val="32"/>
        </w:rPr>
        <w:t>（部门）概况</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Chars="0"/>
        <w:jc w:val="left"/>
        <w:textAlignment w:val="auto"/>
        <w:outlineLvl w:val="9"/>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主要职能</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Chars="0"/>
        <w:jc w:val="left"/>
        <w:textAlignment w:val="auto"/>
        <w:outlineLvl w:val="9"/>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部门预算单位构成</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琼海市生态环境局（部门）</w:t>
      </w:r>
      <w:r>
        <w:rPr>
          <w:rFonts w:hint="eastAsia" w:ascii="黑体" w:hAnsi="黑体" w:eastAsia="黑体"/>
          <w:sz w:val="32"/>
          <w:szCs w:val="32"/>
          <w:lang w:val="en-US" w:eastAsia="zh-CN"/>
        </w:rPr>
        <w:t>2020</w:t>
      </w:r>
      <w:r>
        <w:rPr>
          <w:rFonts w:hint="eastAsia" w:ascii="黑体" w:hAnsi="黑体" w:eastAsia="黑体"/>
          <w:sz w:val="32"/>
          <w:szCs w:val="32"/>
        </w:rPr>
        <w:t>年部门预算表</w:t>
      </w:r>
    </w:p>
    <w:p>
      <w:pPr>
        <w:pStyle w:val="7"/>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Chars="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财政拨款收支总表</w:t>
      </w:r>
    </w:p>
    <w:p>
      <w:pPr>
        <w:pStyle w:val="7"/>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Chars="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一般公共预算支出表</w:t>
      </w:r>
    </w:p>
    <w:p>
      <w:pPr>
        <w:pStyle w:val="7"/>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Chars="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一般公共预算基本支出表</w:t>
      </w:r>
    </w:p>
    <w:p>
      <w:pPr>
        <w:pStyle w:val="7"/>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Chars="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一般公共预算“三公”经费支出表</w:t>
      </w:r>
    </w:p>
    <w:p>
      <w:pPr>
        <w:pStyle w:val="7"/>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Chars="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政府性基金预算支出表。</w:t>
      </w:r>
    </w:p>
    <w:p>
      <w:pPr>
        <w:pStyle w:val="7"/>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Chars="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政府性基金预算“三公”经费支出表</w:t>
      </w:r>
    </w:p>
    <w:p>
      <w:pPr>
        <w:pStyle w:val="7"/>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Chars="0"/>
        <w:jc w:val="left"/>
        <w:textAlignment w:val="auto"/>
        <w:outlineLvl w:val="9"/>
        <w:rPr>
          <w:rFonts w:ascii="黑体" w:hAnsi="黑体" w:eastAsia="黑体"/>
          <w:color w:val="auto"/>
          <w:sz w:val="32"/>
          <w:szCs w:val="32"/>
        </w:rPr>
      </w:pPr>
      <w:r>
        <w:rPr>
          <w:rFonts w:hint="eastAsia" w:ascii="仿宋_GB2312" w:hAnsi="仿宋_GB2312" w:eastAsia="仿宋_GB2312" w:cs="仿宋_GB2312"/>
          <w:color w:val="auto"/>
          <w:sz w:val="32"/>
          <w:szCs w:val="32"/>
        </w:rPr>
        <w:t>部门收支总表</w:t>
      </w:r>
    </w:p>
    <w:p>
      <w:pPr>
        <w:pStyle w:val="7"/>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Chars="0"/>
        <w:jc w:val="left"/>
        <w:textAlignment w:val="auto"/>
        <w:outlineLvl w:val="9"/>
        <w:rPr>
          <w:rFonts w:ascii="黑体" w:hAnsi="黑体" w:eastAsia="黑体"/>
          <w:color w:val="auto"/>
          <w:sz w:val="32"/>
          <w:szCs w:val="32"/>
        </w:rPr>
      </w:pPr>
      <w:r>
        <w:rPr>
          <w:rFonts w:hint="eastAsia" w:ascii="仿宋_GB2312" w:hAnsi="仿宋_GB2312" w:eastAsia="仿宋_GB2312" w:cs="仿宋_GB2312"/>
          <w:color w:val="auto"/>
          <w:sz w:val="32"/>
          <w:szCs w:val="32"/>
        </w:rPr>
        <w:t>部门收入总表</w:t>
      </w:r>
    </w:p>
    <w:p>
      <w:pPr>
        <w:pStyle w:val="7"/>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Chars="0"/>
        <w:jc w:val="left"/>
        <w:textAlignment w:val="auto"/>
        <w:outlineLvl w:val="9"/>
        <w:rPr>
          <w:rFonts w:ascii="黑体" w:hAnsi="黑体" w:eastAsia="黑体"/>
          <w:color w:val="auto"/>
          <w:sz w:val="32"/>
          <w:szCs w:val="32"/>
        </w:rPr>
      </w:pPr>
      <w:r>
        <w:rPr>
          <w:rFonts w:hint="eastAsia" w:ascii="仿宋_GB2312" w:hAnsi="仿宋_GB2312" w:eastAsia="仿宋_GB2312" w:cs="仿宋_GB2312"/>
          <w:color w:val="auto"/>
          <w:sz w:val="32"/>
          <w:szCs w:val="32"/>
        </w:rPr>
        <w:t>部门支出总表</w:t>
      </w:r>
    </w:p>
    <w:p>
      <w:pPr>
        <w:pStyle w:val="7"/>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Chars="0"/>
        <w:jc w:val="left"/>
        <w:textAlignment w:val="auto"/>
        <w:outlineLvl w:val="9"/>
        <w:rPr>
          <w:rFonts w:ascii="黑体" w:hAnsi="黑体" w:eastAsia="黑体"/>
          <w:color w:val="auto"/>
          <w:sz w:val="32"/>
          <w:szCs w:val="32"/>
        </w:rPr>
      </w:pPr>
      <w:r>
        <w:rPr>
          <w:rFonts w:hint="eastAsia" w:ascii="仿宋_GB2312" w:hAnsi="仿宋_GB2312" w:eastAsia="仿宋_GB2312" w:cs="仿宋_GB2312"/>
          <w:color w:val="auto"/>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琼海市生态环境局</w:t>
      </w:r>
      <w:r>
        <w:rPr>
          <w:rFonts w:hint="eastAsia" w:ascii="黑体" w:hAnsi="黑体" w:eastAsia="黑体"/>
          <w:sz w:val="32"/>
          <w:szCs w:val="32"/>
          <w:lang w:val="en-US" w:eastAsia="zh-CN"/>
        </w:rPr>
        <w:t>2020</w:t>
      </w:r>
      <w:r>
        <w:rPr>
          <w:rFonts w:hint="eastAsia" w:ascii="黑体" w:hAnsi="黑体" w:eastAsia="黑体"/>
          <w:sz w:val="32"/>
          <w:szCs w:val="32"/>
        </w:rPr>
        <w:t>年部门预算情况说明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widowControl w:val="0"/>
        <w:numPr>
          <w:ilvl w:val="0"/>
          <w:numId w:val="0"/>
        </w:numPr>
        <w:jc w:val="left"/>
        <w:rPr>
          <w:rFonts w:hint="eastAsia" w:ascii="黑体" w:hAnsi="黑体" w:eastAsia="黑体"/>
          <w:sz w:val="32"/>
          <w:szCs w:val="32"/>
        </w:rPr>
      </w:pPr>
    </w:p>
    <w:p>
      <w:pPr>
        <w:pStyle w:val="7"/>
        <w:widowControl w:val="0"/>
        <w:numPr>
          <w:ilvl w:val="0"/>
          <w:numId w:val="0"/>
        </w:numPr>
        <w:jc w:val="left"/>
        <w:rPr>
          <w:rFonts w:hint="eastAsia" w:ascii="黑体" w:hAnsi="黑体" w:eastAsia="黑体"/>
          <w:sz w:val="32"/>
          <w:szCs w:val="32"/>
        </w:rPr>
      </w:pPr>
    </w:p>
    <w:p>
      <w:pPr>
        <w:pStyle w:val="7"/>
        <w:widowControl w:val="0"/>
        <w:numPr>
          <w:ilvl w:val="0"/>
          <w:numId w:val="0"/>
        </w:numPr>
        <w:jc w:val="left"/>
        <w:rPr>
          <w:rFonts w:hint="eastAsia" w:ascii="黑体" w:hAnsi="黑体" w:eastAsia="黑体"/>
          <w:sz w:val="32"/>
          <w:szCs w:val="32"/>
        </w:rPr>
      </w:pPr>
    </w:p>
    <w:p>
      <w:pPr>
        <w:pStyle w:val="7"/>
        <w:numPr>
          <w:ilvl w:val="0"/>
          <w:numId w:val="4"/>
        </w:numPr>
        <w:ind w:firstLineChars="0"/>
        <w:jc w:val="center"/>
        <w:rPr>
          <w:rFonts w:hint="eastAsia" w:ascii="宋体" w:hAnsi="宋体" w:cs="宋体" w:eastAsiaTheme="minorEastAsia"/>
          <w:b/>
          <w:bCs/>
          <w:color w:val="000000"/>
          <w:kern w:val="0"/>
          <w:sz w:val="32"/>
          <w:szCs w:val="32"/>
          <w:lang w:val="en-US" w:eastAsia="zh-CN" w:bidi="ar-SA"/>
        </w:rPr>
      </w:pPr>
      <w:r>
        <w:rPr>
          <w:rFonts w:hint="eastAsia" w:ascii="宋体" w:hAnsi="宋体" w:cs="宋体" w:eastAsiaTheme="minorEastAsia"/>
          <w:b/>
          <w:bCs/>
          <w:color w:val="000000"/>
          <w:kern w:val="0"/>
          <w:sz w:val="32"/>
          <w:szCs w:val="32"/>
          <w:lang w:val="en-US" w:eastAsia="zh-CN" w:bidi="ar-SA"/>
        </w:rPr>
        <w:t xml:space="preserve">  </w:t>
      </w:r>
      <w:r>
        <w:rPr>
          <w:rFonts w:hint="eastAsia" w:ascii="黑体" w:hAnsi="黑体" w:eastAsia="黑体" w:cs="黑体"/>
          <w:b/>
          <w:bCs/>
          <w:color w:val="000000"/>
          <w:kern w:val="0"/>
          <w:sz w:val="32"/>
          <w:szCs w:val="32"/>
          <w:lang w:val="en-US" w:eastAsia="zh-CN" w:bidi="ar-SA"/>
        </w:rPr>
        <w:t>琼海市生态环境局概况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宋体"/>
          <w:color w:val="000000"/>
          <w:kern w:val="0"/>
          <w:sz w:val="32"/>
          <w:szCs w:val="30"/>
          <w:lang w:eastAsia="zh-CN"/>
        </w:rPr>
      </w:pPr>
      <w:r>
        <w:rPr>
          <w:rFonts w:hint="eastAsia" w:ascii="黑体" w:hAnsi="黑体" w:eastAsia="黑体" w:cs="宋体"/>
          <w:color w:val="000000"/>
          <w:kern w:val="0"/>
          <w:sz w:val="32"/>
          <w:szCs w:val="30"/>
          <w:lang w:eastAsia="zh-CN"/>
        </w:rPr>
        <w:t>一、主要职能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落实党中央和国家有关生态环境保护工作的方针政策、法律法规，执行省委、省政府决策部署和海南自由贸易试验区（自由贸易港）政策措施；贯彻实施市委市政府生态环境保护工作政策规定、规章制度和发展战略，协同推进生态环境保护改革，助推我市海南自由贸易试验区（自由贸易港）生态环境保护工作方面的意见和建议；贯彻执行生态环境规划；执行国家生态环境标准和技术规范；会同有关部门组织编制并监督实施我市重点区域、流域、海域、地下水、饮用水水源地生态环境规划和水功能区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根据市委市政府统筹安排，负责重大生态环境问题的协调和监督管理。协调重特大环境污染事故、生态破坏事件的调查处理；指导、协调全市重大突发生态环境事件的应急、预警工作；牵头指导实施生态环境损害赔偿制度；协调解决环境污染纠纷；协调重点区域、流域、海域生态环境保护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监督管理全市污染减排目标的落实。贯彻实施陆地和海洋各类污染物排放总量控制计划，贯彻执行大气、水、海洋等纳污能力；监督检查企业污染物减排任务完成情况，实施生态环境保护目标责任制；配合执行排污许可证监督管理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（四）会同有关部门开展各镇（区）党政领导班子和领导干部生态环境保护实绩评价工作。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（五）配合有关部门提出生态环境领域固定资产投资和各级财政性资金安排的意见，配合有关部门做好组织实施。参与指导推动循环经济和生态环保产业发展。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责环境污染防治的监督管理。执行大气、水、海洋、土壤、噪声、光、恶臭、固体废物、化学品、机动车等的污染防治管理制度并监督实施；会同有关部门监督管理饮用水水源地生态环境保护工作，协助指导城乡生态环境综合整治工作，监督指导农业面源污染治理工作；监督指导大气环境保护工作，按照省统一部署实施大气污染联防联控协作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指导、监督生态保护修复，参与推进国家生态文明试验区建设工作。协助编制并实施生态保护规划；监督对生态环境有影响的自然资源开发利用活动、重要生态环境建设和生态破坏恢复工作；组织实施各类自然保护地生态环境监管制度并监督执法；监督野生动植物保护、湿地生态环境保护和荒漠化防治等工作；指导、协调和监督全市农村生态环境保护，协调开展各类生态创建工作和生态示范区建设工作；组织协调生物多样性保护工作；参与生态保护补偿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（八）配合省级部门核与辐射安全的监督管理。配合监督管理放射源安全，指导放射性废物的管理。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负责生态环境准入的监督管理。受市政府委托负责协调对重大经济和技术政策、发展规划以及重大经济开发计划进行环境影响评价；按管理权限组织审批或审查重点开发建设区域、规划、项目环境影响评价文件；参与拟订并组织实施生态环境准入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组织开展生态环境监测。贯彻执行地方性生态环境监测制度、规范和标准；会同有关部门统一规划生态环境质量监测站点设置，组织实施生态环境质量监测、污染源监督性监测、温室气体减排监测、应急监测。组织对生态环境质量状况进行调查评价、预测预警；建立和实行生态环境质量公告制度，按市政府要求统一发布重大生态环境信息和生态环境状况公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（十一）协调执行应对气候变化及温室气体减排的规划和政策措施，并监督实施；协助应对气候变化及碳减排的综合协调工作。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（十二）配合开展中央、省生态环境保护督察。执行生态环境保护督察制度，协调生态环境保护督察工作。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（十三）统一负责生态环境监督执法。组织开展全市生态环境保护执法检查活动，建立健全生态环境保护综合行政执法队伍建设和业务工作。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（十四）组织、指导和协调生态环境宣传教育工作，推动社会组织和公众参与生态环境保护。开展生态环境科技工作，推动生态环境技术管理体系建设。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（十五）配合开展生态环境国际合作和交流，参与处理涉外有关生态环境事务。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（十六）承办市委、市政府交办的其他事项。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ascii="仿宋_GB2312" w:hAnsi="黑体" w:eastAsia="仿宋_GB2312" w:cs="仿宋_GB2312"/>
          <w:sz w:val="32"/>
          <w:szCs w:val="32"/>
        </w:rPr>
      </w:pPr>
      <w:r>
        <w:rPr>
          <w:rFonts w:hint="eastAsia" w:ascii="仿宋_GB2312" w:hAnsi="仿宋_GB2312" w:eastAsia="仿宋_GB2312" w:cs="仿宋_GB2312"/>
          <w:sz w:val="32"/>
          <w:szCs w:val="32"/>
        </w:rPr>
        <w:t>（十七）职能转变。市生态环境局要统一行使生态和城乡各类污染排放监管与行政执法职责，切实履行监管责任，全面落实大气、水、土壤污染防治行动计划，大幅减少固体废物种类和数量直至全面禁止洋垃圾入境。构建政府为主导、企业为主体、社会组织和公众共同参与的生态环境治理体系，实行最严格的生态环境保护制度，严守生态保护红线和环境质量底线，坚决打好污染防治攻坚战，保障全市生态安全。</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outlineLvl w:val="9"/>
        <w:rPr>
          <w:rFonts w:ascii="黑体" w:hAnsi="黑体" w:eastAsia="黑体" w:cs="仿宋_GB2312"/>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部门预算单位构成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黑体" w:eastAsia="仿宋_GB2312" w:cs="仿宋_GB2312"/>
          <w:sz w:val="32"/>
          <w:szCs w:val="32"/>
        </w:rPr>
      </w:pPr>
      <w:r>
        <w:rPr>
          <w:rFonts w:hint="eastAsia" w:ascii="仿宋_GB2312" w:hAnsi="黑体" w:eastAsia="仿宋_GB2312" w:cs="仿宋_GB2312"/>
          <w:sz w:val="32"/>
          <w:szCs w:val="32"/>
        </w:rPr>
        <w:t>纳入琼海市生态环境保护局2019年部门预算编制范围的二级预算单位包括：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琼海市生态环境保护局本级</w:t>
      </w:r>
    </w:p>
    <w:p>
      <w:pPr>
        <w:pStyle w:val="7"/>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黑体" w:eastAsia="仿宋_GB2312" w:cs="仿宋_GB2312"/>
          <w:sz w:val="32"/>
          <w:szCs w:val="32"/>
        </w:rPr>
      </w:pPr>
      <w:r>
        <w:rPr>
          <w:rFonts w:hint="eastAsia" w:ascii="仿宋_GB2312" w:hAnsi="黑体" w:eastAsia="仿宋_GB2312" w:cs="仿宋_GB2312"/>
          <w:sz w:val="32"/>
          <w:szCs w:val="32"/>
        </w:rPr>
        <w:t>2.下属事业单位：琼海市环境监测站</w:t>
      </w:r>
    </w:p>
    <w:p>
      <w:pPr>
        <w:pStyle w:val="7"/>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琼海市生态环境局20</w:t>
      </w:r>
      <w:r>
        <w:rPr>
          <w:rFonts w:hint="eastAsia" w:ascii="黑体" w:hAnsi="黑体" w:eastAsia="黑体"/>
          <w:sz w:val="32"/>
          <w:szCs w:val="32"/>
          <w:lang w:val="en-US" w:eastAsia="zh-CN"/>
        </w:rPr>
        <w:t>20</w:t>
      </w:r>
      <w:r>
        <w:rPr>
          <w:rFonts w:hint="eastAsia" w:ascii="黑体" w:hAnsi="黑体" w:eastAsia="黑体"/>
          <w:sz w:val="32"/>
          <w:szCs w:val="32"/>
        </w:rPr>
        <w:t>年部门预算表</w:t>
      </w:r>
    </w:p>
    <w:p>
      <w:pPr>
        <w:ind w:left="800"/>
        <w:jc w:val="center"/>
        <w:rPr>
          <w:rFonts w:hint="eastAsia" w:ascii="仿宋_GB2312" w:hAnsi="黑体" w:eastAsia="仿宋_GB2312"/>
          <w:b/>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琼海市生态环境局</w:t>
      </w:r>
      <w:r>
        <w:rPr>
          <w:rFonts w:hint="eastAsia" w:ascii="黑体" w:hAnsi="黑体" w:eastAsia="黑体"/>
          <w:sz w:val="32"/>
          <w:szCs w:val="32"/>
          <w:lang w:val="en-US" w:eastAsia="zh-CN"/>
        </w:rPr>
        <w:t>2020</w:t>
      </w:r>
      <w:r>
        <w:rPr>
          <w:rFonts w:hint="eastAsia" w:ascii="黑体" w:hAnsi="黑体" w:eastAsia="黑体"/>
          <w:sz w:val="32"/>
          <w:szCs w:val="32"/>
        </w:rPr>
        <w:t>年部门预算情况说明</w:t>
      </w:r>
    </w:p>
    <w:p>
      <w:pPr>
        <w:keepNext w:val="0"/>
        <w:keepLines w:val="0"/>
        <w:pageBreakBefore w:val="0"/>
        <w:kinsoku/>
        <w:wordWrap/>
        <w:overflowPunct/>
        <w:topLinePunct w:val="0"/>
        <w:bidi w:val="0"/>
        <w:snapToGrid/>
        <w:spacing w:line="600" w:lineRule="exact"/>
        <w:ind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琼海市生态环境局</w:t>
      </w:r>
      <w:r>
        <w:rPr>
          <w:rFonts w:hint="eastAsia" w:ascii="黑体" w:hAnsi="黑体" w:eastAsia="黑体"/>
          <w:sz w:val="32"/>
          <w:szCs w:val="32"/>
          <w:lang w:val="en-US" w:eastAsia="zh-CN"/>
        </w:rPr>
        <w:t>2020</w:t>
      </w:r>
      <w:r>
        <w:rPr>
          <w:rFonts w:hint="eastAsia" w:ascii="黑体" w:hAnsi="黑体" w:eastAsia="黑体"/>
          <w:sz w:val="32"/>
          <w:szCs w:val="32"/>
        </w:rPr>
        <w:t>年财政拨款收支预算情况的总体说明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ascii="仿宋_GB2312" w:hAnsi="黑体" w:eastAsia="仿宋_GB2312"/>
          <w:sz w:val="32"/>
          <w:szCs w:val="32"/>
        </w:rPr>
      </w:pPr>
      <w:r>
        <w:rPr>
          <w:rFonts w:hint="eastAsia" w:ascii="仿宋_GB2312" w:hAnsi="黑体" w:eastAsia="仿宋_GB2312"/>
          <w:sz w:val="32"/>
          <w:szCs w:val="32"/>
          <w:lang w:eastAsia="zh-CN"/>
        </w:rPr>
        <w:t>琼海市生态环境局</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884.07</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884.07</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332.83</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551.24</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884.07</w:t>
      </w:r>
      <w:r>
        <w:rPr>
          <w:rFonts w:hint="eastAsia" w:ascii="仿宋_GB2312" w:hAnsi="黑体" w:eastAsia="仿宋_GB2312"/>
          <w:sz w:val="32"/>
          <w:szCs w:val="32"/>
        </w:rPr>
        <w:t>万元，包括</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24.94</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31.72万元</w:t>
      </w:r>
      <w:r>
        <w:rPr>
          <w:rFonts w:hint="eastAsia" w:ascii="仿宋_GB2312" w:hAnsi="黑体" w:eastAsia="仿宋_GB2312"/>
          <w:sz w:val="32"/>
          <w:szCs w:val="32"/>
        </w:rPr>
        <w:t>、</w:t>
      </w:r>
      <w:r>
        <w:rPr>
          <w:rFonts w:hint="eastAsia" w:ascii="仿宋_GB2312" w:hAnsi="黑体" w:eastAsia="仿宋_GB2312"/>
          <w:sz w:val="32"/>
          <w:szCs w:val="32"/>
          <w:lang w:eastAsia="zh-CN"/>
        </w:rPr>
        <w:t>节能环保支出</w:t>
      </w:r>
      <w:r>
        <w:rPr>
          <w:rFonts w:hint="eastAsia" w:ascii="仿宋_GB2312" w:hAnsi="黑体" w:eastAsia="仿宋_GB2312"/>
          <w:sz w:val="32"/>
          <w:szCs w:val="32"/>
          <w:lang w:val="en-US" w:eastAsia="zh-CN"/>
        </w:rPr>
        <w:t>254万元、城乡社区支出551.24万元、住房保障支出22.17万元，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keepNext w:val="0"/>
        <w:keepLines w:val="0"/>
        <w:pageBreakBefore w:val="0"/>
        <w:kinsoku/>
        <w:wordWrap/>
        <w:overflowPunct/>
        <w:topLinePunct w:val="0"/>
        <w:bidi w:val="0"/>
        <w:snapToGrid/>
        <w:spacing w:line="600" w:lineRule="exact"/>
        <w:ind w:firstLine="640"/>
        <w:jc w:val="left"/>
        <w:textAlignment w:val="auto"/>
        <w:outlineLvl w:val="9"/>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琼海市生态环境局</w:t>
      </w:r>
      <w:r>
        <w:rPr>
          <w:rFonts w:hint="eastAsia" w:ascii="黑体" w:hAnsi="黑体" w:eastAsia="黑体"/>
          <w:sz w:val="32"/>
          <w:szCs w:val="32"/>
          <w:lang w:val="en-US" w:eastAsia="zh-CN"/>
        </w:rPr>
        <w:t>2020</w:t>
      </w:r>
      <w:r>
        <w:rPr>
          <w:rFonts w:hint="eastAsia" w:ascii="黑体" w:hAnsi="黑体" w:eastAsia="黑体"/>
          <w:sz w:val="32"/>
          <w:szCs w:val="32"/>
        </w:rPr>
        <w:t>年一般公共预算当年拨款情况说明</w:t>
      </w:r>
    </w:p>
    <w:p>
      <w:pPr>
        <w:keepNext w:val="0"/>
        <w:keepLines w:val="0"/>
        <w:pageBreakBefore w:val="0"/>
        <w:kinsoku/>
        <w:wordWrap/>
        <w:overflowPunct/>
        <w:topLinePunct w:val="0"/>
        <w:bidi w:val="0"/>
        <w:snapToGrid/>
        <w:spacing w:line="600" w:lineRule="exact"/>
        <w:ind w:firstLine="640"/>
        <w:jc w:val="left"/>
        <w:textAlignment w:val="auto"/>
        <w:outlineLvl w:val="9"/>
        <w:rPr>
          <w:rFonts w:ascii="楷体" w:hAnsi="楷体" w:eastAsia="楷体"/>
          <w:sz w:val="32"/>
          <w:szCs w:val="32"/>
        </w:rPr>
      </w:pPr>
      <w:r>
        <w:rPr>
          <w:rFonts w:hint="eastAsia" w:ascii="楷体" w:hAnsi="楷体" w:eastAsia="楷体"/>
          <w:sz w:val="32"/>
          <w:szCs w:val="32"/>
        </w:rPr>
        <w:t>（一）一般公共预算当年规模变化情况</w:t>
      </w:r>
    </w:p>
    <w:p>
      <w:pPr>
        <w:keepNext w:val="0"/>
        <w:keepLines w:val="0"/>
        <w:pageBreakBefore w:val="0"/>
        <w:kinsoku/>
        <w:wordWrap/>
        <w:overflowPunct/>
        <w:topLinePunct w:val="0"/>
        <w:bidi w:val="0"/>
        <w:snapToGrid/>
        <w:spacing w:line="600" w:lineRule="exact"/>
        <w:ind w:firstLine="640" w:firstLineChars="200"/>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rPr>
        <w:t>琼海市生态环境局</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332.83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1367.51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其它环境监测与监察支出、其他环境保护管理事务支出、污水处理项目支出、部门职能划转后人员减少，预算资金相应减少。</w:t>
      </w:r>
    </w:p>
    <w:p>
      <w:pPr>
        <w:keepNext w:val="0"/>
        <w:keepLines w:val="0"/>
        <w:pageBreakBefore w:val="0"/>
        <w:kinsoku/>
        <w:wordWrap/>
        <w:overflowPunct/>
        <w:topLinePunct w:val="0"/>
        <w:bidi w:val="0"/>
        <w:snapToGrid/>
        <w:spacing w:line="600" w:lineRule="exact"/>
        <w:ind w:firstLine="640"/>
        <w:jc w:val="left"/>
        <w:textAlignment w:val="auto"/>
        <w:outlineLvl w:val="9"/>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kinsoku/>
        <w:wordWrap/>
        <w:overflowPunct/>
        <w:topLinePunct w:val="0"/>
        <w:bidi w:val="0"/>
        <w:snapToGrid/>
        <w:spacing w:line="600" w:lineRule="exact"/>
        <w:ind w:firstLine="800" w:firstLineChars="250"/>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社会保障和就业支出（类）</w:t>
      </w:r>
      <w:r>
        <w:rPr>
          <w:rFonts w:hint="eastAsia" w:ascii="仿宋_GB2312" w:hAnsi="黑体" w:eastAsia="仿宋_GB2312"/>
          <w:sz w:val="32"/>
          <w:szCs w:val="32"/>
          <w:lang w:val="en-US" w:eastAsia="zh-CN"/>
        </w:rPr>
        <w:t>24.94</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hint="eastAsia" w:ascii="仿宋_GB2312" w:hAnsi="黑体" w:eastAsia="仿宋_GB2312"/>
          <w:sz w:val="32"/>
          <w:szCs w:val="32"/>
          <w:lang w:val="en-US" w:eastAsia="zh-CN"/>
        </w:rPr>
        <w:t>7.49</w:t>
      </w:r>
      <w:r>
        <w:rPr>
          <w:rFonts w:hint="eastAsia" w:ascii="仿宋_GB2312" w:hAnsi="黑体" w:eastAsia="仿宋_GB2312"/>
          <w:sz w:val="32"/>
          <w:szCs w:val="32"/>
        </w:rPr>
        <w:t>%；</w:t>
      </w:r>
      <w:r>
        <w:rPr>
          <w:rFonts w:hint="eastAsia" w:ascii="仿宋_GB2312" w:hAnsi="黑体" w:eastAsia="仿宋_GB2312"/>
          <w:sz w:val="32"/>
          <w:szCs w:val="32"/>
          <w:lang w:eastAsia="zh-CN"/>
        </w:rPr>
        <w:t>卫生健康支出（类）</w:t>
      </w:r>
      <w:r>
        <w:rPr>
          <w:rFonts w:hint="eastAsia" w:ascii="仿宋_GB2312" w:hAnsi="黑体" w:eastAsia="仿宋_GB2312"/>
          <w:sz w:val="32"/>
          <w:szCs w:val="32"/>
          <w:lang w:val="en-US" w:eastAsia="zh-CN"/>
        </w:rPr>
        <w:t>31.72万元，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,9.53</w:t>
      </w:r>
      <w:r>
        <w:rPr>
          <w:rFonts w:hint="eastAsia" w:ascii="仿宋_GB2312" w:hAnsi="黑体" w:eastAsia="仿宋_GB2312"/>
          <w:sz w:val="32"/>
          <w:szCs w:val="32"/>
        </w:rPr>
        <w:t>%</w:t>
      </w:r>
      <w:r>
        <w:rPr>
          <w:rFonts w:hint="eastAsia" w:ascii="仿宋_GB2312" w:hAnsi="黑体" w:eastAsia="仿宋_GB2312"/>
          <w:sz w:val="32"/>
          <w:szCs w:val="32"/>
          <w:lang w:eastAsia="zh-CN"/>
        </w:rPr>
        <w:t>；节能环保支出（类）</w:t>
      </w:r>
      <w:r>
        <w:rPr>
          <w:rFonts w:hint="eastAsia" w:ascii="仿宋_GB2312" w:hAnsi="黑体" w:eastAsia="仿宋_GB2312"/>
          <w:sz w:val="32"/>
          <w:szCs w:val="32"/>
          <w:lang w:val="en-US" w:eastAsia="zh-CN"/>
        </w:rPr>
        <w:t>254万元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hint="eastAsia" w:ascii="仿宋_GB2312" w:hAnsi="黑体" w:eastAsia="仿宋_GB2312"/>
          <w:sz w:val="32"/>
          <w:szCs w:val="32"/>
          <w:lang w:val="en-US" w:eastAsia="zh-CN"/>
        </w:rPr>
        <w:t>76.3</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住房保障支出</w:t>
      </w:r>
      <w:r>
        <w:rPr>
          <w:rFonts w:hint="eastAsia" w:ascii="仿宋_GB2312" w:hAnsi="黑体" w:eastAsia="仿宋_GB2312"/>
          <w:sz w:val="32"/>
          <w:szCs w:val="32"/>
          <w:lang w:eastAsia="zh-CN"/>
        </w:rPr>
        <w:t>（类）</w:t>
      </w:r>
      <w:r>
        <w:rPr>
          <w:rFonts w:hint="eastAsia" w:ascii="仿宋_GB2312" w:hAnsi="黑体" w:eastAsia="仿宋_GB2312"/>
          <w:sz w:val="32"/>
          <w:szCs w:val="32"/>
          <w:lang w:val="en-US" w:eastAsia="zh-CN"/>
        </w:rPr>
        <w:t>22.17万元，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6.66</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keepNext w:val="0"/>
        <w:keepLines w:val="0"/>
        <w:pageBreakBefore w:val="0"/>
        <w:kinsoku/>
        <w:wordWrap/>
        <w:overflowPunct/>
        <w:topLinePunct w:val="0"/>
        <w:bidi w:val="0"/>
        <w:snapToGrid/>
        <w:spacing w:line="600" w:lineRule="exact"/>
        <w:ind w:firstLine="640"/>
        <w:jc w:val="left"/>
        <w:textAlignment w:val="auto"/>
        <w:outlineLvl w:val="9"/>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黑体" w:eastAsia="仿宋_GB2312"/>
          <w:sz w:val="32"/>
          <w:szCs w:val="32"/>
        </w:rPr>
      </w:pPr>
      <w:r>
        <w:rPr>
          <w:rFonts w:hint="eastAsia" w:ascii="仿宋_GB2312" w:hAnsi="黑体" w:eastAsia="仿宋_GB2312" w:cs="仿宋_GB2312"/>
          <w:sz w:val="32"/>
          <w:szCs w:val="32"/>
        </w:rPr>
        <w:t>1.</w:t>
      </w:r>
      <w:r>
        <w:rPr>
          <w:rFonts w:hint="eastAsia" w:ascii="仿宋_GB2312" w:hAnsi="黑体" w:eastAsia="仿宋_GB2312"/>
          <w:sz w:val="32"/>
          <w:szCs w:val="32"/>
        </w:rPr>
        <w:t>社会保障和就业支出（类）行政事业单位养老支出（款）机关事业单位基本养老保险缴费支出（项）20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年预算数为24.94万元，比上年预算数减少</w:t>
      </w:r>
      <w:r>
        <w:rPr>
          <w:rFonts w:hint="eastAsia" w:ascii="仿宋_GB2312" w:hAnsi="黑体" w:eastAsia="仿宋_GB2312"/>
          <w:sz w:val="32"/>
          <w:szCs w:val="32"/>
          <w:lang w:val="en-US" w:eastAsia="zh-CN"/>
        </w:rPr>
        <w:t>9.55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部门职能划转后人员减少，预算资金相应减少</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黑体" w:eastAsia="仿宋_GB2312"/>
          <w:sz w:val="32"/>
          <w:szCs w:val="32"/>
        </w:rPr>
      </w:pPr>
      <w:r>
        <w:rPr>
          <w:rFonts w:hint="eastAsia" w:ascii="仿宋_GB2312" w:hAnsi="黑体" w:eastAsia="仿宋_GB2312"/>
          <w:sz w:val="32"/>
          <w:szCs w:val="32"/>
        </w:rPr>
        <w:t>2.卫生健康支出（类）行政事业单位医疗（款）行政单位医疗（项）20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年预算数为6.95万元。比上年预算数增加1.4</w:t>
      </w:r>
      <w:r>
        <w:rPr>
          <w:rFonts w:hint="eastAsia" w:ascii="仿宋_GB2312" w:hAnsi="黑体" w:eastAsia="仿宋_GB2312"/>
          <w:sz w:val="32"/>
          <w:szCs w:val="32"/>
          <w:lang w:val="en-US" w:eastAsia="zh-CN"/>
        </w:rPr>
        <w:t>8</w:t>
      </w:r>
      <w:r>
        <w:rPr>
          <w:rFonts w:hint="eastAsia" w:ascii="仿宋_GB2312" w:hAnsi="黑体" w:eastAsia="仿宋_GB2312"/>
          <w:sz w:val="32"/>
          <w:szCs w:val="32"/>
        </w:rPr>
        <w:t>万元。主要是人员</w:t>
      </w:r>
      <w:r>
        <w:rPr>
          <w:rFonts w:hint="eastAsia" w:ascii="仿宋_GB2312" w:hAnsi="黑体" w:eastAsia="仿宋_GB2312"/>
          <w:sz w:val="32"/>
          <w:szCs w:val="32"/>
          <w:lang w:eastAsia="zh-CN"/>
        </w:rPr>
        <w:t>增加</w:t>
      </w:r>
      <w:r>
        <w:rPr>
          <w:rFonts w:hint="eastAsia" w:ascii="仿宋_GB2312" w:hAnsi="黑体" w:eastAsia="仿宋_GB2312"/>
          <w:sz w:val="32"/>
          <w:szCs w:val="32"/>
        </w:rPr>
        <w:t>变化。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黑体" w:eastAsia="仿宋_GB2312"/>
          <w:sz w:val="32"/>
          <w:szCs w:val="32"/>
        </w:rPr>
      </w:pPr>
      <w:r>
        <w:rPr>
          <w:rFonts w:hint="eastAsia" w:ascii="仿宋_GB2312" w:hAnsi="黑体" w:eastAsia="仿宋_GB2312"/>
          <w:sz w:val="32"/>
          <w:szCs w:val="32"/>
        </w:rPr>
        <w:t>3.卫生健康支出（类）行政事业单位医疗（款）事业单位医疗（项）20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6.29</w:t>
      </w:r>
      <w:r>
        <w:rPr>
          <w:rFonts w:hint="eastAsia" w:ascii="仿宋_GB2312" w:hAnsi="黑体" w:eastAsia="仿宋_GB2312"/>
          <w:sz w:val="32"/>
          <w:szCs w:val="32"/>
        </w:rPr>
        <w:t>万元。比上年预算数减少</w:t>
      </w:r>
      <w:r>
        <w:rPr>
          <w:rFonts w:hint="eastAsia" w:ascii="仿宋_GB2312" w:hAnsi="黑体" w:eastAsia="仿宋_GB2312"/>
          <w:sz w:val="32"/>
          <w:szCs w:val="32"/>
          <w:lang w:val="en-US" w:eastAsia="zh-CN"/>
        </w:rPr>
        <w:t>3.63</w:t>
      </w:r>
      <w:r>
        <w:rPr>
          <w:rFonts w:hint="eastAsia" w:ascii="仿宋_GB2312" w:hAnsi="黑体" w:eastAsia="仿宋_GB2312"/>
          <w:sz w:val="32"/>
          <w:szCs w:val="32"/>
        </w:rPr>
        <w:t>万元，主要是人员医疗保险费用缴纳基数变化。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黑体" w:eastAsia="仿宋_GB2312"/>
          <w:sz w:val="32"/>
          <w:szCs w:val="32"/>
        </w:rPr>
      </w:pPr>
      <w:r>
        <w:rPr>
          <w:rFonts w:hint="eastAsia" w:ascii="仿宋_GB2312" w:hAnsi="黑体" w:eastAsia="仿宋_GB2312"/>
          <w:sz w:val="32"/>
          <w:szCs w:val="32"/>
        </w:rPr>
        <w:t>4.卫生健康支出（类）行政事业单位医疗（款）公务员医疗补助（项）20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18.47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rPr>
        <w:t>2.</w:t>
      </w:r>
      <w:r>
        <w:rPr>
          <w:rFonts w:hint="eastAsia" w:ascii="仿宋_GB2312" w:hAnsi="黑体" w:eastAsia="仿宋_GB2312"/>
          <w:sz w:val="32"/>
          <w:szCs w:val="32"/>
          <w:lang w:val="en-US" w:eastAsia="zh-CN"/>
        </w:rPr>
        <w:t>8</w:t>
      </w:r>
      <w:r>
        <w:rPr>
          <w:rFonts w:hint="eastAsia" w:ascii="仿宋_GB2312" w:hAnsi="黑体" w:eastAsia="仿宋_GB2312"/>
          <w:sz w:val="32"/>
          <w:szCs w:val="32"/>
        </w:rPr>
        <w:t>万元，主要原因是公务员医疗补助基数</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黑体" w:eastAsia="仿宋_GB2312"/>
          <w:sz w:val="32"/>
          <w:szCs w:val="32"/>
        </w:rPr>
      </w:pPr>
      <w:r>
        <w:rPr>
          <w:rFonts w:hint="eastAsia" w:ascii="仿宋_GB2312" w:hAnsi="黑体" w:eastAsia="仿宋_GB2312"/>
          <w:sz w:val="32"/>
          <w:szCs w:val="32"/>
        </w:rPr>
        <w:t>5.节能环保支出（类）环境保护管理事务（款）行政运行（项）20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102.62</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16.51</w:t>
      </w:r>
      <w:r>
        <w:rPr>
          <w:rFonts w:hint="eastAsia" w:ascii="仿宋_GB2312" w:hAnsi="黑体" w:eastAsia="仿宋_GB2312"/>
          <w:sz w:val="32"/>
          <w:szCs w:val="32"/>
        </w:rPr>
        <w:t>万元，主要是人员经费增加。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黑体" w:eastAsia="仿宋_GB2312"/>
          <w:sz w:val="32"/>
          <w:szCs w:val="32"/>
        </w:rPr>
      </w:pPr>
      <w:r>
        <w:rPr>
          <w:rFonts w:hint="eastAsia" w:ascii="仿宋_GB2312" w:hAnsi="黑体" w:eastAsia="仿宋_GB2312"/>
          <w:sz w:val="32"/>
          <w:szCs w:val="32"/>
        </w:rPr>
        <w:t>6.节能环保支出（类）环境保护管理事务（款）其他环境保护管理事务支出（项）20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53.30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147.7</w:t>
      </w:r>
      <w:r>
        <w:rPr>
          <w:rFonts w:hint="eastAsia" w:ascii="仿宋_GB2312" w:hAnsi="黑体" w:eastAsia="仿宋_GB2312"/>
          <w:sz w:val="32"/>
          <w:szCs w:val="32"/>
        </w:rPr>
        <w:t>万元，主要是机动车遥感监测平台等相关工作经费</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黑体" w:eastAsia="仿宋_GB2312"/>
          <w:sz w:val="32"/>
          <w:szCs w:val="32"/>
        </w:rPr>
      </w:pPr>
      <w:r>
        <w:rPr>
          <w:rFonts w:hint="eastAsia" w:ascii="仿宋_GB2312" w:hAnsi="黑体" w:eastAsia="仿宋_GB2312"/>
          <w:sz w:val="32"/>
          <w:szCs w:val="32"/>
        </w:rPr>
        <w:t>7.节能环保支出（类）环境监测与监察（款）建设项目环评审查与监督（项）20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5</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w:t>
      </w:r>
      <w:r>
        <w:rPr>
          <w:rFonts w:hint="eastAsia" w:ascii="仿宋_GB2312" w:hAnsi="黑体" w:eastAsia="仿宋_GB2312"/>
          <w:sz w:val="32"/>
          <w:szCs w:val="32"/>
        </w:rPr>
        <w:t>环评审查与监督</w:t>
      </w:r>
      <w:r>
        <w:rPr>
          <w:rFonts w:hint="eastAsia" w:ascii="仿宋_GB2312" w:hAnsi="黑体" w:eastAsia="仿宋_GB2312"/>
          <w:sz w:val="32"/>
          <w:szCs w:val="32"/>
          <w:lang w:eastAsia="zh-CN"/>
        </w:rPr>
        <w:t>为新增项目</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黑体" w:eastAsia="仿宋_GB2312"/>
          <w:sz w:val="32"/>
          <w:szCs w:val="32"/>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.节能环保支出（类）环境监测与监察（款）其他环境监测与监察支出（项）20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93.07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528.47</w:t>
      </w:r>
      <w:r>
        <w:rPr>
          <w:rFonts w:hint="eastAsia" w:ascii="仿宋_GB2312" w:hAnsi="黑体" w:eastAsia="仿宋_GB2312"/>
          <w:sz w:val="32"/>
          <w:szCs w:val="32"/>
        </w:rPr>
        <w:t>万元，主要是主要是</w:t>
      </w:r>
      <w:r>
        <w:rPr>
          <w:rFonts w:hint="eastAsia" w:ascii="仿宋_GB2312" w:hAnsi="黑体" w:eastAsia="仿宋_GB2312"/>
          <w:sz w:val="32"/>
          <w:szCs w:val="32"/>
          <w:lang w:eastAsia="zh-CN"/>
        </w:rPr>
        <w:t>部门职能划转后人员减少，预算资金相应减少，以及辐射仪器和酸沉降仪器等</w:t>
      </w:r>
      <w:r>
        <w:rPr>
          <w:rFonts w:hint="eastAsia" w:ascii="仿宋_GB2312" w:hAnsi="黑体" w:eastAsia="仿宋_GB2312"/>
          <w:sz w:val="32"/>
          <w:szCs w:val="32"/>
        </w:rPr>
        <w:t>相关工作经费</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黑体" w:eastAsia="仿宋_GB2312"/>
          <w:sz w:val="32"/>
          <w:szCs w:val="32"/>
        </w:rPr>
      </w:pPr>
      <w:r>
        <w:rPr>
          <w:rFonts w:hint="eastAsia" w:ascii="仿宋_GB2312" w:hAnsi="黑体" w:eastAsia="仿宋_GB2312"/>
          <w:sz w:val="32"/>
          <w:szCs w:val="32"/>
          <w:lang w:val="en-US" w:eastAsia="zh-CN"/>
        </w:rPr>
        <w:t>9</w:t>
      </w:r>
      <w:r>
        <w:rPr>
          <w:rFonts w:hint="eastAsia" w:ascii="仿宋_GB2312" w:hAnsi="黑体" w:eastAsia="仿宋_GB2312"/>
          <w:sz w:val="32"/>
          <w:szCs w:val="32"/>
        </w:rPr>
        <w:t>.住房保障支出（类）住房改革支出（款）住房公积金（项）20</w:t>
      </w:r>
      <w:r>
        <w:rPr>
          <w:rFonts w:hint="eastAsia" w:ascii="仿宋_GB2312" w:hAnsi="黑体" w:eastAsia="仿宋_GB2312"/>
          <w:sz w:val="32"/>
          <w:szCs w:val="32"/>
          <w:lang w:val="en-US" w:eastAsia="zh-CN"/>
        </w:rPr>
        <w:t>20</w:t>
      </w:r>
      <w:r>
        <w:rPr>
          <w:rFonts w:hint="eastAsia" w:ascii="仿宋_GB2312" w:hAnsi="黑体" w:eastAsia="仿宋_GB2312"/>
          <w:sz w:val="32"/>
          <w:szCs w:val="32"/>
        </w:rPr>
        <w:t>年预算数为22.17万元，比上年预算数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3.35</w:t>
      </w:r>
      <w:r>
        <w:rPr>
          <w:rFonts w:hint="eastAsia" w:ascii="仿宋_GB2312" w:hAnsi="黑体" w:eastAsia="仿宋_GB2312"/>
          <w:sz w:val="32"/>
          <w:szCs w:val="32"/>
        </w:rPr>
        <w:t>万元。主要原因是人员</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keepNext w:val="0"/>
        <w:keepLines w:val="0"/>
        <w:pageBreakBefore w:val="0"/>
        <w:kinsoku/>
        <w:wordWrap/>
        <w:overflowPunct/>
        <w:topLinePunct w:val="0"/>
        <w:bidi w:val="0"/>
        <w:snapToGrid/>
        <w:spacing w:line="600" w:lineRule="exact"/>
        <w:ind w:firstLine="640"/>
        <w:textAlignment w:val="auto"/>
        <w:outlineLvl w:val="9"/>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琼海市生态环境局</w:t>
      </w:r>
      <w:r>
        <w:rPr>
          <w:rFonts w:hint="eastAsia" w:ascii="黑体" w:hAnsi="黑体" w:eastAsia="黑体"/>
          <w:sz w:val="32"/>
          <w:szCs w:val="32"/>
          <w:lang w:val="en-US" w:eastAsia="zh-CN"/>
        </w:rPr>
        <w:t>2020</w:t>
      </w:r>
      <w:r>
        <w:rPr>
          <w:rFonts w:hint="eastAsia" w:ascii="黑体" w:hAnsi="黑体" w:eastAsia="黑体"/>
          <w:sz w:val="32"/>
          <w:szCs w:val="32"/>
        </w:rPr>
        <w:t>年一般公共预算基本支出情况说明</w:t>
      </w:r>
    </w:p>
    <w:p>
      <w:pPr>
        <w:keepNext w:val="0"/>
        <w:keepLines w:val="0"/>
        <w:pageBreakBefore w:val="0"/>
        <w:kinsoku/>
        <w:wordWrap/>
        <w:overflowPunct/>
        <w:topLinePunct w:val="0"/>
        <w:bidi w:val="0"/>
        <w:snapToGrid/>
        <w:spacing w:line="600" w:lineRule="exact"/>
        <w:ind w:firstLine="640" w:firstLineChars="200"/>
        <w:textAlignment w:val="auto"/>
        <w:outlineLvl w:val="9"/>
        <w:rPr>
          <w:rFonts w:ascii="仿宋_GB2312" w:hAnsi="黑体" w:eastAsia="仿宋_GB2312"/>
          <w:sz w:val="32"/>
          <w:szCs w:val="32"/>
        </w:rPr>
      </w:pPr>
      <w:r>
        <w:rPr>
          <w:rFonts w:hint="eastAsia" w:ascii="仿宋_GB2312" w:hAnsi="黑体" w:eastAsia="仿宋_GB2312"/>
          <w:sz w:val="32"/>
          <w:szCs w:val="32"/>
          <w:lang w:eastAsia="zh-CN"/>
        </w:rPr>
        <w:t>琼海市生态环境局</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274.53</w:t>
      </w:r>
      <w:r>
        <w:rPr>
          <w:rFonts w:hint="eastAsia" w:ascii="仿宋_GB2312" w:hAnsi="黑体" w:eastAsia="仿宋_GB2312"/>
          <w:sz w:val="32"/>
          <w:szCs w:val="32"/>
        </w:rPr>
        <w:t>万元，其中：</w:t>
      </w:r>
    </w:p>
    <w:p>
      <w:pPr>
        <w:keepNext w:val="0"/>
        <w:keepLines w:val="0"/>
        <w:pageBreakBefore w:val="0"/>
        <w:kinsoku/>
        <w:wordWrap/>
        <w:overflowPunct/>
        <w:topLinePunct w:val="0"/>
        <w:bidi w:val="0"/>
        <w:snapToGrid/>
        <w:spacing w:line="600" w:lineRule="exact"/>
        <w:ind w:firstLine="640" w:firstLineChars="200"/>
        <w:textAlignment w:val="auto"/>
        <w:outlineLvl w:val="9"/>
        <w:rPr>
          <w:rFonts w:hint="eastAsia" w:ascii="仿宋_GB2312" w:hAnsi="黑体" w:eastAsia="仿宋_GB2312"/>
          <w:sz w:val="32"/>
          <w:szCs w:val="32"/>
          <w:lang w:eastAsia="zh-CN"/>
        </w:rPr>
      </w:pPr>
      <w:r>
        <w:rPr>
          <w:rFonts w:hint="eastAsia" w:ascii="仿宋_GB2312" w:hAnsi="黑体" w:eastAsia="仿宋_GB2312"/>
          <w:sz w:val="32"/>
          <w:szCs w:val="32"/>
          <w:lang w:eastAsia="zh-CN"/>
        </w:rPr>
        <w:t>人员经费</w:t>
      </w:r>
      <w:r>
        <w:rPr>
          <w:rFonts w:hint="eastAsia" w:ascii="仿宋_GB2312" w:hAnsi="黑体" w:eastAsia="仿宋_GB2312" w:cs="仿宋_GB2312"/>
          <w:sz w:val="32"/>
          <w:szCs w:val="32"/>
          <w:lang w:val="en-US" w:eastAsia="zh-CN"/>
        </w:rPr>
        <w:t>248.61</w:t>
      </w:r>
      <w:r>
        <w:rPr>
          <w:rFonts w:hint="eastAsia" w:ascii="仿宋_GB2312" w:hAnsi="黑体" w:eastAsia="仿宋_GB2312"/>
          <w:sz w:val="32"/>
          <w:szCs w:val="32"/>
        </w:rPr>
        <w:t>万元，主要包括：基本工资、津贴补贴、奖金、绩效工资、机关事业单位基本养老保险缴费、城镇职工基本医疗保险缴费、公务员医疗补助缴费、其他工资福利支出</w:t>
      </w:r>
      <w:r>
        <w:rPr>
          <w:rFonts w:hint="eastAsia" w:ascii="仿宋_GB2312" w:hAnsi="黑体" w:eastAsia="仿宋_GB2312"/>
          <w:sz w:val="32"/>
          <w:szCs w:val="32"/>
          <w:lang w:eastAsia="zh-CN"/>
        </w:rPr>
        <w:t>、</w:t>
      </w:r>
      <w:r>
        <w:rPr>
          <w:rFonts w:hint="eastAsia" w:ascii="仿宋_GB2312" w:hAnsi="黑体" w:eastAsia="仿宋_GB2312"/>
          <w:sz w:val="32"/>
          <w:szCs w:val="32"/>
        </w:rPr>
        <w:t>住房公积金</w:t>
      </w:r>
      <w:r>
        <w:rPr>
          <w:rFonts w:hint="eastAsia" w:ascii="仿宋_GB2312" w:hAnsi="黑体" w:eastAsia="仿宋_GB2312"/>
          <w:sz w:val="32"/>
          <w:szCs w:val="32"/>
          <w:lang w:eastAsia="zh-CN"/>
        </w:rPr>
        <w:t>。</w:t>
      </w:r>
    </w:p>
    <w:p>
      <w:pPr>
        <w:keepNext w:val="0"/>
        <w:keepLines w:val="0"/>
        <w:pageBreakBefore w:val="0"/>
        <w:kinsoku/>
        <w:wordWrap/>
        <w:overflowPunct/>
        <w:topLinePunct w:val="0"/>
        <w:bidi w:val="0"/>
        <w:snapToGrid/>
        <w:spacing w:line="600" w:lineRule="exact"/>
        <w:ind w:firstLine="640" w:firstLineChars="200"/>
        <w:textAlignment w:val="auto"/>
        <w:outlineLvl w:val="9"/>
        <w:rPr>
          <w:rFonts w:hint="eastAsia" w:ascii="仿宋_GB2312" w:hAnsi="黑体" w:eastAsia="仿宋_GB2312"/>
          <w:sz w:val="32"/>
          <w:szCs w:val="32"/>
        </w:rPr>
      </w:pPr>
      <w:r>
        <w:rPr>
          <w:rFonts w:hint="eastAsia" w:ascii="仿宋_GB2312" w:hAnsi="黑体" w:eastAsia="仿宋_GB2312"/>
          <w:sz w:val="32"/>
          <w:szCs w:val="32"/>
          <w:lang w:eastAsia="zh-CN"/>
        </w:rPr>
        <w:t>公用经费</w:t>
      </w:r>
      <w:r>
        <w:rPr>
          <w:rFonts w:hint="eastAsia" w:ascii="仿宋_GB2312" w:hAnsi="黑体" w:eastAsia="仿宋_GB2312" w:cs="仿宋_GB2312"/>
          <w:sz w:val="32"/>
          <w:szCs w:val="32"/>
        </w:rPr>
        <w:t>25.92</w:t>
      </w:r>
      <w:r>
        <w:rPr>
          <w:rFonts w:hint="eastAsia" w:ascii="仿宋_GB2312" w:hAnsi="黑体" w:eastAsia="仿宋_GB2312"/>
          <w:sz w:val="32"/>
          <w:szCs w:val="32"/>
        </w:rPr>
        <w:t>万元，主要包括：办公费、水费、电费、邮电费、物业管</w:t>
      </w:r>
      <w:bookmarkStart w:id="0" w:name="_GoBack"/>
      <w:bookmarkEnd w:id="0"/>
      <w:r>
        <w:rPr>
          <w:rFonts w:hint="eastAsia" w:ascii="仿宋_GB2312" w:hAnsi="黑体" w:eastAsia="仿宋_GB2312"/>
          <w:sz w:val="32"/>
          <w:szCs w:val="32"/>
        </w:rPr>
        <w:t>理费、差旅费、维修（护）费、会议费、培训费、工会经费、公务用车运行维护费、其他交通费用。</w:t>
      </w:r>
    </w:p>
    <w:p>
      <w:pPr>
        <w:keepNext w:val="0"/>
        <w:keepLines w:val="0"/>
        <w:pageBreakBefore w:val="0"/>
        <w:kinsoku/>
        <w:wordWrap/>
        <w:overflowPunct/>
        <w:topLinePunct w:val="0"/>
        <w:bidi w:val="0"/>
        <w:snapToGrid/>
        <w:spacing w:line="600" w:lineRule="exact"/>
        <w:ind w:firstLine="640" w:firstLineChars="200"/>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琼海市生态环境局</w:t>
      </w:r>
      <w:r>
        <w:rPr>
          <w:rFonts w:hint="eastAsia" w:ascii="黑体" w:hAnsi="黑体" w:eastAsia="黑体" w:cs="Times New Roman"/>
          <w:sz w:val="32"/>
          <w:shd w:val="clear" w:color="auto" w:fill="FFFFFF"/>
          <w:lang w:val="en-US" w:eastAsia="zh-CN"/>
        </w:rPr>
        <w:t>2020</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keepNext w:val="0"/>
        <w:keepLines w:val="0"/>
        <w:pageBreakBefore w:val="0"/>
        <w:kinsoku/>
        <w:wordWrap/>
        <w:overflowPunct/>
        <w:topLinePunct w:val="0"/>
        <w:bidi w:val="0"/>
        <w:snapToGrid/>
        <w:spacing w:line="600" w:lineRule="exact"/>
        <w:ind w:firstLine="640" w:firstLineChars="200"/>
        <w:textAlignment w:val="auto"/>
        <w:outlineLvl w:val="9"/>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琼海市生态环境局</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6.5</w:t>
      </w:r>
      <w:r>
        <w:rPr>
          <w:rFonts w:hint="eastAsia" w:ascii="仿宋_GB2312" w:hAnsi="黑体" w:eastAsia="仿宋_GB2312"/>
          <w:sz w:val="32"/>
          <w:szCs w:val="32"/>
        </w:rPr>
        <w:t>万元，其中：</w:t>
      </w:r>
    </w:p>
    <w:p>
      <w:pPr>
        <w:keepNext w:val="0"/>
        <w:keepLines w:val="0"/>
        <w:pageBreakBefore w:val="0"/>
        <w:kinsoku/>
        <w:wordWrap/>
        <w:overflowPunct/>
        <w:topLinePunct w:val="0"/>
        <w:bidi w:val="0"/>
        <w:snapToGrid/>
        <w:spacing w:line="600" w:lineRule="exact"/>
        <w:ind w:firstLine="630"/>
        <w:textAlignment w:val="auto"/>
        <w:outlineLvl w:val="9"/>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keepNext w:val="0"/>
        <w:keepLines w:val="0"/>
        <w:pageBreakBefore w:val="0"/>
        <w:kinsoku/>
        <w:wordWrap/>
        <w:overflowPunct/>
        <w:topLinePunct w:val="0"/>
        <w:bidi w:val="0"/>
        <w:snapToGrid/>
        <w:spacing w:line="600" w:lineRule="exact"/>
        <w:ind w:firstLine="630"/>
        <w:textAlignment w:val="auto"/>
        <w:outlineLvl w:val="9"/>
        <w:rPr>
          <w:rFonts w:hint="eastAsia" w:ascii="Times New Roman" w:hAnsi="Times New Roman" w:eastAsia="仿宋_GB2312" w:cs="Times New Roman"/>
          <w:color w:val="auto"/>
          <w:sz w:val="32"/>
          <w:shd w:val="clear" w:color="auto" w:fill="FFFFFF"/>
          <w:lang w:val="en-US" w:eastAsia="zh-CN"/>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5.5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5.5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ascii="Times New Roman" w:hAnsi="Times New Roman" w:eastAsia="仿宋_GB2312" w:cs="Times New Roman"/>
          <w:color w:val="auto"/>
          <w:sz w:val="32"/>
          <w:shd w:val="clear" w:color="auto" w:fill="FFFFFF"/>
        </w:rPr>
        <w:t>较</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年预算下降</w:t>
      </w:r>
      <w:r>
        <w:rPr>
          <w:rFonts w:hint="eastAsia" w:ascii="Times New Roman" w:hAnsi="Times New Roman" w:eastAsia="仿宋_GB2312" w:cs="Times New Roman"/>
          <w:color w:val="auto"/>
          <w:sz w:val="32"/>
          <w:shd w:val="clear" w:color="auto" w:fill="FFFFFF"/>
          <w:lang w:val="en-US" w:eastAsia="zh-CN"/>
        </w:rPr>
        <w:t>57.4</w:t>
      </w:r>
      <w:r>
        <w:rPr>
          <w:rFonts w:ascii="Times New Roman" w:hAnsi="Times New Roman" w:eastAsia="仿宋_GB2312" w:cs="Times New Roman"/>
          <w:color w:val="auto"/>
          <w:sz w:val="32"/>
          <w:shd w:val="clear" w:color="auto" w:fill="FFFFFF"/>
        </w:rPr>
        <w:t>%。</w:t>
      </w:r>
      <w:r>
        <w:rPr>
          <w:rFonts w:ascii="Times New Roman" w:hAnsi="Times New Roman" w:eastAsia="仿宋_GB2312" w:cs="Times New Roman"/>
          <w:color w:val="auto"/>
          <w:sz w:val="32"/>
        </w:rPr>
        <w:t>下降的</w:t>
      </w:r>
      <w:r>
        <w:rPr>
          <w:rFonts w:ascii="Times New Roman" w:hAnsi="Times New Roman" w:eastAsia="仿宋_GB2312" w:cs="Times New Roman"/>
          <w:color w:val="auto"/>
          <w:sz w:val="32"/>
          <w:shd w:val="clear" w:color="auto" w:fill="FFFFFF"/>
        </w:rPr>
        <w:t>主要原因包括：</w:t>
      </w:r>
      <w:r>
        <w:rPr>
          <w:rFonts w:hint="eastAsia" w:ascii="仿宋_GB2312" w:hAnsi="黑体" w:eastAsia="仿宋_GB2312"/>
          <w:sz w:val="32"/>
          <w:szCs w:val="32"/>
        </w:rPr>
        <w:t>主要是</w:t>
      </w:r>
      <w:r>
        <w:rPr>
          <w:rFonts w:hint="eastAsia" w:ascii="仿宋_GB2312" w:hAnsi="黑体" w:eastAsia="仿宋_GB2312"/>
          <w:sz w:val="32"/>
          <w:szCs w:val="32"/>
          <w:lang w:eastAsia="zh-CN"/>
        </w:rPr>
        <w:t>部门职能划转后下属单位生态环境监察大队划转到琼海市综合行政执法局，预算资金相应减少</w:t>
      </w:r>
      <w:r>
        <w:rPr>
          <w:rFonts w:hint="eastAsia" w:ascii="Times New Roman" w:hAnsi="Times New Roman" w:eastAsia="仿宋_GB2312" w:cs="Times New Roman"/>
          <w:color w:val="auto"/>
          <w:sz w:val="32"/>
          <w:shd w:val="clear" w:color="auto" w:fill="FFFFFF"/>
        </w:rPr>
        <w:t>。公务车保有量</w:t>
      </w:r>
      <w:r>
        <w:rPr>
          <w:rFonts w:hint="eastAsia" w:ascii="仿宋_GB2312" w:hAnsi="黑体" w:eastAsia="仿宋_GB2312" w:cs="仿宋_GB2312"/>
          <w:color w:val="auto"/>
          <w:sz w:val="32"/>
          <w:szCs w:val="32"/>
          <w:lang w:val="en-US" w:eastAsia="zh-CN"/>
        </w:rPr>
        <w:t>2</w:t>
      </w:r>
      <w:r>
        <w:rPr>
          <w:rFonts w:hint="eastAsia" w:ascii="仿宋_GB2312" w:hAnsi="黑体" w:eastAsia="仿宋_GB2312" w:cs="仿宋_GB2312"/>
          <w:color w:val="auto"/>
          <w:sz w:val="32"/>
          <w:szCs w:val="32"/>
        </w:rPr>
        <w:t>辆，计划购置</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w:t>
      </w:r>
      <w:r>
        <w:rPr>
          <w:rFonts w:hint="eastAsia" w:ascii="仿宋_GB2312" w:hAnsi="黑体" w:eastAsia="仿宋_GB2312" w:cs="仿宋_GB2312"/>
          <w:color w:val="auto"/>
          <w:sz w:val="32"/>
          <w:szCs w:val="32"/>
          <w:lang w:eastAsia="zh-CN"/>
        </w:rPr>
        <w:t>。</w:t>
      </w:r>
    </w:p>
    <w:p>
      <w:pPr>
        <w:keepNext w:val="0"/>
        <w:keepLines w:val="0"/>
        <w:pageBreakBefore w:val="0"/>
        <w:kinsoku/>
        <w:wordWrap/>
        <w:overflowPunct/>
        <w:topLinePunct w:val="0"/>
        <w:bidi w:val="0"/>
        <w:snapToGrid/>
        <w:spacing w:line="600" w:lineRule="exact"/>
        <w:ind w:firstLine="630"/>
        <w:textAlignment w:val="auto"/>
        <w:outlineLvl w:val="9"/>
        <w:rPr>
          <w:rFonts w:hint="eastAsia" w:ascii="Times New Roman" w:hAnsi="Times New Roman" w:eastAsia="仿宋_GB2312" w:cs="Times New Roman"/>
          <w:sz w:val="32"/>
          <w:shd w:val="clear" w:color="auto" w:fill="FFFFFF"/>
          <w:lang w:eastAsia="zh-CN"/>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1</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keepNext w:val="0"/>
        <w:keepLines w:val="0"/>
        <w:pageBreakBefore w:val="0"/>
        <w:kinsoku/>
        <w:wordWrap/>
        <w:overflowPunct/>
        <w:topLinePunct w:val="0"/>
        <w:bidi w:val="0"/>
        <w:snapToGrid/>
        <w:spacing w:line="600" w:lineRule="exact"/>
        <w:ind w:firstLine="640" w:firstLineChars="200"/>
        <w:textAlignment w:val="auto"/>
        <w:outlineLvl w:val="9"/>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琼海市生态环境局</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1.5</w:t>
      </w:r>
      <w:r>
        <w:rPr>
          <w:rFonts w:hint="eastAsia" w:ascii="仿宋_GB2312" w:hAnsi="黑体" w:eastAsia="仿宋_GB2312"/>
          <w:sz w:val="32"/>
          <w:szCs w:val="32"/>
        </w:rPr>
        <w:t>万元，其中：</w:t>
      </w:r>
    </w:p>
    <w:p>
      <w:pPr>
        <w:keepNext w:val="0"/>
        <w:keepLines w:val="0"/>
        <w:pageBreakBefore w:val="0"/>
        <w:kinsoku/>
        <w:wordWrap/>
        <w:overflowPunct/>
        <w:topLinePunct w:val="0"/>
        <w:bidi w:val="0"/>
        <w:snapToGrid/>
        <w:spacing w:line="600" w:lineRule="exact"/>
        <w:ind w:firstLine="640"/>
        <w:textAlignment w:val="auto"/>
        <w:outlineLvl w:val="9"/>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keepNext w:val="0"/>
        <w:keepLines w:val="0"/>
        <w:pageBreakBefore w:val="0"/>
        <w:kinsoku/>
        <w:wordWrap/>
        <w:overflowPunct/>
        <w:topLinePunct w:val="0"/>
        <w:bidi w:val="0"/>
        <w:snapToGrid/>
        <w:spacing w:line="600" w:lineRule="exact"/>
        <w:ind w:firstLine="640"/>
        <w:textAlignment w:val="auto"/>
        <w:outlineLvl w:val="9"/>
        <w:rPr>
          <w:rFonts w:ascii="Times New Roman" w:hAnsi="Times New Roman" w:eastAsia="仿宋_GB2312" w:cs="Times New Roman"/>
          <w:color w:val="auto"/>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100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color w:val="auto"/>
          <w:sz w:val="32"/>
          <w:shd w:val="clear" w:color="auto" w:fill="FFFFFF"/>
          <w:lang w:eastAsia="zh-CN"/>
        </w:rPr>
        <w:t>资金性质变化，</w:t>
      </w:r>
      <w:r>
        <w:rPr>
          <w:rFonts w:ascii="Times New Roman" w:hAnsi="Times New Roman" w:eastAsia="仿宋_GB2312" w:cs="Times New Roman"/>
          <w:color w:val="auto"/>
          <w:sz w:val="32"/>
          <w:shd w:val="clear" w:color="auto" w:fill="FFFFFF"/>
        </w:rPr>
        <w:t>公务用车购置及运行费</w:t>
      </w:r>
      <w:r>
        <w:rPr>
          <w:rFonts w:hint="eastAsia" w:ascii="Times New Roman" w:hAnsi="Times New Roman" w:eastAsia="仿宋_GB2312" w:cs="Times New Roman"/>
          <w:color w:val="auto"/>
          <w:sz w:val="32"/>
          <w:shd w:val="clear" w:color="auto" w:fill="FFFFFF"/>
          <w:lang w:eastAsia="zh-CN"/>
        </w:rPr>
        <w:t>相应增加</w:t>
      </w:r>
      <w:r>
        <w:rPr>
          <w:rFonts w:hint="eastAsia" w:ascii="Times New Roman" w:hAnsi="Times New Roman" w:eastAsia="仿宋_GB2312" w:cs="Times New Roman"/>
          <w:color w:val="auto"/>
          <w:sz w:val="32"/>
          <w:shd w:val="clear" w:color="auto" w:fill="FFFFFF"/>
        </w:rPr>
        <w:t>；</w:t>
      </w:r>
      <w:r>
        <w:rPr>
          <w:rFonts w:ascii="仿宋_GB2312" w:hAnsi="黑体" w:eastAsia="仿宋_GB2312" w:cs="Times New Roman"/>
          <w:color w:val="auto"/>
          <w:sz w:val="32"/>
          <w:szCs w:val="32"/>
        </w:rPr>
        <w:t>公务接待费</w:t>
      </w:r>
      <w:r>
        <w:rPr>
          <w:rFonts w:hint="eastAsia" w:ascii="仿宋_GB2312" w:hAnsi="黑体" w:eastAsia="仿宋_GB2312" w:cs="仿宋_GB2312"/>
          <w:color w:val="auto"/>
          <w:sz w:val="32"/>
          <w:szCs w:val="32"/>
          <w:lang w:val="en-US" w:eastAsia="zh-CN"/>
        </w:rPr>
        <w:t>0.5</w:t>
      </w:r>
      <w:r>
        <w:rPr>
          <w:rFonts w:ascii="Times New Roman" w:hAnsi="Times New Roman" w:eastAsia="仿宋_GB2312" w:cs="Times New Roman"/>
          <w:color w:val="auto"/>
          <w:sz w:val="32"/>
          <w:shd w:val="clear" w:color="auto" w:fill="FFFFFF"/>
        </w:rPr>
        <w:t>万元，较</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年预算增长</w:t>
      </w:r>
      <w:r>
        <w:rPr>
          <w:rFonts w:hint="eastAsia" w:ascii="仿宋_GB2312" w:hAnsi="黑体" w:eastAsia="仿宋_GB2312" w:cs="仿宋_GB2312"/>
          <w:color w:val="auto"/>
          <w:sz w:val="32"/>
          <w:szCs w:val="32"/>
          <w:lang w:val="en-US" w:eastAsia="zh-CN"/>
        </w:rPr>
        <w:t>100</w:t>
      </w:r>
      <w:r>
        <w:rPr>
          <w:rFonts w:ascii="Times New Roman" w:hAnsi="Times New Roman" w:eastAsia="仿宋_GB2312" w:cs="Times New Roman"/>
          <w:color w:val="auto"/>
          <w:sz w:val="32"/>
          <w:shd w:val="clear" w:color="auto" w:fill="FFFFFF"/>
        </w:rPr>
        <w:t>%。</w:t>
      </w:r>
      <w:r>
        <w:rPr>
          <w:rFonts w:ascii="Times New Roman" w:hAnsi="Times New Roman" w:eastAsia="仿宋_GB2312" w:cs="Times New Roman"/>
          <w:color w:val="auto"/>
          <w:sz w:val="32"/>
        </w:rPr>
        <w:t>增长的</w:t>
      </w:r>
      <w:r>
        <w:rPr>
          <w:rFonts w:ascii="Times New Roman" w:hAnsi="Times New Roman" w:eastAsia="仿宋_GB2312" w:cs="Times New Roman"/>
          <w:color w:val="auto"/>
          <w:sz w:val="32"/>
          <w:shd w:val="clear" w:color="auto" w:fill="FFFFFF"/>
        </w:rPr>
        <w:t>主要原因包括</w:t>
      </w:r>
      <w:r>
        <w:rPr>
          <w:rFonts w:hint="eastAsia" w:ascii="Times New Roman" w:hAnsi="Times New Roman" w:eastAsia="仿宋_GB2312" w:cs="Times New Roman"/>
          <w:color w:val="auto"/>
          <w:sz w:val="32"/>
          <w:shd w:val="clear" w:color="auto" w:fill="FFFFFF"/>
          <w:lang w:eastAsia="zh-CN"/>
        </w:rPr>
        <w:t>：资金性质变化，公务接待费预算相应增加</w:t>
      </w:r>
      <w:r>
        <w:rPr>
          <w:rFonts w:hint="eastAsia" w:ascii="Times New Roman" w:hAnsi="Times New Roman" w:eastAsia="仿宋_GB2312" w:cs="Times New Roman"/>
          <w:color w:val="auto"/>
          <w:sz w:val="32"/>
          <w:shd w:val="clear" w:color="auto" w:fill="FFFFFF"/>
        </w:rPr>
        <w:t>。</w:t>
      </w:r>
    </w:p>
    <w:p>
      <w:pPr>
        <w:keepNext w:val="0"/>
        <w:keepLines w:val="0"/>
        <w:pageBreakBefore w:val="0"/>
        <w:kinsoku/>
        <w:wordWrap/>
        <w:overflowPunct/>
        <w:topLinePunct w:val="0"/>
        <w:bidi w:val="0"/>
        <w:snapToGrid/>
        <w:spacing w:line="600" w:lineRule="exact"/>
        <w:ind w:firstLine="640" w:firstLineChars="200"/>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琼海市生态环境局</w:t>
      </w:r>
      <w:r>
        <w:rPr>
          <w:rFonts w:hint="eastAsia" w:ascii="黑体" w:hAnsi="黑体" w:eastAsia="黑体" w:cs="Times New Roman"/>
          <w:sz w:val="32"/>
          <w:shd w:val="clear" w:color="auto" w:fill="FFFFFF"/>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keepNext w:val="0"/>
        <w:keepLines w:val="0"/>
        <w:pageBreakBefore w:val="0"/>
        <w:kinsoku/>
        <w:wordWrap/>
        <w:overflowPunct/>
        <w:topLinePunct w:val="0"/>
        <w:bidi w:val="0"/>
        <w:snapToGrid/>
        <w:spacing w:line="600" w:lineRule="exact"/>
        <w:ind w:firstLine="640"/>
        <w:jc w:val="left"/>
        <w:textAlignment w:val="auto"/>
        <w:outlineLvl w:val="9"/>
        <w:rPr>
          <w:rFonts w:ascii="楷体" w:hAnsi="楷体" w:eastAsia="楷体"/>
          <w:sz w:val="32"/>
          <w:szCs w:val="32"/>
        </w:rPr>
      </w:pPr>
      <w:r>
        <w:rPr>
          <w:rFonts w:hint="eastAsia" w:ascii="楷体" w:hAnsi="楷体" w:eastAsia="楷体"/>
          <w:sz w:val="32"/>
          <w:szCs w:val="32"/>
        </w:rPr>
        <w:t>（一）政府性基金预算当年规模变化情况</w:t>
      </w:r>
    </w:p>
    <w:p>
      <w:pPr>
        <w:keepNext w:val="0"/>
        <w:keepLines w:val="0"/>
        <w:pageBreakBefore w:val="0"/>
        <w:kinsoku/>
        <w:wordWrap/>
        <w:overflowPunct/>
        <w:topLinePunct w:val="0"/>
        <w:bidi w:val="0"/>
        <w:snapToGrid/>
        <w:spacing w:line="600" w:lineRule="exact"/>
        <w:ind w:firstLine="640" w:firstLineChars="200"/>
        <w:textAlignment w:val="auto"/>
        <w:outlineLvl w:val="9"/>
        <w:rPr>
          <w:rFonts w:ascii="仿宋_GB2312" w:hAnsi="黑体" w:eastAsia="仿宋_GB2312"/>
          <w:sz w:val="32"/>
          <w:szCs w:val="32"/>
        </w:rPr>
      </w:pPr>
      <w:r>
        <w:rPr>
          <w:rFonts w:hint="eastAsia" w:ascii="仿宋_GB2312" w:hAnsi="黑体" w:eastAsia="仿宋_GB2312"/>
          <w:sz w:val="32"/>
          <w:szCs w:val="32"/>
        </w:rPr>
        <w:t>琼海市生态环境局2020年政府性基金预算当年拨款</w:t>
      </w:r>
      <w:r>
        <w:rPr>
          <w:rFonts w:hint="eastAsia" w:ascii="仿宋_GB2312" w:hAnsi="黑体" w:eastAsia="仿宋_GB2312" w:cs="仿宋_GB2312"/>
          <w:sz w:val="32"/>
          <w:szCs w:val="32"/>
          <w:lang w:val="en-US" w:eastAsia="zh-CN"/>
        </w:rPr>
        <w:t>551.24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144.76</w:t>
      </w:r>
      <w:r>
        <w:rPr>
          <w:rFonts w:hint="eastAsia" w:ascii="仿宋_GB2312" w:hAnsi="黑体" w:eastAsia="仿宋_GB2312"/>
          <w:sz w:val="32"/>
          <w:szCs w:val="32"/>
        </w:rPr>
        <w:t>万元，主要是其他国有土地使用权出让收入安排的支出</w:t>
      </w:r>
      <w:r>
        <w:rPr>
          <w:rFonts w:hint="eastAsia" w:ascii="仿宋_GB2312" w:hAnsi="黑体" w:eastAsia="仿宋_GB2312"/>
          <w:sz w:val="32"/>
          <w:szCs w:val="32"/>
          <w:lang w:eastAsia="zh-CN"/>
        </w:rPr>
        <w:t>等减少</w:t>
      </w:r>
      <w:r>
        <w:rPr>
          <w:rFonts w:hint="eastAsia" w:ascii="仿宋_GB2312" w:hAnsi="黑体" w:eastAsia="仿宋_GB2312"/>
          <w:sz w:val="32"/>
          <w:szCs w:val="32"/>
        </w:rPr>
        <w:t>。</w:t>
      </w:r>
    </w:p>
    <w:p>
      <w:pPr>
        <w:keepNext w:val="0"/>
        <w:keepLines w:val="0"/>
        <w:pageBreakBefore w:val="0"/>
        <w:kinsoku/>
        <w:wordWrap/>
        <w:overflowPunct/>
        <w:topLinePunct w:val="0"/>
        <w:bidi w:val="0"/>
        <w:snapToGrid/>
        <w:spacing w:line="600" w:lineRule="exact"/>
        <w:ind w:firstLine="640"/>
        <w:jc w:val="left"/>
        <w:textAlignment w:val="auto"/>
        <w:outlineLvl w:val="9"/>
        <w:rPr>
          <w:rFonts w:ascii="楷体" w:hAnsi="楷体" w:eastAsia="楷体"/>
          <w:sz w:val="32"/>
          <w:szCs w:val="32"/>
        </w:rPr>
      </w:pPr>
      <w:r>
        <w:rPr>
          <w:rFonts w:hint="eastAsia" w:ascii="楷体" w:hAnsi="楷体" w:eastAsia="楷体"/>
          <w:sz w:val="32"/>
          <w:szCs w:val="32"/>
        </w:rPr>
        <w:t>（二）政府性基金预算当年拨款结构情况</w:t>
      </w:r>
    </w:p>
    <w:p>
      <w:pPr>
        <w:keepNext w:val="0"/>
        <w:keepLines w:val="0"/>
        <w:pageBreakBefore w:val="0"/>
        <w:kinsoku/>
        <w:wordWrap/>
        <w:overflowPunct/>
        <w:topLinePunct w:val="0"/>
        <w:bidi w:val="0"/>
        <w:snapToGrid/>
        <w:spacing w:line="600" w:lineRule="exact"/>
        <w:ind w:firstLine="800" w:firstLineChars="250"/>
        <w:textAlignment w:val="auto"/>
        <w:outlineLvl w:val="9"/>
        <w:rPr>
          <w:rFonts w:ascii="仿宋_GB2312" w:hAnsi="黑体" w:eastAsia="仿宋_GB2312"/>
          <w:sz w:val="32"/>
          <w:szCs w:val="32"/>
        </w:rPr>
      </w:pPr>
      <w:r>
        <w:rPr>
          <w:rFonts w:hint="eastAsia" w:ascii="仿宋_GB2312" w:hAnsi="黑体" w:eastAsia="仿宋_GB2312" w:cs="仿宋_GB2312"/>
          <w:sz w:val="32"/>
          <w:szCs w:val="32"/>
        </w:rPr>
        <w:t>城乡社区支出（类）支出</w:t>
      </w:r>
      <w:r>
        <w:rPr>
          <w:rFonts w:hint="eastAsia" w:ascii="仿宋_GB2312" w:hAnsi="黑体" w:eastAsia="仿宋_GB2312" w:cs="仿宋_GB2312"/>
          <w:sz w:val="32"/>
          <w:szCs w:val="32"/>
          <w:lang w:val="en-US" w:eastAsia="zh-CN"/>
        </w:rPr>
        <w:t>551.24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keepNext w:val="0"/>
        <w:keepLines w:val="0"/>
        <w:pageBreakBefore w:val="0"/>
        <w:kinsoku/>
        <w:wordWrap/>
        <w:overflowPunct/>
        <w:topLinePunct w:val="0"/>
        <w:bidi w:val="0"/>
        <w:snapToGrid/>
        <w:spacing w:line="600" w:lineRule="exact"/>
        <w:ind w:firstLine="640"/>
        <w:jc w:val="left"/>
        <w:textAlignment w:val="auto"/>
        <w:outlineLvl w:val="9"/>
        <w:rPr>
          <w:rFonts w:ascii="楷体" w:hAnsi="楷体" w:eastAsia="楷体"/>
          <w:sz w:val="32"/>
          <w:szCs w:val="32"/>
        </w:rPr>
      </w:pPr>
      <w:r>
        <w:rPr>
          <w:rFonts w:hint="eastAsia" w:ascii="楷体" w:hAnsi="楷体" w:eastAsia="楷体"/>
          <w:sz w:val="32"/>
          <w:szCs w:val="32"/>
        </w:rPr>
        <w:t>（三）政府性基金预算当年拨款具体使用情况</w:t>
      </w:r>
    </w:p>
    <w:p>
      <w:pPr>
        <w:keepNext w:val="0"/>
        <w:keepLines w:val="0"/>
        <w:pageBreakBefore w:val="0"/>
        <w:kinsoku/>
        <w:wordWrap/>
        <w:overflowPunct/>
        <w:topLinePunct w:val="0"/>
        <w:bidi w:val="0"/>
        <w:snapToGrid/>
        <w:spacing w:line="600" w:lineRule="exact"/>
        <w:ind w:firstLine="640" w:firstLineChars="200"/>
        <w:textAlignment w:val="auto"/>
        <w:outlineLvl w:val="9"/>
        <w:rPr>
          <w:rFonts w:ascii="仿宋_GB2312" w:hAnsi="黑体" w:eastAsia="仿宋_GB2312"/>
          <w:color w:val="auto"/>
          <w:sz w:val="32"/>
          <w:szCs w:val="32"/>
        </w:rPr>
      </w:pPr>
      <w:r>
        <w:rPr>
          <w:rFonts w:hint="eastAsia" w:ascii="仿宋_GB2312" w:hAnsi="黑体" w:eastAsia="仿宋_GB2312" w:cs="仿宋_GB2312"/>
          <w:sz w:val="32"/>
          <w:szCs w:val="32"/>
        </w:rPr>
        <w:t>1</w:t>
      </w:r>
      <w:r>
        <w:rPr>
          <w:rFonts w:hint="eastAsia" w:ascii="仿宋_GB2312" w:hAnsi="黑体" w:eastAsia="仿宋_GB2312" w:cs="仿宋_GB2312"/>
          <w:color w:val="auto"/>
          <w:sz w:val="32"/>
          <w:szCs w:val="32"/>
        </w:rPr>
        <w:t>.城乡社区支出（类）国有土地使用权出让收入安排的支出（款）其他国有土地使用权出让收入安排的支出（项）</w:t>
      </w:r>
      <w:r>
        <w:rPr>
          <w:rFonts w:hint="eastAsia" w:ascii="仿宋_GB2312" w:hAnsi="黑体" w:eastAsia="仿宋_GB2312" w:cs="仿宋_GB2312"/>
          <w:color w:val="auto"/>
          <w:sz w:val="32"/>
          <w:szCs w:val="32"/>
          <w:lang w:val="en-US" w:eastAsia="zh-CN"/>
        </w:rPr>
        <w:t>2020</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50</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减少</w:t>
      </w:r>
      <w:r>
        <w:rPr>
          <w:rFonts w:hint="eastAsia" w:ascii="仿宋_GB2312" w:hAnsi="黑体" w:eastAsia="仿宋_GB2312" w:cs="仿宋_GB2312"/>
          <w:color w:val="auto"/>
          <w:sz w:val="32"/>
          <w:szCs w:val="32"/>
          <w:lang w:val="en-US" w:eastAsia="zh-CN"/>
        </w:rPr>
        <w:t>530</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农村污水处理项目预算减少</w:t>
      </w:r>
      <w:r>
        <w:rPr>
          <w:rFonts w:hint="eastAsia" w:ascii="仿宋_GB2312" w:hAnsi="黑体"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textAlignment w:val="auto"/>
        <w:outlineLvl w:val="9"/>
        <w:rPr>
          <w:rFonts w:ascii="仿宋_GB2312" w:hAnsi="黑体" w:eastAsia="仿宋_GB2312"/>
          <w:color w:val="auto"/>
          <w:sz w:val="32"/>
          <w:szCs w:val="32"/>
        </w:rPr>
      </w:pPr>
      <w:r>
        <w:rPr>
          <w:rFonts w:hint="eastAsia" w:ascii="仿宋_GB2312" w:hAnsi="黑体" w:eastAsia="仿宋_GB2312"/>
          <w:color w:val="auto"/>
          <w:sz w:val="32"/>
          <w:szCs w:val="32"/>
        </w:rPr>
        <w:t>2.</w:t>
      </w:r>
      <w:r>
        <w:rPr>
          <w:rFonts w:hint="eastAsia" w:ascii="仿宋_GB2312" w:hAnsi="黑体" w:eastAsia="仿宋_GB2312" w:cs="仿宋_GB2312"/>
          <w:color w:val="auto"/>
          <w:sz w:val="32"/>
          <w:szCs w:val="32"/>
        </w:rPr>
        <w:t xml:space="preserve"> 城乡社区支出（类）城市基础设施配套费安排的支出（款）城市公共设施（项）</w:t>
      </w:r>
      <w:r>
        <w:rPr>
          <w:rFonts w:hint="eastAsia" w:ascii="仿宋_GB2312" w:hAnsi="黑体" w:eastAsia="仿宋_GB2312" w:cs="仿宋_GB2312"/>
          <w:color w:val="auto"/>
          <w:sz w:val="32"/>
          <w:szCs w:val="32"/>
          <w:lang w:val="en-US" w:eastAsia="zh-CN"/>
        </w:rPr>
        <w:t>2020</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17.24</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17.24</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增加了机动车遥感监测平台建设预算</w:t>
      </w:r>
      <w:r>
        <w:rPr>
          <w:rFonts w:hint="eastAsia" w:ascii="仿宋_GB2312" w:hAnsi="黑体"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textAlignment w:val="auto"/>
        <w:outlineLvl w:val="9"/>
        <w:rPr>
          <w:rFonts w:hint="eastAsia" w:ascii="黑体" w:hAnsi="黑体" w:eastAsia="黑体" w:cs="Times New Roman"/>
          <w:color w:val="auto"/>
          <w:sz w:val="32"/>
          <w:shd w:val="clear" w:color="auto" w:fill="FFFFFF"/>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城乡社区支出（类）城市基础设施配套费安排的支出（款）城市环境卫生（项）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146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146</w:t>
      </w:r>
      <w:r>
        <w:rPr>
          <w:rFonts w:hint="eastAsia" w:ascii="仿宋_GB2312" w:hAnsi="黑体" w:eastAsia="仿宋_GB2312"/>
          <w:sz w:val="32"/>
          <w:szCs w:val="32"/>
        </w:rPr>
        <w:t>万元，主要</w:t>
      </w:r>
      <w:r>
        <w:rPr>
          <w:rFonts w:hint="eastAsia" w:ascii="仿宋_GB2312" w:hAnsi="黑体" w:eastAsia="仿宋_GB2312"/>
          <w:color w:val="auto"/>
          <w:sz w:val="32"/>
          <w:szCs w:val="32"/>
        </w:rPr>
        <w:t>是</w:t>
      </w:r>
      <w:r>
        <w:rPr>
          <w:rFonts w:hint="eastAsia" w:ascii="仿宋_GB2312" w:hAnsi="黑体" w:eastAsia="仿宋_GB2312"/>
          <w:color w:val="auto"/>
          <w:sz w:val="32"/>
          <w:szCs w:val="32"/>
          <w:lang w:eastAsia="zh-CN"/>
        </w:rPr>
        <w:t>增加了老旧车</w:t>
      </w:r>
      <w:r>
        <w:rPr>
          <w:rFonts w:hint="eastAsia" w:ascii="仿宋_GB2312" w:hAnsi="黑体" w:eastAsia="仿宋_GB2312" w:cs="仿宋_GB2312"/>
          <w:color w:val="auto"/>
          <w:sz w:val="32"/>
          <w:szCs w:val="32"/>
          <w:lang w:eastAsia="zh-CN"/>
        </w:rPr>
        <w:t>淘汰和污染补贴治理等费用预算</w:t>
      </w:r>
      <w:r>
        <w:rPr>
          <w:rFonts w:hint="eastAsia" w:ascii="仿宋_GB2312" w:hAnsi="黑体"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textAlignment w:val="auto"/>
        <w:outlineLvl w:val="9"/>
        <w:rPr>
          <w:rFonts w:hint="eastAsia" w:ascii="黑体" w:hAnsi="黑体" w:eastAsia="黑体" w:cs="Times New Roman"/>
          <w:color w:val="auto"/>
          <w:sz w:val="32"/>
          <w:shd w:val="clear" w:color="auto" w:fill="FFFFFF"/>
        </w:rPr>
      </w:pP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 xml:space="preserve"> 城乡社区支出（类）城市基础设施配套费安排的支出（款） 其他城市基础设施配套费安排的支出（项）</w:t>
      </w:r>
      <w:r>
        <w:rPr>
          <w:rFonts w:hint="eastAsia" w:ascii="仿宋_GB2312" w:hAnsi="黑体" w:eastAsia="仿宋_GB2312" w:cs="仿宋_GB2312"/>
          <w:color w:val="auto"/>
          <w:sz w:val="32"/>
          <w:szCs w:val="32"/>
          <w:lang w:val="en-US" w:eastAsia="zh-CN"/>
        </w:rPr>
        <w:t>2020</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338</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338</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增加了琼海市三线一单编制等经费预算</w:t>
      </w:r>
      <w:r>
        <w:rPr>
          <w:rFonts w:hint="eastAsia" w:ascii="仿宋_GB2312" w:hAnsi="黑体" w:eastAsia="仿宋_GB2312"/>
          <w:color w:val="auto"/>
          <w:sz w:val="32"/>
          <w:szCs w:val="32"/>
        </w:rPr>
        <w:t>。</w:t>
      </w:r>
    </w:p>
    <w:p>
      <w:pPr>
        <w:keepNext w:val="0"/>
        <w:keepLines w:val="0"/>
        <w:pageBreakBefore w:val="0"/>
        <w:kinsoku/>
        <w:wordWrap/>
        <w:overflowPunct/>
        <w:topLinePunct w:val="0"/>
        <w:bidi w:val="0"/>
        <w:snapToGrid/>
        <w:spacing w:line="600" w:lineRule="exact"/>
        <w:ind w:firstLine="640" w:firstLineChars="200"/>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琼海市生态环境局</w:t>
      </w:r>
      <w:r>
        <w:rPr>
          <w:rFonts w:hint="eastAsia" w:ascii="黑体" w:hAnsi="黑体" w:eastAsia="黑体" w:cs="Times New Roman"/>
          <w:sz w:val="32"/>
          <w:shd w:val="clear" w:color="auto" w:fill="FFFFFF"/>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keepNext w:val="0"/>
        <w:keepLines w:val="0"/>
        <w:pageBreakBefore w:val="0"/>
        <w:kinsoku/>
        <w:wordWrap/>
        <w:overflowPunct/>
        <w:topLinePunct w:val="0"/>
        <w:bidi w:val="0"/>
        <w:snapToGrid/>
        <w:spacing w:line="600" w:lineRule="exact"/>
        <w:ind w:firstLine="640" w:firstLineChars="200"/>
        <w:textAlignment w:val="auto"/>
        <w:outlineLvl w:val="9"/>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琼海市生态环境局</w:t>
      </w:r>
      <w:r>
        <w:rPr>
          <w:rFonts w:hint="eastAsia" w:ascii="仿宋_GB2312" w:hAnsi="黑体" w:eastAsia="仿宋_GB2312" w:cs="仿宋_GB2312"/>
          <w:sz w:val="32"/>
          <w:szCs w:val="32"/>
        </w:rPr>
        <w:t>所有收入和支出均纳入部门预算管理。收入包括：一般公共预算收入、政府性基金收入</w:t>
      </w:r>
      <w:r>
        <w:rPr>
          <w:rFonts w:hint="eastAsia" w:ascii="仿宋_GB2312" w:hAnsi="黑体" w:eastAsia="仿宋_GB2312"/>
          <w:sz w:val="32"/>
          <w:szCs w:val="32"/>
        </w:rPr>
        <w:t>；支出包括：社会保障和就业支出、卫生健康支出、节能环保支出、城乡社区支出、住房保障支出。</w:t>
      </w:r>
      <w:r>
        <w:rPr>
          <w:rFonts w:hint="eastAsia" w:ascii="仿宋_GB2312" w:hAnsi="黑体" w:eastAsia="仿宋_GB2312" w:cs="仿宋_GB2312"/>
          <w:sz w:val="32"/>
          <w:szCs w:val="32"/>
          <w:lang w:eastAsia="zh-CN"/>
        </w:rPr>
        <w:t>琼海市生态环境局</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884.07</w:t>
      </w:r>
      <w:r>
        <w:rPr>
          <w:rFonts w:hint="eastAsia" w:ascii="仿宋_GB2312" w:hAnsi="黑体" w:eastAsia="仿宋_GB2312"/>
          <w:sz w:val="32"/>
          <w:szCs w:val="32"/>
        </w:rPr>
        <w:t>万元。</w:t>
      </w:r>
    </w:p>
    <w:p>
      <w:pPr>
        <w:keepNext w:val="0"/>
        <w:keepLines w:val="0"/>
        <w:pageBreakBefore w:val="0"/>
        <w:kinsoku/>
        <w:wordWrap/>
        <w:overflowPunct/>
        <w:topLinePunct w:val="0"/>
        <w:bidi w:val="0"/>
        <w:snapToGrid/>
        <w:spacing w:line="600" w:lineRule="exact"/>
        <w:ind w:firstLine="640" w:firstLineChars="200"/>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琼海市生态环境局</w:t>
      </w:r>
      <w:r>
        <w:rPr>
          <w:rFonts w:hint="eastAsia" w:ascii="黑体" w:hAnsi="黑体" w:eastAsia="黑体" w:cs="Times New Roman"/>
          <w:sz w:val="32"/>
          <w:shd w:val="clear" w:color="auto" w:fill="FFFFFF"/>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keepNext w:val="0"/>
        <w:keepLines w:val="0"/>
        <w:pageBreakBefore w:val="0"/>
        <w:kinsoku/>
        <w:wordWrap/>
        <w:overflowPunct/>
        <w:topLinePunct w:val="0"/>
        <w:bidi w:val="0"/>
        <w:snapToGrid/>
        <w:spacing w:line="600" w:lineRule="exact"/>
        <w:ind w:firstLine="640" w:firstLineChars="200"/>
        <w:textAlignment w:val="auto"/>
        <w:outlineLvl w:val="9"/>
        <w:rPr>
          <w:rFonts w:ascii="仿宋_GB2312" w:hAnsi="黑体" w:eastAsia="仿宋_GB2312"/>
          <w:sz w:val="32"/>
          <w:szCs w:val="32"/>
        </w:rPr>
      </w:pPr>
      <w:r>
        <w:rPr>
          <w:rFonts w:hint="eastAsia" w:ascii="仿宋_GB2312" w:hAnsi="黑体" w:eastAsia="仿宋_GB2312" w:cs="仿宋_GB2312"/>
          <w:sz w:val="32"/>
          <w:szCs w:val="32"/>
          <w:lang w:eastAsia="zh-CN"/>
        </w:rPr>
        <w:t>琼海市生态环境局</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年收入预算</w:t>
      </w:r>
      <w:r>
        <w:rPr>
          <w:rFonts w:hint="eastAsia" w:ascii="仿宋_GB2312" w:hAnsi="黑体" w:eastAsia="仿宋_GB2312" w:cs="仿宋_GB2312"/>
          <w:sz w:val="32"/>
          <w:szCs w:val="32"/>
        </w:rPr>
        <w:t>884.07</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一般公共预算</w:t>
      </w:r>
      <w:r>
        <w:rPr>
          <w:rFonts w:hint="eastAsia" w:ascii="仿宋_GB2312" w:hAnsi="黑体" w:eastAsia="仿宋_GB2312"/>
          <w:sz w:val="32"/>
          <w:szCs w:val="32"/>
        </w:rPr>
        <w:t>收入</w:t>
      </w:r>
      <w:r>
        <w:rPr>
          <w:rFonts w:hint="eastAsia" w:ascii="仿宋_GB2312" w:hAnsi="黑体" w:eastAsia="仿宋_GB2312" w:cs="仿宋_GB2312"/>
          <w:sz w:val="32"/>
          <w:szCs w:val="32"/>
          <w:lang w:val="en-US" w:eastAsia="zh-CN"/>
        </w:rPr>
        <w:t>332.83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37.65</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551.24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62.35</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1512.27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一般公共预算、政府性基金预算收入减少</w:t>
      </w:r>
      <w:r>
        <w:rPr>
          <w:rFonts w:hint="eastAsia" w:ascii="仿宋_GB2312" w:hAnsi="黑体" w:eastAsia="仿宋_GB2312"/>
          <w:sz w:val="32"/>
          <w:szCs w:val="32"/>
        </w:rPr>
        <w:t>。</w:t>
      </w:r>
    </w:p>
    <w:p>
      <w:pPr>
        <w:keepNext w:val="0"/>
        <w:keepLines w:val="0"/>
        <w:pageBreakBefore w:val="0"/>
        <w:kinsoku/>
        <w:wordWrap/>
        <w:overflowPunct/>
        <w:topLinePunct w:val="0"/>
        <w:bidi w:val="0"/>
        <w:snapToGrid/>
        <w:spacing w:line="600" w:lineRule="exact"/>
        <w:ind w:firstLine="640" w:firstLineChars="200"/>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琼海市生态环境局</w:t>
      </w:r>
      <w:r>
        <w:rPr>
          <w:rFonts w:hint="eastAsia" w:ascii="黑体" w:hAnsi="黑体" w:eastAsia="黑体" w:cs="Times New Roman"/>
          <w:sz w:val="32"/>
          <w:shd w:val="clear" w:color="auto" w:fill="FFFFFF"/>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keepNext w:val="0"/>
        <w:keepLines w:val="0"/>
        <w:pageBreakBefore w:val="0"/>
        <w:kinsoku/>
        <w:wordWrap/>
        <w:overflowPunct/>
        <w:topLinePunct w:val="0"/>
        <w:bidi w:val="0"/>
        <w:snapToGrid/>
        <w:spacing w:line="600" w:lineRule="exact"/>
        <w:ind w:firstLine="640" w:firstLineChars="200"/>
        <w:textAlignment w:val="auto"/>
        <w:outlineLvl w:val="9"/>
        <w:rPr>
          <w:rFonts w:ascii="仿宋_GB2312" w:hAnsi="黑体" w:eastAsia="仿宋_GB2312"/>
          <w:sz w:val="32"/>
          <w:szCs w:val="32"/>
        </w:rPr>
      </w:pPr>
      <w:r>
        <w:rPr>
          <w:rFonts w:hint="eastAsia" w:ascii="仿宋_GB2312" w:hAnsi="黑体" w:eastAsia="仿宋_GB2312" w:cs="仿宋_GB2312"/>
          <w:sz w:val="32"/>
          <w:szCs w:val="32"/>
          <w:lang w:eastAsia="zh-CN"/>
        </w:rPr>
        <w:t>琼海市生态环境局</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884.07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274.53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31.05</w:t>
      </w:r>
      <w:r>
        <w:rPr>
          <w:rFonts w:hint="eastAsia" w:ascii="仿宋_GB2312" w:hAnsi="黑体" w:eastAsia="仿宋_GB2312"/>
          <w:sz w:val="32"/>
          <w:szCs w:val="32"/>
        </w:rPr>
        <w:t>%；项目支出</w:t>
      </w:r>
      <w:r>
        <w:rPr>
          <w:rFonts w:hint="eastAsia" w:ascii="仿宋_GB2312" w:hAnsi="黑体" w:eastAsia="仿宋_GB2312" w:cs="仿宋_GB2312"/>
          <w:sz w:val="32"/>
          <w:szCs w:val="32"/>
        </w:rPr>
        <w:t>609.54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68.95</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1512.27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节能环保、城乡社区等预算支出减少</w:t>
      </w:r>
      <w:r>
        <w:rPr>
          <w:rFonts w:hint="eastAsia" w:ascii="仿宋_GB2312" w:hAnsi="黑体" w:eastAsia="仿宋_GB2312"/>
          <w:sz w:val="32"/>
          <w:szCs w:val="32"/>
        </w:rPr>
        <w:t>。</w:t>
      </w:r>
    </w:p>
    <w:p>
      <w:pPr>
        <w:keepNext w:val="0"/>
        <w:keepLines w:val="0"/>
        <w:pageBreakBefore w:val="0"/>
        <w:kinsoku/>
        <w:wordWrap/>
        <w:overflowPunct/>
        <w:topLinePunct w:val="0"/>
        <w:bidi w:val="0"/>
        <w:snapToGrid/>
        <w:spacing w:line="600" w:lineRule="exact"/>
        <w:ind w:firstLine="640" w:firstLineChars="200"/>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keepNext w:val="0"/>
        <w:keepLines w:val="0"/>
        <w:pageBreakBefore w:val="0"/>
        <w:kinsoku/>
        <w:wordWrap/>
        <w:overflowPunct/>
        <w:topLinePunct w:val="0"/>
        <w:bidi w:val="0"/>
        <w:snapToGrid/>
        <w:spacing w:line="600" w:lineRule="exact"/>
        <w:ind w:firstLine="640" w:firstLineChars="200"/>
        <w:textAlignment w:val="auto"/>
        <w:outlineLvl w:val="9"/>
        <w:rPr>
          <w:rFonts w:ascii="楷体" w:hAnsi="楷体" w:eastAsia="楷体"/>
          <w:sz w:val="32"/>
          <w:szCs w:val="32"/>
        </w:rPr>
      </w:pPr>
      <w:r>
        <w:rPr>
          <w:rFonts w:hint="eastAsia" w:ascii="楷体" w:hAnsi="楷体" w:eastAsia="楷体"/>
          <w:sz w:val="32"/>
          <w:szCs w:val="32"/>
        </w:rPr>
        <w:t>（一）机关运行经费</w:t>
      </w:r>
    </w:p>
    <w:p>
      <w:pPr>
        <w:keepNext w:val="0"/>
        <w:keepLines w:val="0"/>
        <w:pageBreakBefore w:val="0"/>
        <w:kinsoku/>
        <w:wordWrap/>
        <w:overflowPunct/>
        <w:topLinePunct w:val="0"/>
        <w:bidi w:val="0"/>
        <w:snapToGrid/>
        <w:spacing w:line="600" w:lineRule="exact"/>
        <w:ind w:firstLine="640" w:firstLineChars="200"/>
        <w:textAlignment w:val="auto"/>
        <w:outlineLvl w:val="9"/>
        <w:rPr>
          <w:rFonts w:ascii="仿宋_GB2312" w:hAnsi="黑体" w:eastAsia="仿宋_GB2312"/>
          <w:sz w:val="32"/>
          <w:szCs w:val="32"/>
        </w:rPr>
      </w:pP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琼海市生态环境局</w:t>
      </w:r>
      <w:r>
        <w:rPr>
          <w:rFonts w:hint="eastAsia" w:ascii="仿宋_GB2312" w:hAnsi="黑体" w:eastAsia="仿宋_GB2312" w:cs="仿宋_GB2312"/>
          <w:sz w:val="32"/>
          <w:szCs w:val="32"/>
        </w:rPr>
        <w:t>本级、</w:t>
      </w:r>
      <w:r>
        <w:rPr>
          <w:rFonts w:hint="eastAsia" w:ascii="仿宋_GB2312" w:hAnsi="黑体" w:eastAsia="仿宋_GB2312" w:cs="仿宋_GB2312"/>
          <w:sz w:val="32"/>
          <w:szCs w:val="32"/>
          <w:lang w:eastAsia="zh-CN"/>
        </w:rPr>
        <w:t>琼海市环境监测站</w:t>
      </w:r>
      <w:r>
        <w:rPr>
          <w:rFonts w:hint="eastAsia" w:ascii="仿宋_GB2312" w:hAnsi="黑体" w:eastAsia="仿宋_GB2312" w:cs="仿宋_GB2312"/>
          <w:sz w:val="32"/>
          <w:szCs w:val="32"/>
        </w:rPr>
        <w:t>的机关运行经费预算25.92</w:t>
      </w:r>
      <w:r>
        <w:rPr>
          <w:rFonts w:hint="eastAsia" w:ascii="仿宋_GB2312" w:hAnsi="黑体" w:eastAsia="仿宋_GB2312"/>
          <w:sz w:val="32"/>
          <w:szCs w:val="32"/>
        </w:rPr>
        <w:t>万元。</w:t>
      </w:r>
    </w:p>
    <w:p>
      <w:pPr>
        <w:keepNext w:val="0"/>
        <w:keepLines w:val="0"/>
        <w:pageBreakBefore w:val="0"/>
        <w:kinsoku/>
        <w:wordWrap/>
        <w:overflowPunct/>
        <w:topLinePunct w:val="0"/>
        <w:bidi w:val="0"/>
        <w:snapToGrid/>
        <w:spacing w:line="600" w:lineRule="exact"/>
        <w:ind w:firstLine="640" w:firstLineChars="200"/>
        <w:textAlignment w:val="auto"/>
        <w:outlineLvl w:val="9"/>
        <w:rPr>
          <w:rFonts w:ascii="楷体" w:hAnsi="楷体" w:eastAsia="楷体"/>
          <w:sz w:val="32"/>
          <w:szCs w:val="32"/>
        </w:rPr>
      </w:pPr>
      <w:r>
        <w:rPr>
          <w:rFonts w:hint="eastAsia" w:ascii="楷体" w:hAnsi="楷体" w:eastAsia="楷体"/>
          <w:sz w:val="32"/>
          <w:szCs w:val="32"/>
        </w:rPr>
        <w:t>（二）政府采购情况</w:t>
      </w:r>
    </w:p>
    <w:p>
      <w:pPr>
        <w:keepNext w:val="0"/>
        <w:keepLines w:val="0"/>
        <w:pageBreakBefore w:val="0"/>
        <w:kinsoku/>
        <w:wordWrap/>
        <w:overflowPunct/>
        <w:topLinePunct w:val="0"/>
        <w:bidi w:val="0"/>
        <w:snapToGrid/>
        <w:spacing w:line="600" w:lineRule="exact"/>
        <w:ind w:firstLine="640"/>
        <w:textAlignment w:val="auto"/>
        <w:outlineLvl w:val="9"/>
        <w:rPr>
          <w:rFonts w:ascii="仿宋_GB2312" w:hAnsi="黑体" w:eastAsia="仿宋_GB2312"/>
          <w:sz w:val="32"/>
          <w:szCs w:val="32"/>
        </w:rPr>
      </w:pP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琼海市生态环境局</w:t>
      </w:r>
      <w:r>
        <w:rPr>
          <w:rFonts w:hint="eastAsia" w:ascii="仿宋_GB2312" w:hAnsi="黑体" w:eastAsia="仿宋_GB2312" w:cs="仿宋_GB2312"/>
          <w:sz w:val="32"/>
          <w:szCs w:val="32"/>
        </w:rPr>
        <w:t>本级及下属政府采购预算总额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keepNext w:val="0"/>
        <w:keepLines w:val="0"/>
        <w:pageBreakBefore w:val="0"/>
        <w:kinsoku/>
        <w:wordWrap/>
        <w:overflowPunct/>
        <w:topLinePunct w:val="0"/>
        <w:bidi w:val="0"/>
        <w:snapToGrid/>
        <w:spacing w:line="600" w:lineRule="exact"/>
        <w:ind w:firstLine="640" w:firstLineChars="200"/>
        <w:textAlignment w:val="auto"/>
        <w:outlineLvl w:val="9"/>
        <w:rPr>
          <w:rFonts w:ascii="楷体" w:hAnsi="楷体" w:eastAsia="楷体"/>
          <w:sz w:val="32"/>
          <w:szCs w:val="32"/>
        </w:rPr>
      </w:pPr>
      <w:r>
        <w:rPr>
          <w:rFonts w:hint="eastAsia" w:ascii="楷体" w:hAnsi="楷体" w:eastAsia="楷体"/>
          <w:sz w:val="32"/>
          <w:szCs w:val="32"/>
        </w:rPr>
        <w:t>（三）国有资产占有使用情况</w:t>
      </w:r>
    </w:p>
    <w:p>
      <w:pPr>
        <w:keepNext w:val="0"/>
        <w:keepLines w:val="0"/>
        <w:pageBreakBefore w:val="0"/>
        <w:kinsoku/>
        <w:wordWrap/>
        <w:overflowPunct/>
        <w:topLinePunct w:val="0"/>
        <w:bidi w:val="0"/>
        <w:snapToGrid/>
        <w:spacing w:line="600" w:lineRule="exact"/>
        <w:ind w:firstLine="640" w:firstLineChars="200"/>
        <w:textAlignment w:val="auto"/>
        <w:outlineLvl w:val="9"/>
        <w:rPr>
          <w:rFonts w:ascii="仿宋_GB2312" w:hAnsi="黑体" w:eastAsia="仿宋_GB2312" w:cs="仿宋_GB2312"/>
          <w:color w:val="auto"/>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琼海市生态环境局</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辆，其中，一般执法执勤用车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w:t>
      </w:r>
      <w:r>
        <w:rPr>
          <w:rFonts w:hint="eastAsia" w:ascii="仿宋_GB2312" w:hAnsi="黑体" w:eastAsia="仿宋_GB2312" w:cs="仿宋_GB2312"/>
          <w:color w:val="auto"/>
          <w:sz w:val="32"/>
          <w:szCs w:val="32"/>
        </w:rPr>
        <w:t>。单位价值100万元以上设备</w:t>
      </w:r>
      <w:r>
        <w:rPr>
          <w:rFonts w:hint="eastAsia" w:ascii="仿宋_GB2312" w:hAnsi="黑体" w:eastAsia="仿宋_GB2312" w:cs="仿宋_GB2312"/>
          <w:color w:val="auto"/>
          <w:sz w:val="32"/>
          <w:szCs w:val="32"/>
          <w:lang w:val="en-US" w:eastAsia="zh-CN"/>
        </w:rPr>
        <w:t>6</w:t>
      </w:r>
      <w:r>
        <w:rPr>
          <w:rFonts w:hint="eastAsia" w:ascii="仿宋_GB2312" w:hAnsi="黑体" w:eastAsia="仿宋_GB2312" w:cs="仿宋_GB2312"/>
          <w:color w:val="auto"/>
          <w:sz w:val="32"/>
          <w:szCs w:val="32"/>
        </w:rPr>
        <w:t>台（套）。</w:t>
      </w:r>
    </w:p>
    <w:p>
      <w:pPr>
        <w:keepNext w:val="0"/>
        <w:keepLines w:val="0"/>
        <w:pageBreakBefore w:val="0"/>
        <w:kinsoku/>
        <w:wordWrap/>
        <w:overflowPunct/>
        <w:topLinePunct w:val="0"/>
        <w:bidi w:val="0"/>
        <w:snapToGrid/>
        <w:spacing w:line="600" w:lineRule="exact"/>
        <w:ind w:firstLine="640" w:firstLineChars="200"/>
        <w:textAlignment w:val="auto"/>
        <w:outlineLvl w:val="9"/>
        <w:rPr>
          <w:rFonts w:ascii="楷体" w:hAnsi="楷体" w:eastAsia="楷体"/>
          <w:sz w:val="32"/>
          <w:szCs w:val="32"/>
        </w:rPr>
      </w:pPr>
      <w:r>
        <w:rPr>
          <w:rFonts w:hint="eastAsia" w:ascii="楷体" w:hAnsi="楷体" w:eastAsia="楷体"/>
          <w:sz w:val="32"/>
          <w:szCs w:val="32"/>
        </w:rPr>
        <w:t>（四）绩效目标设置情况</w:t>
      </w:r>
    </w:p>
    <w:p>
      <w:pPr>
        <w:keepNext w:val="0"/>
        <w:keepLines w:val="0"/>
        <w:pageBreakBefore w:val="0"/>
        <w:kinsoku/>
        <w:wordWrap/>
        <w:overflowPunct/>
        <w:topLinePunct w:val="0"/>
        <w:bidi w:val="0"/>
        <w:snapToGrid/>
        <w:spacing w:line="600" w:lineRule="exact"/>
        <w:ind w:firstLine="640" w:firstLineChars="200"/>
        <w:textAlignment w:val="auto"/>
        <w:outlineLvl w:val="9"/>
        <w:rPr>
          <w:rFonts w:ascii="仿宋_GB2312" w:hAnsi="黑体" w:eastAsia="仿宋_GB2312"/>
          <w:sz w:val="32"/>
          <w:szCs w:val="32"/>
        </w:rPr>
      </w:pP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琼海市生态环境局</w:t>
      </w:r>
      <w:r>
        <w:rPr>
          <w:rFonts w:hint="eastAsia" w:ascii="仿宋_GB2312" w:hAnsi="黑体" w:eastAsia="仿宋_GB2312" w:cs="仿宋_GB2312"/>
          <w:sz w:val="32"/>
          <w:szCs w:val="32"/>
          <w:lang w:val="en-US" w:eastAsia="zh-CN"/>
        </w:rPr>
        <w:t>15</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58.3</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551.24</w:t>
      </w:r>
      <w:r>
        <w:rPr>
          <w:rFonts w:hint="eastAsia" w:ascii="仿宋_GB2312" w:hAnsi="黑体" w:eastAsia="仿宋_GB2312"/>
          <w:sz w:val="32"/>
          <w:szCs w:val="32"/>
        </w:rPr>
        <w:t>万元。</w:t>
      </w:r>
    </w:p>
    <w:p>
      <w:pPr>
        <w:keepNext w:val="0"/>
        <w:keepLines w:val="0"/>
        <w:pageBreakBefore w:val="0"/>
        <w:kinsoku/>
        <w:wordWrap/>
        <w:overflowPunct/>
        <w:topLinePunct w:val="0"/>
        <w:bidi w:val="0"/>
        <w:snapToGrid/>
        <w:spacing w:line="600" w:lineRule="exact"/>
        <w:jc w:val="center"/>
        <w:textAlignment w:val="auto"/>
        <w:outlineLvl w:val="9"/>
        <w:rPr>
          <w:rFonts w:ascii="黑体" w:hAnsi="黑体" w:eastAsia="黑体"/>
          <w:b/>
          <w:sz w:val="32"/>
          <w:szCs w:val="32"/>
        </w:rPr>
      </w:pPr>
      <w:r>
        <w:rPr>
          <w:rFonts w:hint="eastAsia" w:ascii="黑体" w:hAnsi="黑体" w:eastAsia="黑体"/>
          <w:b/>
          <w:sz w:val="32"/>
          <w:szCs w:val="32"/>
        </w:rPr>
        <w:t>第四部分  名词解释</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outlineLvl w:val="9"/>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keepNext w:val="0"/>
        <w:keepLines w:val="0"/>
        <w:pageBreakBefore w:val="0"/>
        <w:kinsoku/>
        <w:wordWrap/>
        <w:overflowPunct/>
        <w:topLinePunct w:val="0"/>
        <w:bidi w:val="0"/>
        <w:snapToGrid/>
        <w:spacing w:line="600" w:lineRule="exact"/>
        <w:ind w:firstLine="640" w:firstLineChars="200"/>
        <w:jc w:val="left"/>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keepNext w:val="0"/>
        <w:keepLines w:val="0"/>
        <w:pageBreakBefore w:val="0"/>
        <w:kinsoku/>
        <w:wordWrap/>
        <w:overflowPunct/>
        <w:topLinePunct w:val="0"/>
        <w:bidi w:val="0"/>
        <w:snapToGrid/>
        <w:spacing w:line="600" w:lineRule="exact"/>
        <w:ind w:firstLine="640" w:firstLineChars="200"/>
        <w:jc w:val="left"/>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keepNext w:val="0"/>
        <w:keepLines w:val="0"/>
        <w:pageBreakBefore w:val="0"/>
        <w:kinsoku/>
        <w:wordWrap/>
        <w:overflowPunct/>
        <w:topLinePunct w:val="0"/>
        <w:bidi w:val="0"/>
        <w:snapToGrid/>
        <w:spacing w:line="600" w:lineRule="exact"/>
        <w:ind w:firstLine="640" w:firstLineChars="200"/>
        <w:jc w:val="left"/>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keepNext w:val="0"/>
        <w:keepLines w:val="0"/>
        <w:pageBreakBefore w:val="0"/>
        <w:kinsoku/>
        <w:wordWrap/>
        <w:overflowPunct/>
        <w:topLinePunct w:val="0"/>
        <w:bidi w:val="0"/>
        <w:snapToGrid/>
        <w:spacing w:line="600" w:lineRule="exact"/>
        <w:ind w:firstLine="640" w:firstLineChars="200"/>
        <w:jc w:val="left"/>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keepNext w:val="0"/>
        <w:keepLines w:val="0"/>
        <w:pageBreakBefore w:val="0"/>
        <w:kinsoku/>
        <w:wordWrap/>
        <w:overflowPunct/>
        <w:topLinePunct w:val="0"/>
        <w:bidi w:val="0"/>
        <w:snapToGrid/>
        <w:spacing w:line="600" w:lineRule="exact"/>
        <w:ind w:firstLine="640" w:firstLineChars="200"/>
        <w:jc w:val="left"/>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keepNext w:val="0"/>
        <w:keepLines w:val="0"/>
        <w:pageBreakBefore w:val="0"/>
        <w:kinsoku/>
        <w:wordWrap/>
        <w:overflowPunct/>
        <w:topLinePunct w:val="0"/>
        <w:bidi w:val="0"/>
        <w:snapToGrid/>
        <w:spacing w:line="600" w:lineRule="exact"/>
        <w:ind w:firstLine="640" w:firstLineChars="200"/>
        <w:jc w:val="left"/>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outlineLvl w:val="9"/>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outlineLvl w:val="9"/>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keepNext w:val="0"/>
        <w:keepLines w:val="0"/>
        <w:pageBreakBefore w:val="0"/>
        <w:kinsoku/>
        <w:wordWrap/>
        <w:overflowPunct/>
        <w:topLinePunct w:val="0"/>
        <w:bidi w:val="0"/>
        <w:snapToGrid/>
        <w:spacing w:line="600" w:lineRule="exact"/>
        <w:ind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十、基本支出：指行政事业单位用于为保障其机构正常运转、完成日常工作任务而发生的人员支出和公用支出。</w:t>
      </w:r>
    </w:p>
    <w:p>
      <w:pPr>
        <w:keepNext w:val="0"/>
        <w:keepLines w:val="0"/>
        <w:pageBreakBefore w:val="0"/>
        <w:kinsoku/>
        <w:wordWrap/>
        <w:overflowPunct/>
        <w:topLinePunct w:val="0"/>
        <w:bidi w:val="0"/>
        <w:snapToGrid/>
        <w:spacing w:line="600" w:lineRule="exact"/>
        <w:ind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一</w:t>
      </w:r>
      <w:r>
        <w:rPr>
          <w:rFonts w:hint="eastAsia" w:ascii="仿宋_GB2312" w:hAnsi="宋体" w:eastAsia="仿宋_GB2312" w:cs="宋体"/>
          <w:color w:val="000000"/>
          <w:kern w:val="0"/>
          <w:sz w:val="32"/>
          <w:szCs w:val="30"/>
        </w:rPr>
        <w:t>、项目支出：指在基本支出之外为完成特定的行政工作任务或事业发展目标所发生的支出。</w:t>
      </w:r>
    </w:p>
    <w:p>
      <w:pPr>
        <w:keepNext w:val="0"/>
        <w:keepLines w:val="0"/>
        <w:pageBreakBefore w:val="0"/>
        <w:kinsoku/>
        <w:wordWrap/>
        <w:overflowPunct/>
        <w:topLinePunct w:val="0"/>
        <w:bidi w:val="0"/>
        <w:snapToGrid/>
        <w:spacing w:line="600" w:lineRule="exact"/>
        <w:ind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lang w:eastAsia="zh-CN"/>
        </w:rPr>
        <w:t>二</w:t>
      </w:r>
      <w:r>
        <w:rPr>
          <w:rFonts w:hint="eastAsia" w:ascii="仿宋_GB2312" w:hAnsi="宋体" w:eastAsia="仿宋_GB2312" w:cs="宋体"/>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kinsoku/>
        <w:wordWrap/>
        <w:overflowPunct/>
        <w:topLinePunct w:val="0"/>
        <w:bidi w:val="0"/>
        <w:snapToGrid/>
        <w:spacing w:line="600" w:lineRule="exact"/>
        <w:ind w:firstLine="640" w:firstLineChars="200"/>
        <w:jc w:val="left"/>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eastAsia="zh-CN"/>
        </w:rPr>
        <w:t>三</w:t>
      </w:r>
      <w:r>
        <w:rPr>
          <w:rFonts w:hint="eastAsia" w:ascii="仿宋_GB2312" w:hAnsi="宋体" w:eastAsia="仿宋_GB2312" w:cs="宋体"/>
          <w:color w:val="000000"/>
          <w:kern w:val="0"/>
          <w:sz w:val="32"/>
          <w:szCs w:val="30"/>
        </w:rPr>
        <w:t>、机关运行经费：包括办公及印刷费、邮电费、差旅费、会议费、日常维修费、专用材料及一般设备购置费、办公用房水电费、办公用房取暖费、办公用房物业管理费、公务用车运行维护费以及其他费用。</w:t>
      </w:r>
    </w:p>
    <w:p>
      <w:pPr>
        <w:pStyle w:val="4"/>
        <w:keepNext w:val="0"/>
        <w:keepLines w:val="0"/>
        <w:pageBreakBefore w:val="0"/>
        <w:widowControl/>
        <w:kinsoku/>
        <w:wordWrap/>
        <w:overflowPunct/>
        <w:topLinePunct w:val="0"/>
        <w:bidi w:val="0"/>
        <w:snapToGrid/>
        <w:spacing w:line="600" w:lineRule="exact"/>
        <w:ind w:firstLine="640"/>
        <w:textAlignment w:val="auto"/>
        <w:outlineLvl w:val="9"/>
        <w:rPr>
          <w:rFonts w:hint="eastAsia" w:ascii="仿宋_GB2312" w:hAnsi="宋体" w:eastAsia="仿宋_GB2312" w:cs="宋体"/>
          <w:sz w:val="32"/>
          <w:szCs w:val="30"/>
        </w:rPr>
      </w:pPr>
      <w:r>
        <w:rPr>
          <w:rFonts w:hint="eastAsia" w:ascii="仿宋_GB2312" w:hAnsi="宋体" w:eastAsia="仿宋_GB2312" w:cs="宋体"/>
          <w:sz w:val="32"/>
          <w:szCs w:val="30"/>
        </w:rPr>
        <w:t xml:space="preserve">十四、社会保障和就业支出（类）行政事业单位养老支出（款）机关事业单位基本养老保险缴费支出（项）：指机关事业单位实施养老保险制度由单位缴纳的基本养老保险费支出。 </w:t>
      </w:r>
    </w:p>
    <w:p>
      <w:pPr>
        <w:keepNext w:val="0"/>
        <w:keepLines w:val="0"/>
        <w:pageBreakBefore w:val="0"/>
        <w:kinsoku/>
        <w:wordWrap/>
        <w:overflowPunct/>
        <w:topLinePunct w:val="0"/>
        <w:bidi w:val="0"/>
        <w:snapToGrid/>
        <w:spacing w:line="600" w:lineRule="exact"/>
        <w:ind w:firstLine="640" w:firstLineChars="200"/>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kern w:val="0"/>
          <w:sz w:val="32"/>
          <w:szCs w:val="30"/>
        </w:rPr>
        <w:t>十五</w:t>
      </w:r>
      <w:r>
        <w:rPr>
          <w:rFonts w:ascii="仿宋_GB2312" w:hAnsi="宋体" w:eastAsia="仿宋_GB2312" w:cs="宋体"/>
          <w:kern w:val="0"/>
          <w:sz w:val="32"/>
          <w:szCs w:val="30"/>
        </w:rPr>
        <w:t>、</w:t>
      </w:r>
      <w:r>
        <w:rPr>
          <w:rFonts w:hint="eastAsia" w:ascii="仿宋_GB2312" w:hAnsi="宋体" w:eastAsia="仿宋_GB2312" w:cs="宋体"/>
          <w:kern w:val="0"/>
          <w:sz w:val="32"/>
          <w:szCs w:val="30"/>
        </w:rPr>
        <w:t>卫生健康支出（类）行政事业单位医疗（款）行政单位医疗（项）：</w:t>
      </w:r>
      <w:r>
        <w:rPr>
          <w:rFonts w:hint="eastAsia" w:ascii="仿宋_GB2312" w:hAnsi="宋体" w:eastAsia="仿宋_GB2312" w:cs="宋体"/>
          <w:color w:val="000000"/>
          <w:kern w:val="0"/>
          <w:sz w:val="32"/>
          <w:szCs w:val="32"/>
        </w:rPr>
        <w:t>反映财政部门安排的行政单位（包括实行公务员管理的事业单位，下同）基本医疗保险缴费经费，未参加医疗保险的行政单位的公费医疗经费，按国家规定享受离休人员、红军老战士待遇人员的医疗经费。</w:t>
      </w:r>
    </w:p>
    <w:p>
      <w:pPr>
        <w:keepNext w:val="0"/>
        <w:keepLines w:val="0"/>
        <w:pageBreakBefore w:val="0"/>
        <w:kinsoku/>
        <w:wordWrap/>
        <w:overflowPunct/>
        <w:topLinePunct w:val="0"/>
        <w:bidi w:val="0"/>
        <w:snapToGrid/>
        <w:spacing w:line="600" w:lineRule="exact"/>
        <w:ind w:firstLine="640" w:firstLineChars="200"/>
        <w:textAlignment w:val="auto"/>
        <w:outlineLvl w:val="9"/>
        <w:rPr>
          <w:rFonts w:hint="eastAsia" w:ascii="仿宋_GB2312" w:hAnsi="宋体" w:eastAsia="仿宋_GB2312" w:cs="宋体"/>
          <w:kern w:val="0"/>
          <w:sz w:val="32"/>
          <w:szCs w:val="30"/>
        </w:rPr>
      </w:pPr>
      <w:r>
        <w:rPr>
          <w:rFonts w:hint="eastAsia" w:ascii="仿宋_GB2312" w:hAnsi="宋体" w:eastAsia="仿宋_GB2312" w:cs="宋体"/>
          <w:kern w:val="0"/>
          <w:sz w:val="32"/>
          <w:szCs w:val="30"/>
        </w:rPr>
        <w:t>十六、卫生健康支出（类）行政事业单位医疗（款）事业单位医疗（项）：</w:t>
      </w:r>
      <w:r>
        <w:rPr>
          <w:rFonts w:hint="eastAsia" w:ascii="仿宋_GB2312" w:hAnsi="宋体" w:eastAsia="仿宋_GB2312" w:cs="宋体"/>
          <w:color w:val="000000"/>
          <w:kern w:val="0"/>
          <w:sz w:val="32"/>
          <w:szCs w:val="32"/>
        </w:rPr>
        <w:t>反映财政部门安排的事业单位基本医疗保险缴费经费，未参加医疗保险的事业单位的公费医疗经费，按国家规定享受离休人员待遇的医疗经费。</w:t>
      </w:r>
    </w:p>
    <w:p>
      <w:pPr>
        <w:pStyle w:val="4"/>
        <w:keepNext w:val="0"/>
        <w:keepLines w:val="0"/>
        <w:pageBreakBefore w:val="0"/>
        <w:widowControl/>
        <w:kinsoku/>
        <w:wordWrap/>
        <w:overflowPunct/>
        <w:topLinePunct w:val="0"/>
        <w:bidi w:val="0"/>
        <w:snapToGrid/>
        <w:spacing w:line="600" w:lineRule="exact"/>
        <w:ind w:firstLine="640"/>
        <w:textAlignment w:val="auto"/>
        <w:outlineLvl w:val="9"/>
        <w:rPr>
          <w:rFonts w:ascii="仿宋_GB2312" w:hAnsi="宋体" w:eastAsia="仿宋_GB2312" w:cs="宋体"/>
          <w:sz w:val="32"/>
          <w:szCs w:val="30"/>
        </w:rPr>
      </w:pPr>
      <w:r>
        <w:rPr>
          <w:rFonts w:hint="eastAsia" w:ascii="仿宋_GB2312" w:hAnsi="宋体" w:eastAsia="仿宋_GB2312" w:cs="宋体"/>
          <w:sz w:val="32"/>
          <w:szCs w:val="30"/>
        </w:rPr>
        <w:t xml:space="preserve">十七、卫生健康支出（类）行政事业单位医疗（款）公务员医疗补助（项）：反映财政部门安排的公务员医疗补助经费。 </w:t>
      </w:r>
    </w:p>
    <w:p>
      <w:pPr>
        <w:pStyle w:val="4"/>
        <w:keepNext w:val="0"/>
        <w:keepLines w:val="0"/>
        <w:pageBreakBefore w:val="0"/>
        <w:widowControl/>
        <w:kinsoku/>
        <w:wordWrap/>
        <w:overflowPunct/>
        <w:topLinePunct w:val="0"/>
        <w:bidi w:val="0"/>
        <w:snapToGrid/>
        <w:spacing w:line="600" w:lineRule="exact"/>
        <w:ind w:firstLine="640"/>
        <w:textAlignment w:val="auto"/>
        <w:outlineLvl w:val="9"/>
        <w:rPr>
          <w:rFonts w:ascii="仿宋_GB2312" w:hAnsi="宋体" w:eastAsia="仿宋_GB2312" w:cs="宋体"/>
          <w:sz w:val="32"/>
          <w:szCs w:val="30"/>
        </w:rPr>
      </w:pPr>
      <w:r>
        <w:rPr>
          <w:rFonts w:hint="eastAsia" w:ascii="仿宋_GB2312" w:hAnsi="宋体" w:eastAsia="仿宋_GB2312" w:cs="宋体"/>
          <w:sz w:val="32"/>
          <w:szCs w:val="30"/>
        </w:rPr>
        <w:t>十</w:t>
      </w:r>
      <w:r>
        <w:rPr>
          <w:rFonts w:hint="eastAsia" w:ascii="仿宋_GB2312" w:hAnsi="宋体" w:eastAsia="仿宋_GB2312" w:cs="宋体"/>
          <w:sz w:val="32"/>
          <w:szCs w:val="30"/>
          <w:lang w:eastAsia="zh-CN"/>
        </w:rPr>
        <w:t>八</w:t>
      </w:r>
      <w:r>
        <w:rPr>
          <w:rFonts w:hint="eastAsia" w:ascii="仿宋_GB2312" w:hAnsi="宋体" w:eastAsia="仿宋_GB2312" w:cs="宋体"/>
          <w:sz w:val="32"/>
          <w:szCs w:val="30"/>
        </w:rPr>
        <w:t>、节能环保支出（类）环境保护管理事务（款）行政运行（项）：反映行政单位（包括实行公务员管理的事业单位）的基本支出。</w:t>
      </w:r>
    </w:p>
    <w:p>
      <w:pPr>
        <w:pStyle w:val="4"/>
        <w:keepNext w:val="0"/>
        <w:keepLines w:val="0"/>
        <w:pageBreakBefore w:val="0"/>
        <w:widowControl/>
        <w:kinsoku/>
        <w:wordWrap/>
        <w:overflowPunct/>
        <w:topLinePunct w:val="0"/>
        <w:bidi w:val="0"/>
        <w:snapToGrid/>
        <w:spacing w:line="600" w:lineRule="exact"/>
        <w:ind w:firstLine="640"/>
        <w:textAlignment w:val="auto"/>
        <w:outlineLvl w:val="9"/>
        <w:rPr>
          <w:rFonts w:ascii="仿宋_GB2312" w:hAnsi="宋体" w:eastAsia="仿宋_GB2312" w:cs="宋体"/>
          <w:sz w:val="32"/>
          <w:szCs w:val="30"/>
        </w:rPr>
      </w:pPr>
      <w:r>
        <w:rPr>
          <w:rFonts w:hint="eastAsia" w:ascii="仿宋_GB2312" w:hAnsi="宋体" w:eastAsia="仿宋_GB2312" w:cs="宋体"/>
          <w:sz w:val="32"/>
          <w:szCs w:val="30"/>
          <w:lang w:eastAsia="zh-CN"/>
        </w:rPr>
        <w:t>十九</w:t>
      </w:r>
      <w:r>
        <w:rPr>
          <w:rFonts w:hint="eastAsia" w:ascii="仿宋_GB2312" w:hAnsi="宋体" w:eastAsia="仿宋_GB2312" w:cs="宋体"/>
          <w:sz w:val="32"/>
          <w:szCs w:val="30"/>
        </w:rPr>
        <w:t>、节能环保支出（类）环境保护管理事务（款）其他环境保护管理事务支出（项）：反映除上述项目以外其他用于环境保护管理事务方面的支出。</w:t>
      </w:r>
    </w:p>
    <w:p>
      <w:pPr>
        <w:pStyle w:val="4"/>
        <w:keepNext w:val="0"/>
        <w:keepLines w:val="0"/>
        <w:pageBreakBefore w:val="0"/>
        <w:widowControl/>
        <w:kinsoku/>
        <w:wordWrap/>
        <w:overflowPunct/>
        <w:topLinePunct w:val="0"/>
        <w:bidi w:val="0"/>
        <w:snapToGrid/>
        <w:spacing w:line="600" w:lineRule="exact"/>
        <w:ind w:firstLine="640"/>
        <w:textAlignment w:val="auto"/>
        <w:outlineLvl w:val="9"/>
        <w:rPr>
          <w:rFonts w:ascii="仿宋_GB2312" w:hAnsi="宋体" w:eastAsia="仿宋_GB2312" w:cs="宋体"/>
          <w:sz w:val="32"/>
          <w:szCs w:val="30"/>
        </w:rPr>
      </w:pPr>
      <w:r>
        <w:rPr>
          <w:rFonts w:hint="eastAsia" w:ascii="仿宋_GB2312" w:hAnsi="宋体" w:eastAsia="仿宋_GB2312" w:cs="宋体"/>
          <w:sz w:val="32"/>
          <w:szCs w:val="30"/>
        </w:rPr>
        <w:t>二十、节能环保支出（类）环境监测与监察（款）建设项目环评审查与监督（项）：反映生态环境部门对建设类规划、建设项目的环境影响评价、评审，建设项目“三同时”监理、验收等方面的支出。</w:t>
      </w:r>
    </w:p>
    <w:p>
      <w:pPr>
        <w:pStyle w:val="4"/>
        <w:keepNext w:val="0"/>
        <w:keepLines w:val="0"/>
        <w:pageBreakBefore w:val="0"/>
        <w:widowControl/>
        <w:kinsoku/>
        <w:wordWrap/>
        <w:overflowPunct/>
        <w:topLinePunct w:val="0"/>
        <w:bidi w:val="0"/>
        <w:snapToGrid/>
        <w:spacing w:line="600" w:lineRule="exact"/>
        <w:ind w:firstLine="640"/>
        <w:textAlignment w:val="auto"/>
        <w:outlineLvl w:val="9"/>
        <w:rPr>
          <w:rFonts w:hint="eastAsia" w:ascii="仿宋_GB2312" w:hAnsi="宋体" w:eastAsia="仿宋_GB2312" w:cs="宋体"/>
          <w:sz w:val="32"/>
          <w:szCs w:val="30"/>
        </w:rPr>
      </w:pPr>
      <w:r>
        <w:rPr>
          <w:rFonts w:hint="eastAsia" w:ascii="仿宋_GB2312" w:hAnsi="宋体" w:eastAsia="仿宋_GB2312" w:cs="宋体"/>
          <w:sz w:val="32"/>
          <w:szCs w:val="30"/>
        </w:rPr>
        <w:t>二十一、节能环保支出（类）环境监测与监察（款）其他环境监测与监察支出（项）：反映除上述项目以外其他用于环境监测与监察方面的支出。</w:t>
      </w:r>
    </w:p>
    <w:p>
      <w:pPr>
        <w:pStyle w:val="4"/>
        <w:keepNext w:val="0"/>
        <w:keepLines w:val="0"/>
        <w:pageBreakBefore w:val="0"/>
        <w:widowControl/>
        <w:kinsoku/>
        <w:wordWrap/>
        <w:overflowPunct/>
        <w:topLinePunct w:val="0"/>
        <w:bidi w:val="0"/>
        <w:snapToGrid/>
        <w:spacing w:line="600" w:lineRule="exact"/>
        <w:ind w:firstLine="640"/>
        <w:textAlignment w:val="auto"/>
        <w:outlineLvl w:val="9"/>
        <w:rPr>
          <w:rFonts w:hint="eastAsia" w:ascii="仿宋_GB2312" w:hAnsi="宋体" w:eastAsia="仿宋_GB2312" w:cs="宋体"/>
          <w:sz w:val="32"/>
          <w:szCs w:val="30"/>
        </w:rPr>
      </w:pPr>
      <w:r>
        <w:rPr>
          <w:rFonts w:hint="eastAsia" w:ascii="仿宋_GB2312" w:hAnsi="宋体" w:eastAsia="仿宋_GB2312" w:cs="宋体"/>
          <w:sz w:val="32"/>
          <w:szCs w:val="30"/>
        </w:rPr>
        <w:t>二十</w:t>
      </w:r>
      <w:r>
        <w:rPr>
          <w:rFonts w:hint="eastAsia" w:ascii="仿宋_GB2312" w:hAnsi="宋体" w:eastAsia="仿宋_GB2312" w:cs="宋体"/>
          <w:sz w:val="32"/>
          <w:szCs w:val="30"/>
          <w:lang w:eastAsia="zh-CN"/>
        </w:rPr>
        <w:t>二</w:t>
      </w:r>
      <w:r>
        <w:rPr>
          <w:rFonts w:hint="eastAsia" w:ascii="仿宋_GB2312" w:hAnsi="宋体" w:eastAsia="仿宋_GB2312" w:cs="宋体"/>
          <w:sz w:val="32"/>
          <w:szCs w:val="30"/>
        </w:rPr>
        <w:t>、城乡社区支出（类） 国有土地使用权出让收入安排的支出（款）其他国有土地使用权出让收入安排的支出（项）：反映土地出让收入用于其他方面的支出。不包括市县级政府当年按规定用土地出让收入向中央和省级政府缴纳的新增建设用地土地有偿使用费的支出。</w:t>
      </w:r>
    </w:p>
    <w:p>
      <w:pPr>
        <w:pStyle w:val="4"/>
        <w:keepNext w:val="0"/>
        <w:keepLines w:val="0"/>
        <w:pageBreakBefore w:val="0"/>
        <w:widowControl/>
        <w:kinsoku/>
        <w:wordWrap/>
        <w:overflowPunct/>
        <w:topLinePunct w:val="0"/>
        <w:bidi w:val="0"/>
        <w:snapToGrid/>
        <w:spacing w:line="600" w:lineRule="exact"/>
        <w:ind w:firstLine="640"/>
        <w:textAlignment w:val="auto"/>
        <w:outlineLvl w:val="9"/>
        <w:rPr>
          <w:rFonts w:hint="eastAsia" w:ascii="仿宋_GB2312" w:hAnsi="宋体" w:eastAsia="仿宋_GB2312" w:cs="宋体"/>
          <w:sz w:val="32"/>
          <w:szCs w:val="30"/>
        </w:rPr>
      </w:pPr>
      <w:r>
        <w:rPr>
          <w:rFonts w:hint="eastAsia" w:ascii="仿宋_GB2312" w:hAnsi="宋体" w:eastAsia="仿宋_GB2312" w:cs="宋体"/>
          <w:sz w:val="32"/>
          <w:szCs w:val="30"/>
        </w:rPr>
        <w:t>二十</w:t>
      </w:r>
      <w:r>
        <w:rPr>
          <w:rFonts w:hint="eastAsia" w:ascii="仿宋_GB2312" w:hAnsi="宋体" w:eastAsia="仿宋_GB2312" w:cs="宋体"/>
          <w:sz w:val="32"/>
          <w:szCs w:val="30"/>
          <w:lang w:eastAsia="zh-CN"/>
        </w:rPr>
        <w:t>三</w:t>
      </w:r>
      <w:r>
        <w:rPr>
          <w:rFonts w:hint="eastAsia" w:ascii="仿宋_GB2312" w:hAnsi="宋体" w:eastAsia="仿宋_GB2312" w:cs="宋体"/>
          <w:sz w:val="32"/>
          <w:szCs w:val="30"/>
        </w:rPr>
        <w:t>、城乡社区支出（类） 城市基础设施配套费安排的支出（款）城市公共设施（项）：反映</w:t>
      </w:r>
      <w:r>
        <w:rPr>
          <w:rFonts w:hint="eastAsia" w:ascii="仿宋_GB2312" w:hAnsi="宋体" w:eastAsia="仿宋_GB2312" w:cs="宋体"/>
          <w:sz w:val="32"/>
          <w:szCs w:val="30"/>
          <w:lang w:eastAsia="zh-CN"/>
        </w:rPr>
        <w:t>城市公共设施机动车遥感监测平台建设</w:t>
      </w:r>
      <w:r>
        <w:rPr>
          <w:rFonts w:hint="eastAsia" w:ascii="仿宋_GB2312" w:hAnsi="宋体" w:eastAsia="仿宋_GB2312" w:cs="宋体"/>
          <w:sz w:val="32"/>
          <w:szCs w:val="30"/>
        </w:rPr>
        <w:t>支出。</w:t>
      </w:r>
    </w:p>
    <w:p>
      <w:pPr>
        <w:pStyle w:val="4"/>
        <w:keepNext w:val="0"/>
        <w:keepLines w:val="0"/>
        <w:pageBreakBefore w:val="0"/>
        <w:widowControl/>
        <w:kinsoku/>
        <w:wordWrap/>
        <w:overflowPunct/>
        <w:topLinePunct w:val="0"/>
        <w:bidi w:val="0"/>
        <w:snapToGrid/>
        <w:spacing w:line="600" w:lineRule="exact"/>
        <w:ind w:firstLine="640"/>
        <w:textAlignment w:val="auto"/>
        <w:outlineLvl w:val="9"/>
        <w:rPr>
          <w:rFonts w:hint="eastAsia" w:ascii="仿宋_GB2312" w:hAnsi="宋体" w:eastAsia="仿宋_GB2312" w:cs="宋体"/>
          <w:sz w:val="32"/>
          <w:szCs w:val="30"/>
        </w:rPr>
      </w:pPr>
      <w:r>
        <w:rPr>
          <w:rFonts w:hint="eastAsia" w:ascii="仿宋_GB2312" w:hAnsi="宋体" w:eastAsia="仿宋_GB2312" w:cs="宋体"/>
          <w:sz w:val="32"/>
          <w:szCs w:val="30"/>
        </w:rPr>
        <w:t>二十</w:t>
      </w:r>
      <w:r>
        <w:rPr>
          <w:rFonts w:hint="eastAsia" w:ascii="仿宋_GB2312" w:hAnsi="宋体" w:eastAsia="仿宋_GB2312" w:cs="宋体"/>
          <w:sz w:val="32"/>
          <w:szCs w:val="30"/>
          <w:lang w:eastAsia="zh-CN"/>
        </w:rPr>
        <w:t>四</w:t>
      </w:r>
      <w:r>
        <w:rPr>
          <w:rFonts w:hint="eastAsia" w:ascii="仿宋_GB2312" w:hAnsi="宋体" w:eastAsia="仿宋_GB2312" w:cs="宋体"/>
          <w:sz w:val="32"/>
          <w:szCs w:val="30"/>
        </w:rPr>
        <w:t>、城乡社区支出（类） 城市基础设施配套费安排的支出（款）城市环境卫生（项）：</w:t>
      </w:r>
      <w:r>
        <w:rPr>
          <w:rFonts w:hint="eastAsia" w:ascii="仿宋_GB2312" w:hAnsi="宋体" w:eastAsia="仿宋_GB2312" w:cs="宋体"/>
          <w:sz w:val="32"/>
          <w:szCs w:val="30"/>
          <w:lang w:eastAsia="zh-CN"/>
        </w:rPr>
        <w:t>反映国家重点生态功能区县域生态环境质量监测评价与考核和老旧车淘汰和污染补贴治理等方面支出。</w:t>
      </w:r>
    </w:p>
    <w:p>
      <w:pPr>
        <w:pStyle w:val="4"/>
        <w:keepNext w:val="0"/>
        <w:keepLines w:val="0"/>
        <w:pageBreakBefore w:val="0"/>
        <w:widowControl/>
        <w:kinsoku/>
        <w:wordWrap/>
        <w:overflowPunct/>
        <w:topLinePunct w:val="0"/>
        <w:bidi w:val="0"/>
        <w:snapToGrid/>
        <w:spacing w:line="600" w:lineRule="exact"/>
        <w:ind w:firstLine="640"/>
        <w:textAlignment w:val="auto"/>
        <w:outlineLvl w:val="9"/>
        <w:rPr>
          <w:rFonts w:hint="eastAsia" w:ascii="仿宋_GB2312" w:hAnsi="宋体" w:eastAsia="仿宋_GB2312" w:cs="宋体"/>
          <w:sz w:val="32"/>
          <w:szCs w:val="30"/>
        </w:rPr>
      </w:pPr>
      <w:r>
        <w:rPr>
          <w:rFonts w:hint="eastAsia" w:ascii="仿宋_GB2312" w:hAnsi="宋体" w:eastAsia="仿宋_GB2312" w:cs="宋体"/>
          <w:sz w:val="32"/>
          <w:szCs w:val="30"/>
        </w:rPr>
        <w:t>二十</w:t>
      </w:r>
      <w:r>
        <w:rPr>
          <w:rFonts w:hint="eastAsia" w:ascii="仿宋_GB2312" w:hAnsi="宋体" w:eastAsia="仿宋_GB2312" w:cs="宋体"/>
          <w:sz w:val="32"/>
          <w:szCs w:val="30"/>
          <w:lang w:eastAsia="zh-CN"/>
        </w:rPr>
        <w:t>五</w:t>
      </w:r>
      <w:r>
        <w:rPr>
          <w:rFonts w:hint="eastAsia" w:ascii="仿宋_GB2312" w:hAnsi="宋体" w:eastAsia="仿宋_GB2312" w:cs="宋体"/>
          <w:sz w:val="32"/>
          <w:szCs w:val="30"/>
        </w:rPr>
        <w:t>、城乡社区支出（类） 城市基础设施配套费安排的支出（款）其他城市基础设施配套费安排的支出（项）：反映</w:t>
      </w:r>
      <w:r>
        <w:rPr>
          <w:rFonts w:hint="eastAsia" w:ascii="仿宋_GB2312" w:hAnsi="宋体" w:eastAsia="仿宋_GB2312" w:cs="宋体"/>
          <w:sz w:val="32"/>
          <w:szCs w:val="30"/>
          <w:lang w:eastAsia="zh-CN"/>
        </w:rPr>
        <w:t>琼海市三线一单编制和环境影响报告书（表）技术评估</w:t>
      </w:r>
      <w:r>
        <w:rPr>
          <w:rFonts w:hint="eastAsia" w:ascii="仿宋_GB2312" w:hAnsi="宋体" w:eastAsia="仿宋_GB2312" w:cs="宋体"/>
          <w:sz w:val="32"/>
          <w:szCs w:val="30"/>
        </w:rPr>
        <w:t>支出。</w:t>
      </w:r>
    </w:p>
    <w:p>
      <w:pPr>
        <w:pStyle w:val="4"/>
        <w:keepNext w:val="0"/>
        <w:keepLines w:val="0"/>
        <w:pageBreakBefore w:val="0"/>
        <w:widowControl/>
        <w:kinsoku/>
        <w:wordWrap/>
        <w:overflowPunct/>
        <w:topLinePunct w:val="0"/>
        <w:bidi w:val="0"/>
        <w:snapToGrid/>
        <w:spacing w:line="600" w:lineRule="exact"/>
        <w:ind w:firstLine="640"/>
        <w:textAlignment w:val="auto"/>
        <w:outlineLvl w:val="9"/>
        <w:rPr>
          <w:rFonts w:hint="eastAsia" w:ascii="仿宋_GB2312" w:hAnsi="宋体" w:eastAsia="仿宋_GB2312" w:cs="宋体"/>
          <w:sz w:val="32"/>
          <w:szCs w:val="30"/>
        </w:rPr>
      </w:pPr>
      <w:r>
        <w:rPr>
          <w:rFonts w:hint="eastAsia" w:ascii="仿宋_GB2312" w:hAnsi="宋体" w:eastAsia="仿宋_GB2312" w:cs="宋体"/>
          <w:sz w:val="32"/>
          <w:szCs w:val="30"/>
          <w:lang w:eastAsia="zh-CN"/>
        </w:rPr>
        <w:t>二十六</w:t>
      </w:r>
      <w:r>
        <w:rPr>
          <w:rFonts w:hint="eastAsia" w:ascii="仿宋_GB2312" w:hAnsi="宋体" w:eastAsia="仿宋_GB2312" w:cs="宋体"/>
          <w:sz w:val="32"/>
          <w:szCs w:val="30"/>
        </w:rPr>
        <w:t xml:space="preserve">、住房保障支出（类）住房改革支出（款）住房公积金（项）：反映行政事业单位按人力资源和社会保障部、财政部规定的基本工资和津贴补贴以及规定比例为职工缴纳的住房公积金。 </w:t>
      </w:r>
    </w:p>
    <w:p>
      <w:pPr>
        <w:pStyle w:val="4"/>
        <w:keepNext w:val="0"/>
        <w:keepLines w:val="0"/>
        <w:pageBreakBefore w:val="0"/>
        <w:widowControl/>
        <w:kinsoku/>
        <w:wordWrap/>
        <w:overflowPunct/>
        <w:topLinePunct w:val="0"/>
        <w:bidi w:val="0"/>
        <w:snapToGrid/>
        <w:spacing w:line="600" w:lineRule="exact"/>
        <w:ind w:firstLine="640"/>
        <w:textAlignment w:val="auto"/>
        <w:outlineLvl w:val="9"/>
        <w:rPr>
          <w:rFonts w:hint="eastAsia" w:ascii="仿宋_GB2312" w:hAnsi="宋体" w:eastAsia="仿宋_GB2312" w:cs="宋体"/>
          <w:sz w:val="32"/>
          <w:szCs w:val="30"/>
        </w:rPr>
      </w:pPr>
    </w:p>
    <w:p>
      <w:pPr>
        <w:pStyle w:val="4"/>
        <w:keepNext w:val="0"/>
        <w:keepLines w:val="0"/>
        <w:pageBreakBefore w:val="0"/>
        <w:widowControl/>
        <w:kinsoku/>
        <w:wordWrap/>
        <w:overflowPunct/>
        <w:topLinePunct w:val="0"/>
        <w:bidi w:val="0"/>
        <w:snapToGrid/>
        <w:spacing w:line="600" w:lineRule="exact"/>
        <w:ind w:firstLine="640"/>
        <w:textAlignment w:val="auto"/>
        <w:outlineLvl w:val="9"/>
        <w:rPr>
          <w:rFonts w:hint="eastAsia" w:ascii="仿宋_GB2312" w:hAnsi="宋体" w:eastAsia="仿宋_GB2312" w:cs="宋体"/>
          <w:sz w:val="32"/>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44"/>
    <w:rsid w:val="00002A5F"/>
    <w:rsid w:val="00003088"/>
    <w:rsid w:val="000366A9"/>
    <w:rsid w:val="001326C1"/>
    <w:rsid w:val="00173B57"/>
    <w:rsid w:val="001A23E1"/>
    <w:rsid w:val="001A7472"/>
    <w:rsid w:val="002530AD"/>
    <w:rsid w:val="00283E6E"/>
    <w:rsid w:val="00293316"/>
    <w:rsid w:val="002956BC"/>
    <w:rsid w:val="002A59FA"/>
    <w:rsid w:val="002E07A4"/>
    <w:rsid w:val="002E73B0"/>
    <w:rsid w:val="002F355E"/>
    <w:rsid w:val="00343757"/>
    <w:rsid w:val="003847B6"/>
    <w:rsid w:val="004313AB"/>
    <w:rsid w:val="004522A5"/>
    <w:rsid w:val="00474F12"/>
    <w:rsid w:val="004A1C49"/>
    <w:rsid w:val="004B1A10"/>
    <w:rsid w:val="00517364"/>
    <w:rsid w:val="00522287"/>
    <w:rsid w:val="00525863"/>
    <w:rsid w:val="00537B3F"/>
    <w:rsid w:val="0059423F"/>
    <w:rsid w:val="005C2065"/>
    <w:rsid w:val="00640059"/>
    <w:rsid w:val="00683610"/>
    <w:rsid w:val="006871F7"/>
    <w:rsid w:val="00696476"/>
    <w:rsid w:val="006B1FB3"/>
    <w:rsid w:val="006C102A"/>
    <w:rsid w:val="006D6C06"/>
    <w:rsid w:val="006F00B3"/>
    <w:rsid w:val="0075151D"/>
    <w:rsid w:val="007523E7"/>
    <w:rsid w:val="00785CAE"/>
    <w:rsid w:val="00786240"/>
    <w:rsid w:val="00793101"/>
    <w:rsid w:val="00793A7F"/>
    <w:rsid w:val="007B3322"/>
    <w:rsid w:val="007E4EAF"/>
    <w:rsid w:val="008B2D28"/>
    <w:rsid w:val="008B5062"/>
    <w:rsid w:val="009262C2"/>
    <w:rsid w:val="00926751"/>
    <w:rsid w:val="00932F84"/>
    <w:rsid w:val="00947538"/>
    <w:rsid w:val="009547C1"/>
    <w:rsid w:val="009616E6"/>
    <w:rsid w:val="009846A5"/>
    <w:rsid w:val="00995DA5"/>
    <w:rsid w:val="009E613D"/>
    <w:rsid w:val="009F52FB"/>
    <w:rsid w:val="00A545A0"/>
    <w:rsid w:val="00AE2FF8"/>
    <w:rsid w:val="00B75FCF"/>
    <w:rsid w:val="00BE1257"/>
    <w:rsid w:val="00C91D51"/>
    <w:rsid w:val="00CA7DBE"/>
    <w:rsid w:val="00CD7757"/>
    <w:rsid w:val="00CE0C42"/>
    <w:rsid w:val="00DC65EF"/>
    <w:rsid w:val="00DD3FD8"/>
    <w:rsid w:val="00E3389C"/>
    <w:rsid w:val="00E73A4A"/>
    <w:rsid w:val="00ED50D0"/>
    <w:rsid w:val="00ED6580"/>
    <w:rsid w:val="00F442C4"/>
    <w:rsid w:val="00F91B44"/>
    <w:rsid w:val="00FB0A31"/>
    <w:rsid w:val="00FF3698"/>
    <w:rsid w:val="03E05F21"/>
    <w:rsid w:val="043D7CEE"/>
    <w:rsid w:val="05B508AE"/>
    <w:rsid w:val="06257298"/>
    <w:rsid w:val="078672BE"/>
    <w:rsid w:val="08C63C02"/>
    <w:rsid w:val="099C0D7C"/>
    <w:rsid w:val="0B981BAC"/>
    <w:rsid w:val="0D6E2303"/>
    <w:rsid w:val="0E6805C8"/>
    <w:rsid w:val="0EC12712"/>
    <w:rsid w:val="10B20F7A"/>
    <w:rsid w:val="10FD309F"/>
    <w:rsid w:val="111F518B"/>
    <w:rsid w:val="14650785"/>
    <w:rsid w:val="17895529"/>
    <w:rsid w:val="17C91923"/>
    <w:rsid w:val="18B54559"/>
    <w:rsid w:val="19D42DF5"/>
    <w:rsid w:val="1A87095A"/>
    <w:rsid w:val="1A8F13AB"/>
    <w:rsid w:val="1D866885"/>
    <w:rsid w:val="1E28288F"/>
    <w:rsid w:val="1F0C73E9"/>
    <w:rsid w:val="1F5C43C2"/>
    <w:rsid w:val="224E0798"/>
    <w:rsid w:val="24300935"/>
    <w:rsid w:val="257F0498"/>
    <w:rsid w:val="25A81A4F"/>
    <w:rsid w:val="25C24E84"/>
    <w:rsid w:val="26251D03"/>
    <w:rsid w:val="289B331D"/>
    <w:rsid w:val="28DB19E2"/>
    <w:rsid w:val="290527C6"/>
    <w:rsid w:val="29CD1DB0"/>
    <w:rsid w:val="29ED62B9"/>
    <w:rsid w:val="29F52095"/>
    <w:rsid w:val="2AAF3923"/>
    <w:rsid w:val="2DBB648A"/>
    <w:rsid w:val="2DC714F4"/>
    <w:rsid w:val="2DFA61AB"/>
    <w:rsid w:val="2E320A9D"/>
    <w:rsid w:val="2E771080"/>
    <w:rsid w:val="2F555EBC"/>
    <w:rsid w:val="303E444A"/>
    <w:rsid w:val="31DE5F4F"/>
    <w:rsid w:val="363F3186"/>
    <w:rsid w:val="3AC05D80"/>
    <w:rsid w:val="3AD8426E"/>
    <w:rsid w:val="3B342E36"/>
    <w:rsid w:val="3B365485"/>
    <w:rsid w:val="3B700DA1"/>
    <w:rsid w:val="3BBB7F6C"/>
    <w:rsid w:val="3CFF11F2"/>
    <w:rsid w:val="3DB61BAC"/>
    <w:rsid w:val="3EFF3C87"/>
    <w:rsid w:val="417F6090"/>
    <w:rsid w:val="41BE51F9"/>
    <w:rsid w:val="424A316B"/>
    <w:rsid w:val="42CF4D6E"/>
    <w:rsid w:val="43722EF2"/>
    <w:rsid w:val="439A3C04"/>
    <w:rsid w:val="46A36135"/>
    <w:rsid w:val="482F39ED"/>
    <w:rsid w:val="49AC6D5B"/>
    <w:rsid w:val="4C160164"/>
    <w:rsid w:val="4C5B3B08"/>
    <w:rsid w:val="4D7207E3"/>
    <w:rsid w:val="4DCC4D29"/>
    <w:rsid w:val="4F5C4169"/>
    <w:rsid w:val="512D0414"/>
    <w:rsid w:val="51BB5F9E"/>
    <w:rsid w:val="554E1732"/>
    <w:rsid w:val="569304F6"/>
    <w:rsid w:val="58CB2DFB"/>
    <w:rsid w:val="591D2771"/>
    <w:rsid w:val="592D2C28"/>
    <w:rsid w:val="5BFC1E54"/>
    <w:rsid w:val="5C400C23"/>
    <w:rsid w:val="5C8A4049"/>
    <w:rsid w:val="5D80138C"/>
    <w:rsid w:val="5E3235A1"/>
    <w:rsid w:val="5E371542"/>
    <w:rsid w:val="6274029A"/>
    <w:rsid w:val="6293529C"/>
    <w:rsid w:val="63BE69C9"/>
    <w:rsid w:val="64055AEE"/>
    <w:rsid w:val="6514724E"/>
    <w:rsid w:val="662B4BFB"/>
    <w:rsid w:val="66541B72"/>
    <w:rsid w:val="669D25ED"/>
    <w:rsid w:val="67F149E7"/>
    <w:rsid w:val="680363AD"/>
    <w:rsid w:val="6837171A"/>
    <w:rsid w:val="6956110A"/>
    <w:rsid w:val="6B9F4338"/>
    <w:rsid w:val="6BFE6F76"/>
    <w:rsid w:val="6C202F9D"/>
    <w:rsid w:val="6C586161"/>
    <w:rsid w:val="6C8714E2"/>
    <w:rsid w:val="6CF15520"/>
    <w:rsid w:val="6E812A23"/>
    <w:rsid w:val="6FE37A78"/>
    <w:rsid w:val="71FC3F74"/>
    <w:rsid w:val="72450F2D"/>
    <w:rsid w:val="726C670E"/>
    <w:rsid w:val="731E1239"/>
    <w:rsid w:val="743442D1"/>
    <w:rsid w:val="74AF5CAD"/>
    <w:rsid w:val="75C46327"/>
    <w:rsid w:val="76E33FCB"/>
    <w:rsid w:val="77F35AEF"/>
    <w:rsid w:val="788E6453"/>
    <w:rsid w:val="7A8D421C"/>
    <w:rsid w:val="7B6912A1"/>
    <w:rsid w:val="7BDE7F75"/>
    <w:rsid w:val="7C71568D"/>
    <w:rsid w:val="7C845869"/>
    <w:rsid w:val="7DA24EBD"/>
    <w:rsid w:val="7E244718"/>
    <w:rsid w:val="7EE2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Pr>
      <w:kern w:val="0"/>
      <w:sz w:val="24"/>
      <w:lang w:val="en-US" w:eastAsia="zh-CN" w:bidi="ar"/>
    </w:rPr>
  </w:style>
  <w:style w:type="paragraph" w:styleId="7">
    <w:name w:val="List Paragraph"/>
    <w:basedOn w:val="1"/>
    <w:qFormat/>
    <w:uiPriority w:val="34"/>
    <w:pPr>
      <w:ind w:firstLine="420" w:firstLineChars="200"/>
    </w:pPr>
  </w:style>
  <w:style w:type="character" w:customStyle="1" w:styleId="8">
    <w:name w:val="页眉 Char"/>
    <w:basedOn w:val="5"/>
    <w:link w:val="2"/>
    <w:semiHidden/>
    <w:qFormat/>
    <w:uiPriority w:val="99"/>
    <w:rPr>
      <w:sz w:val="18"/>
      <w:szCs w:val="18"/>
    </w:rPr>
  </w:style>
  <w:style w:type="character" w:customStyle="1" w:styleId="9">
    <w:name w:val="页脚 Char"/>
    <w:basedOn w:val="5"/>
    <w:link w:val="3"/>
    <w:semiHidden/>
    <w:qFormat/>
    <w:uiPriority w:val="99"/>
    <w:rPr>
      <w:sz w:val="18"/>
      <w:szCs w:val="18"/>
    </w:rPr>
  </w:style>
  <w:style w:type="paragraph" w:customStyle="1" w:styleId="10">
    <w:name w:val="List Paragraph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611</Words>
  <Characters>3484</Characters>
  <Lines>29</Lines>
  <Paragraphs>8</Paragraphs>
  <TotalTime>0</TotalTime>
  <ScaleCrop>false</ScaleCrop>
  <LinksUpToDate>false</LinksUpToDate>
  <CharactersWithSpaces>4087</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祭禾</cp:lastModifiedBy>
  <cp:lastPrinted>2020-02-20T09:01:00Z</cp:lastPrinted>
  <dcterms:modified xsi:type="dcterms:W3CDTF">2020-03-17T07:30:09Z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