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jc w:val="center"/>
        <w:rPr>
          <w:sz w:val="84"/>
          <w:szCs w:val="84"/>
        </w:rPr>
      </w:pPr>
      <w:r>
        <w:rPr>
          <w:rFonts w:hint="eastAsia"/>
          <w:sz w:val="84"/>
          <w:szCs w:val="84"/>
        </w:rPr>
        <w:t>202</w:t>
      </w:r>
      <w:r>
        <w:rPr>
          <w:rFonts w:hint="eastAsia"/>
          <w:sz w:val="84"/>
          <w:szCs w:val="84"/>
          <w:lang w:val="en-US" w:eastAsia="zh-CN"/>
        </w:rPr>
        <w:t>1</w:t>
      </w:r>
      <w:r>
        <w:rPr>
          <w:rFonts w:hint="eastAsia"/>
          <w:sz w:val="84"/>
          <w:szCs w:val="84"/>
        </w:rPr>
        <w:t>年琼海市</w:t>
      </w:r>
      <w:r>
        <w:rPr>
          <w:rFonts w:hint="eastAsia"/>
          <w:sz w:val="84"/>
          <w:szCs w:val="84"/>
          <w:lang w:eastAsia="zh-CN"/>
        </w:rPr>
        <w:t>外事办公室部门</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1"/>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琼海市外事办公室</w:t>
      </w:r>
      <w:r>
        <w:rPr>
          <w:rFonts w:hint="eastAsia" w:ascii="黑体" w:hAnsi="黑体" w:eastAsia="黑体"/>
          <w:sz w:val="32"/>
          <w:szCs w:val="32"/>
        </w:rPr>
        <w:t>概况</w:t>
      </w:r>
    </w:p>
    <w:p>
      <w:pPr>
        <w:pStyle w:val="11"/>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1"/>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1"/>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琼海市外事办公室</w:t>
      </w:r>
      <w:r>
        <w:rPr>
          <w:rFonts w:hint="eastAsia" w:ascii="黑体" w:hAnsi="黑体" w:eastAsia="黑体" w:cs="黑体"/>
          <w:sz w:val="32"/>
          <w:szCs w:val="32"/>
          <w:lang w:val="en-US" w:eastAsia="zh-CN"/>
        </w:rPr>
        <w:t>2021</w:t>
      </w:r>
      <w:r>
        <w:rPr>
          <w:rFonts w:hint="eastAsia" w:ascii="黑体" w:hAnsi="黑体" w:eastAsia="黑体"/>
          <w:sz w:val="32"/>
          <w:szCs w:val="32"/>
        </w:rPr>
        <w:t>年部门预算表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1"/>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1"/>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1"/>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琼海市外事办公室</w:t>
      </w:r>
      <w:r>
        <w:rPr>
          <w:rFonts w:hint="eastAsia" w:ascii="黑体" w:hAnsi="黑体" w:eastAsia="黑体" w:cs="黑体"/>
          <w:sz w:val="32"/>
          <w:szCs w:val="32"/>
          <w:lang w:val="en-US" w:eastAsia="zh-CN"/>
        </w:rPr>
        <w:t>2021</w:t>
      </w:r>
      <w:r>
        <w:rPr>
          <w:rFonts w:hint="eastAsia" w:ascii="黑体" w:hAnsi="黑体" w:eastAsia="黑体"/>
          <w:sz w:val="32"/>
          <w:szCs w:val="32"/>
        </w:rPr>
        <w:t>年部门预算情况说明</w:t>
      </w:r>
    </w:p>
    <w:p>
      <w:pPr>
        <w:pStyle w:val="11"/>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1"/>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1"/>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琼海市外事办公室</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1"/>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numPr>
          <w:ilvl w:val="0"/>
          <w:numId w:val="0"/>
        </w:numPr>
        <w:ind w:firstLine="640" w:firstLineChars="20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按照规定，三定方案不公开</w:t>
      </w:r>
    </w:p>
    <w:p>
      <w:pPr>
        <w:pStyle w:val="11"/>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琼海市外事办公室</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琼海市外事办公室本级</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琼海市外事办公室</w:t>
      </w:r>
      <w:r>
        <w:rPr>
          <w:rFonts w:hint="eastAsia" w:ascii="黑体" w:hAnsi="黑体" w:eastAsia="黑体" w:cs="黑体"/>
          <w:sz w:val="32"/>
          <w:szCs w:val="32"/>
          <w:lang w:val="en-US" w:eastAsia="zh-CN"/>
        </w:rPr>
        <w:t>2021</w:t>
      </w:r>
      <w:r>
        <w:rPr>
          <w:rFonts w:hint="eastAsia" w:ascii="黑体" w:hAnsi="黑体" w:eastAsia="黑体" w:cs="黑体"/>
          <w:sz w:val="32"/>
          <w:szCs w:val="32"/>
        </w:rPr>
        <w:t>年</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琼海市外事办公室</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琼海市外事办公室</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琼海市外事办公室</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608.61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608.61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108.61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608.61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80.24</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7.29</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14.97</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500万元</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6.11万元，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琼海市外事办公室</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琼海市外事办公室</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108.61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万元，主要</w:t>
      </w:r>
      <w:r>
        <w:rPr>
          <w:rFonts w:hint="eastAsia" w:ascii="仿宋_GB2312" w:hAnsi="黑体" w:eastAsia="仿宋_GB2312"/>
          <w:sz w:val="32"/>
          <w:szCs w:val="32"/>
          <w:lang w:eastAsia="zh-CN"/>
        </w:rPr>
        <w:t>一是在职人员减少，相关人员支出减少；二是项目支出减少。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80.24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73.88</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7.29万元，占6.71%；</w:t>
      </w:r>
      <w:r>
        <w:rPr>
          <w:rFonts w:hint="eastAsia" w:ascii="仿宋_GB2312" w:hAnsi="黑体" w:eastAsia="仿宋_GB2312"/>
          <w:sz w:val="32"/>
          <w:szCs w:val="32"/>
          <w:lang w:eastAsia="zh-CN"/>
        </w:rPr>
        <w:t>卫生健康（类）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14.97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占13.78%；</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6.11万元</w:t>
      </w:r>
      <w:r>
        <w:rPr>
          <w:rFonts w:hint="eastAsia" w:ascii="仿宋_GB2312" w:hAnsi="黑体" w:eastAsia="仿宋_GB2312"/>
          <w:sz w:val="32"/>
          <w:szCs w:val="32"/>
        </w:rPr>
        <w:t>，</w:t>
      </w:r>
      <w:r>
        <w:rPr>
          <w:rFonts w:hint="eastAsia" w:ascii="仿宋_GB2312" w:hAnsi="黑体" w:eastAsia="仿宋_GB2312"/>
          <w:sz w:val="32"/>
          <w:szCs w:val="32"/>
          <w:lang w:val="en-US" w:eastAsia="zh-CN"/>
        </w:rPr>
        <w:t>占5.62%.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对外联络事务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56.93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13.03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2021年在编人员减少，相关人员支出及行政经费减少。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对外联络事务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其他对外联络事务支出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2021年在编人员减少，相关人员支出减少。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 w:hAnsi="仿宋" w:eastAsia="仿宋" w:cs="宋体"/>
          <w:color w:val="000000"/>
          <w:kern w:val="0"/>
          <w:sz w:val="32"/>
          <w:szCs w:val="30"/>
          <w:lang w:val="zh-CN"/>
        </w:rPr>
        <w:t>卫生健康支出（类）行政事业单位医疗（款）行政单位医疗（项）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0.86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2021年在编人员减少，相关人员支出减少。</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5、</w:t>
      </w:r>
      <w:r>
        <w:rPr>
          <w:rFonts w:hint="eastAsia" w:ascii="仿宋" w:hAnsi="仿宋" w:eastAsia="仿宋" w:cs="宋体"/>
          <w:color w:val="000000"/>
          <w:kern w:val="0"/>
          <w:sz w:val="32"/>
          <w:szCs w:val="30"/>
          <w:lang w:val="zh-CN"/>
        </w:rPr>
        <w:t>卫生健康支出（类）行政事业单位医疗（款）公务员医疗补助（项）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11.09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0.29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2021年在编人员减少，相关人员支出减少。</w:t>
      </w:r>
    </w:p>
    <w:p>
      <w:pPr>
        <w:ind w:firstLine="640" w:firstLineChars="200"/>
        <w:rPr>
          <w:rFonts w:hint="eastAsia" w:ascii="仿宋_GB2312" w:hAnsi="黑体" w:eastAsia="仿宋_GB2312" w:cs="仿宋_GB2312"/>
          <w:sz w:val="32"/>
          <w:szCs w:val="32"/>
          <w:lang w:eastAsia="zh-CN"/>
        </w:rPr>
      </w:pPr>
      <w:r>
        <w:rPr>
          <w:rFonts w:hint="eastAsia" w:ascii="仿宋" w:hAnsi="仿宋" w:eastAsia="仿宋" w:cs="宋体"/>
          <w:color w:val="000000"/>
          <w:kern w:val="0"/>
          <w:sz w:val="32"/>
          <w:szCs w:val="30"/>
          <w:lang w:val="en-US" w:eastAsia="zh-CN"/>
        </w:rPr>
        <w:t>6</w:t>
      </w:r>
      <w:r>
        <w:rPr>
          <w:rFonts w:hint="eastAsia" w:ascii="仿宋" w:hAnsi="仿宋" w:eastAsia="仿宋" w:cs="宋体"/>
          <w:color w:val="000000"/>
          <w:kern w:val="0"/>
          <w:sz w:val="32"/>
          <w:szCs w:val="30"/>
          <w:lang w:val="zh-CN"/>
        </w:rPr>
        <w:t>.住房保障支出（类）住房改革支出（款）住房公积金（项）20</w:t>
      </w:r>
      <w:r>
        <w:rPr>
          <w:rFonts w:hint="eastAsia" w:ascii="仿宋" w:hAnsi="仿宋" w:eastAsia="仿宋" w:cs="宋体"/>
          <w:color w:val="000000"/>
          <w:kern w:val="0"/>
          <w:sz w:val="32"/>
          <w:szCs w:val="30"/>
          <w:lang w:val="en-US" w:eastAsia="zh-CN"/>
        </w:rPr>
        <w:t>21</w:t>
      </w:r>
      <w:r>
        <w:rPr>
          <w:rFonts w:hint="eastAsia" w:ascii="仿宋" w:hAnsi="仿宋" w:eastAsia="仿宋" w:cs="宋体"/>
          <w:color w:val="000000"/>
          <w:kern w:val="0"/>
          <w:sz w:val="32"/>
          <w:szCs w:val="30"/>
          <w:lang w:val="zh-CN"/>
        </w:rPr>
        <w:t>年预算数为</w:t>
      </w:r>
      <w:r>
        <w:rPr>
          <w:rFonts w:hint="eastAsia" w:ascii="仿宋" w:hAnsi="仿宋" w:eastAsia="仿宋" w:cs="宋体"/>
          <w:color w:val="000000"/>
          <w:kern w:val="0"/>
          <w:sz w:val="32"/>
          <w:szCs w:val="30"/>
          <w:lang w:val="en-US" w:eastAsia="zh-CN"/>
        </w:rPr>
        <w:t>6.11</w:t>
      </w:r>
      <w:r>
        <w:rPr>
          <w:rFonts w:hint="eastAsia" w:ascii="仿宋" w:hAnsi="仿宋" w:eastAsia="仿宋" w:cs="宋体"/>
          <w:color w:val="000000"/>
          <w:kern w:val="0"/>
          <w:sz w:val="32"/>
          <w:szCs w:val="30"/>
          <w:lang w:val="zh-CN"/>
        </w:rPr>
        <w:t>万元，比上年减少</w:t>
      </w:r>
      <w:r>
        <w:rPr>
          <w:rFonts w:hint="eastAsia" w:ascii="仿宋" w:hAnsi="仿宋" w:eastAsia="仿宋" w:cs="宋体"/>
          <w:color w:val="000000"/>
          <w:kern w:val="0"/>
          <w:sz w:val="32"/>
          <w:szCs w:val="30"/>
          <w:lang w:val="en-US" w:eastAsia="zh-CN"/>
        </w:rPr>
        <w:t>2.03</w:t>
      </w:r>
      <w:r>
        <w:rPr>
          <w:rFonts w:hint="eastAsia" w:ascii="仿宋" w:hAnsi="仿宋" w:eastAsia="仿宋" w:cs="宋体"/>
          <w:color w:val="000000"/>
          <w:kern w:val="0"/>
          <w:sz w:val="32"/>
          <w:szCs w:val="30"/>
          <w:lang w:val="zh-CN"/>
        </w:rPr>
        <w:t>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2021年在编人员减少，相关人员支出减少。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琼海市外事办公室</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琼海市外事办公室</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85.3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79.47</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机关事业单位基本养老保险缴费、城镇职工基本医疗保险缴费、公务员医疗补助缴费、其他社会保障缴费、住房公积金、邮电费、其他交通费用等</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5.84</w:t>
      </w:r>
      <w:r>
        <w:rPr>
          <w:rFonts w:hint="eastAsia" w:ascii="仿宋_GB2312" w:hAnsi="黑体" w:eastAsia="仿宋_GB2312"/>
          <w:sz w:val="32"/>
          <w:szCs w:val="32"/>
        </w:rPr>
        <w:t>万元，主要包括：办公费、水费、电费、</w:t>
      </w:r>
      <w:r>
        <w:rPr>
          <w:rFonts w:hint="eastAsia" w:ascii="仿宋_GB2312" w:hAnsi="黑体" w:eastAsia="仿宋_GB2312"/>
          <w:sz w:val="32"/>
          <w:szCs w:val="32"/>
          <w:lang w:eastAsia="zh-CN"/>
        </w:rPr>
        <w:t>邮电费、物业管理费、差旅费、维修（护）费、会议费、培训费、工会经费、公务用车运行维护费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琼海市外事办公室</w:t>
      </w:r>
      <w:r>
        <w:rPr>
          <w:rFonts w:hint="default"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琼海市外事办公室</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年年一般公共预算“三公”经费预算数为</w:t>
      </w:r>
      <w:r>
        <w:rPr>
          <w:rFonts w:hint="eastAsia" w:ascii="仿宋_GB2312" w:hAnsi="黑体" w:eastAsia="仿宋_GB2312" w:cs="仿宋_GB2312"/>
          <w:sz w:val="32"/>
          <w:szCs w:val="32"/>
          <w:lang w:val="en-US" w:eastAsia="zh-CN"/>
        </w:rPr>
        <w:t>4.31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60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将部分公务接待经费预算放到政府性基金预算中。</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60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琼海市外事办公室</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万元，其中：</w:t>
      </w:r>
    </w:p>
    <w:p>
      <w:pPr>
        <w:ind w:firstLine="640" w:firstLineChars="200"/>
        <w:rPr>
          <w:rFonts w:hint="default" w:ascii="Times New Roman" w:hAnsi="Times New Roman" w:eastAsia="仿宋_GB2312" w:cs="Times New Roman"/>
          <w:sz w:val="32"/>
          <w:shd w:val="clear" w:color="auto" w:fill="FFFFFF"/>
          <w:lang w:val="en-US" w:eastAsia="zh-CN"/>
        </w:rPr>
      </w:pPr>
      <w:r>
        <w:rPr>
          <w:rFonts w:hint="eastAsia" w:ascii="Times New Roman" w:hAnsi="Times New Roman" w:eastAsia="仿宋_GB2312" w:cs="Times New Roman"/>
          <w:sz w:val="32"/>
          <w:shd w:val="clear" w:color="auto" w:fill="FFFFFF"/>
          <w:lang w:eastAsia="zh-CN"/>
        </w:rPr>
        <w:t>公务接待费用</w:t>
      </w:r>
      <w:r>
        <w:rPr>
          <w:rFonts w:hint="eastAsia" w:ascii="Times New Roman" w:hAnsi="Times New Roman" w:eastAsia="仿宋_GB2312" w:cs="Times New Roman"/>
          <w:sz w:val="32"/>
          <w:shd w:val="clear" w:color="auto" w:fill="FFFFFF"/>
          <w:lang w:val="en-US" w:eastAsia="zh-CN"/>
        </w:rPr>
        <w:t>10万元，与上年预算增长100%，增长的原因是将原有的公务接待费用</w:t>
      </w:r>
      <w:r>
        <w:rPr>
          <w:rFonts w:hint="eastAsia" w:ascii="Times New Roman" w:hAnsi="Times New Roman" w:eastAsia="仿宋_GB2312" w:cs="Times New Roman"/>
          <w:sz w:val="32"/>
          <w:shd w:val="clear" w:color="auto" w:fill="FFFFFF"/>
          <w:lang w:eastAsia="zh-CN"/>
        </w:rPr>
        <w:t>预算放到政府性基金预算中。计划接待</w:t>
      </w:r>
      <w:r>
        <w:rPr>
          <w:rFonts w:hint="eastAsia" w:ascii="Times New Roman" w:hAnsi="Times New Roman" w:eastAsia="仿宋_GB2312" w:cs="Times New Roman"/>
          <w:sz w:val="32"/>
          <w:shd w:val="clear" w:color="auto" w:fill="FFFFFF"/>
          <w:lang w:val="en-US" w:eastAsia="zh-CN"/>
        </w:rPr>
        <w:t>15批300人。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琼海市外事办公室</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琼海市外事办公室</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增加公共外交示范基地建设资金项目</w:t>
      </w:r>
      <w:r>
        <w:rPr>
          <w:rFonts w:hint="eastAsia" w:ascii="仿宋_GB2312" w:hAnsi="黑体" w:eastAsia="仿宋_GB2312"/>
          <w:sz w:val="32"/>
          <w:szCs w:val="32"/>
          <w:lang w:val="en-US" w:eastAsia="zh-CN"/>
        </w:rPr>
        <w:t>500万元</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支出（类）</w:t>
      </w:r>
      <w:r>
        <w:rPr>
          <w:rFonts w:hint="eastAsia" w:ascii="仿宋_GB2312" w:hAnsi="黑体" w:eastAsia="仿宋_GB2312" w:cs="仿宋_GB2312"/>
          <w:sz w:val="32"/>
          <w:szCs w:val="32"/>
          <w:lang w:eastAsia="zh-CN"/>
        </w:rPr>
        <w:t>国有入地使用权出让收入安排的支出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其他国有土地使用权出让安排的支出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增加公共外交示范基地建设资金项目</w:t>
      </w:r>
      <w:r>
        <w:rPr>
          <w:rFonts w:hint="eastAsia" w:ascii="仿宋_GB2312" w:hAnsi="黑体" w:eastAsia="仿宋_GB2312"/>
          <w:sz w:val="32"/>
          <w:szCs w:val="32"/>
          <w:lang w:val="en-US" w:eastAsia="zh-CN"/>
        </w:rPr>
        <w:t>500万元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琼海市外事办公室</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琼海市外事办公室</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住房保障支出、城乡社区支出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琼海市外事办公室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608.61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琼海市外事办公室</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琼海市外事办公室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608.61</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108.61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17.85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82.15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476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增加公共外交示范基地建设资金项目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琼海市外事办公室</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eastAsia="zh-CN"/>
        </w:rPr>
        <w:t>支出</w:t>
      </w:r>
      <w:r>
        <w:rPr>
          <w:rFonts w:hint="eastAsia" w:ascii="黑体" w:hAnsi="黑体" w:eastAsia="黑体" w:cs="Times New Roman"/>
          <w:sz w:val="32"/>
          <w:shd w:val="clear" w:color="auto" w:fill="FFFFFF"/>
        </w:rPr>
        <w:t>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琼海市外事办公室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608.61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85.30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14.02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523.31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85.98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476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增加公共外交示范基地建设资金项目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0"/>
        <w:rPr>
          <w:rFonts w:hint="eastAsia" w:ascii="仿宋_GB2312" w:hAnsi="黑体" w:eastAsia="仿宋_GB2312" w:cs="仿宋_GB2312"/>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w:t>
      </w:r>
      <w:r>
        <w:rPr>
          <w:rFonts w:hint="eastAsia" w:ascii="仿宋_GB2312" w:hAnsi="黑体" w:eastAsia="仿宋_GB2312" w:cs="仿宋_GB2312"/>
          <w:sz w:val="32"/>
          <w:szCs w:val="32"/>
        </w:rPr>
        <w:t>事业单位</w:t>
      </w:r>
      <w:r>
        <w:rPr>
          <w:rFonts w:hint="eastAsia" w:ascii="仿宋_GB2312" w:hAnsi="黑体" w:eastAsia="仿宋_GB2312" w:cs="仿宋_GB2312"/>
          <w:sz w:val="32"/>
          <w:szCs w:val="32"/>
          <w:lang w:eastAsia="zh-CN"/>
        </w:rPr>
        <w:t>需说明，其他单位不需要说明</w:t>
      </w:r>
      <w:r>
        <w:rPr>
          <w:rFonts w:hint="eastAsia" w:ascii="仿宋_GB2312" w:hAnsi="黑体" w:eastAsia="仿宋_GB2312" w:cs="仿宋_GB2312"/>
          <w:sz w:val="32"/>
          <w:szCs w:val="32"/>
          <w:lang w:val="en-US" w:eastAsia="zh-CN"/>
        </w:rPr>
        <w:t>）</w:t>
      </w:r>
    </w:p>
    <w:p>
      <w:pPr>
        <w:ind w:firstLine="640" w:firstLineChars="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琼海市外事办公室</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sz w:val="32"/>
          <w:szCs w:val="32"/>
          <w:lang w:val="en-US" w:eastAsia="zh-CN"/>
        </w:rPr>
        <w:t>5.84</w:t>
      </w:r>
      <w:r>
        <w:rPr>
          <w:rFonts w:hint="eastAsia" w:ascii="仿宋_GB2312" w:hAnsi="黑体" w:eastAsia="仿宋_GB2312" w:cs="仿宋_GB2312"/>
          <w:sz w:val="32"/>
          <w:szCs w:val="32"/>
        </w:rPr>
        <w:t>万元。</w:t>
      </w:r>
    </w:p>
    <w:p>
      <w:pPr>
        <w:ind w:firstLine="640" w:firstLineChars="0"/>
        <w:rPr>
          <w:rFonts w:hint="eastAsia" w:ascii="仿宋_GB2312" w:hAnsi="黑体" w:eastAsia="仿宋_GB2312" w:cs="仿宋_GB2312"/>
          <w:sz w:val="32"/>
          <w:szCs w:val="32"/>
        </w:rPr>
      </w:pPr>
      <w:r>
        <w:rPr>
          <w:rFonts w:hint="eastAsia" w:ascii="仿宋_GB2312" w:hAnsi="黑体" w:eastAsia="仿宋_GB2312" w:cs="仿宋_GB2312"/>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琼海市外事办公室</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2020年</w:t>
      </w:r>
      <w:r>
        <w:rPr>
          <w:rFonts w:hint="eastAsia" w:ascii="仿宋_GB2312" w:hAnsi="黑体" w:eastAsia="仿宋_GB2312"/>
          <w:sz w:val="32"/>
          <w:szCs w:val="32"/>
        </w:rPr>
        <w:t>12月31日，</w:t>
      </w:r>
      <w:r>
        <w:rPr>
          <w:rFonts w:hint="eastAsia" w:ascii="仿宋_GB2312" w:hAnsi="黑体" w:eastAsia="仿宋_GB2312" w:cs="仿宋_GB2312"/>
          <w:sz w:val="32"/>
          <w:szCs w:val="32"/>
          <w:lang w:eastAsia="zh-CN"/>
        </w:rPr>
        <w:t>琼海市外事办公室</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eastAsia="zh-CN"/>
        </w:rPr>
        <w:t>一般公务</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琼海市外事办公室</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108.61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bookmarkStart w:id="0" w:name="_GoBack"/>
      <w:bookmarkEnd w:id="0"/>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w:t>
      </w:r>
      <w:r>
        <w:rPr>
          <w:rFonts w:hint="eastAsia" w:ascii="仿宋_GB2312" w:hAnsi="宋体" w:eastAsia="仿宋_GB2312" w:cs="宋体"/>
          <w:color w:val="000000"/>
          <w:kern w:val="0"/>
          <w:sz w:val="32"/>
          <w:szCs w:val="30"/>
          <w:lang w:eastAsia="zh-CN"/>
        </w:rPr>
        <w:t>支出</w:t>
      </w:r>
      <w:r>
        <w:rPr>
          <w:rFonts w:hint="eastAsia" w:ascii="仿宋_GB2312" w:hAnsi="宋体" w:eastAsia="仿宋_GB2312" w:cs="宋体"/>
          <w:color w:val="000000"/>
          <w:kern w:val="0"/>
          <w:sz w:val="32"/>
          <w:szCs w:val="30"/>
        </w:rPr>
        <w:t>（类）</w:t>
      </w:r>
      <w:r>
        <w:rPr>
          <w:rFonts w:hint="eastAsia" w:ascii="仿宋_GB2312" w:hAnsi="黑体" w:eastAsia="仿宋_GB2312" w:cs="仿宋_GB2312"/>
          <w:sz w:val="32"/>
          <w:szCs w:val="32"/>
          <w:lang w:eastAsia="zh-CN"/>
        </w:rPr>
        <w:t>对外联络</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琼海市外事办公室</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w:t>
      </w:r>
      <w:r>
        <w:rPr>
          <w:rFonts w:hint="eastAsia" w:ascii="仿宋_GB2312" w:hAnsi="宋体" w:eastAsia="仿宋_GB2312" w:cs="宋体"/>
          <w:color w:val="000000"/>
          <w:kern w:val="0"/>
          <w:sz w:val="32"/>
          <w:szCs w:val="30"/>
          <w:lang w:eastAsia="zh-CN"/>
        </w:rPr>
        <w:t>支出</w:t>
      </w:r>
      <w:r>
        <w:rPr>
          <w:rFonts w:hint="eastAsia" w:ascii="仿宋_GB2312" w:hAnsi="宋体" w:eastAsia="仿宋_GB2312" w:cs="宋体"/>
          <w:color w:val="000000"/>
          <w:kern w:val="0"/>
          <w:sz w:val="32"/>
          <w:szCs w:val="30"/>
        </w:rPr>
        <w:t>（类）</w:t>
      </w:r>
      <w:r>
        <w:rPr>
          <w:rFonts w:hint="eastAsia" w:ascii="仿宋_GB2312" w:hAnsi="黑体" w:eastAsia="仿宋_GB2312" w:cs="仿宋_GB2312"/>
          <w:sz w:val="32"/>
          <w:szCs w:val="32"/>
          <w:lang w:eastAsia="zh-CN"/>
        </w:rPr>
        <w:t>对外联络</w:t>
      </w:r>
      <w:r>
        <w:rPr>
          <w:rFonts w:hint="eastAsia" w:ascii="仿宋_GB2312" w:hAnsi="宋体" w:eastAsia="仿宋_GB2312" w:cs="宋体"/>
          <w:color w:val="000000"/>
          <w:kern w:val="0"/>
          <w:sz w:val="32"/>
          <w:szCs w:val="30"/>
        </w:rPr>
        <w:t>事务（款</w:t>
      </w:r>
      <w:r>
        <w:rPr>
          <w:rFonts w:hint="eastAsia" w:ascii="仿宋_GB2312" w:hAnsi="宋体" w:eastAsia="仿宋_GB2312" w:cs="宋体"/>
          <w:color w:val="000000"/>
          <w:kern w:val="0"/>
          <w:sz w:val="32"/>
          <w:szCs w:val="30"/>
          <w:lang w:eastAsia="zh-CN"/>
        </w:rPr>
        <w:t>）</w:t>
      </w:r>
      <w:r>
        <w:rPr>
          <w:rFonts w:hint="eastAsia" w:ascii="仿宋_GB2312" w:hAnsi="黑体" w:eastAsia="仿宋_GB2312" w:cs="仿宋_GB2312"/>
          <w:sz w:val="32"/>
          <w:szCs w:val="32"/>
          <w:lang w:eastAsia="zh-CN"/>
        </w:rPr>
        <w:t>其他对外联络事务支出</w:t>
      </w:r>
      <w:r>
        <w:rPr>
          <w:rFonts w:hint="eastAsia" w:ascii="仿宋_GB2312" w:hAnsi="宋体" w:eastAsia="仿宋_GB2312" w:cs="宋体"/>
          <w:color w:val="000000"/>
          <w:kern w:val="0"/>
          <w:sz w:val="32"/>
          <w:szCs w:val="30"/>
        </w:rPr>
        <w:t>（项）：指用于</w:t>
      </w:r>
      <w:r>
        <w:rPr>
          <w:rFonts w:hint="eastAsia" w:ascii="仿宋_GB2312" w:hAnsi="宋体" w:eastAsia="仿宋_GB2312" w:cs="宋体"/>
          <w:color w:val="000000"/>
          <w:kern w:val="0"/>
          <w:sz w:val="32"/>
          <w:szCs w:val="30"/>
          <w:lang w:eastAsia="zh-CN"/>
        </w:rPr>
        <w:t>公共外交示范基地工作经费</w:t>
      </w:r>
      <w:r>
        <w:rPr>
          <w:rFonts w:hint="eastAsia" w:ascii="仿宋_GB2312" w:hAnsi="宋体" w:eastAsia="仿宋_GB2312" w:cs="宋体"/>
          <w:color w:val="000000"/>
          <w:kern w:val="0"/>
          <w:sz w:val="32"/>
          <w:szCs w:val="30"/>
        </w:rPr>
        <w:t>等未单独设置项级科目的项目支出。</w:t>
      </w:r>
    </w:p>
    <w:p>
      <w:pPr>
        <w:ind w:firstLine="640" w:firstLineChars="200"/>
        <w:rPr>
          <w:rFonts w:hint="eastAsia" w:ascii="仿宋" w:hAnsi="仿宋" w:eastAsia="仿宋" w:cs="宋体"/>
          <w:color w:val="000000"/>
          <w:kern w:val="0"/>
          <w:sz w:val="32"/>
          <w:szCs w:val="30"/>
          <w:lang w:val="zh-CN"/>
        </w:rPr>
      </w:pPr>
      <w:r>
        <w:rPr>
          <w:rFonts w:hint="eastAsia" w:ascii="仿宋" w:hAnsi="仿宋" w:eastAsia="仿宋" w:cs="宋体"/>
          <w:color w:val="000000"/>
          <w:kern w:val="0"/>
          <w:sz w:val="32"/>
          <w:szCs w:val="30"/>
          <w:lang w:val="zh-CN"/>
        </w:rPr>
        <w:t>十二、社会保障和就业支出（类）行政事业单位养老支出（款）机关事业单位基本养老保险缴费支出（项）：指用于机关事业单位实施养老保险制度由单位缴纳的基本养老保险费支出。</w:t>
      </w:r>
    </w:p>
    <w:p>
      <w:pPr>
        <w:ind w:firstLine="640" w:firstLineChars="200"/>
        <w:rPr>
          <w:rFonts w:hint="eastAsia" w:ascii="仿宋" w:hAnsi="仿宋" w:eastAsia="仿宋" w:cs="宋体"/>
          <w:color w:val="000000"/>
          <w:kern w:val="0"/>
          <w:sz w:val="32"/>
          <w:szCs w:val="30"/>
          <w:lang w:val="zh-CN"/>
        </w:rPr>
      </w:pPr>
      <w:r>
        <w:rPr>
          <w:rFonts w:hint="eastAsia" w:ascii="仿宋" w:hAnsi="仿宋" w:eastAsia="仿宋" w:cs="宋体"/>
          <w:color w:val="000000"/>
          <w:kern w:val="0"/>
          <w:sz w:val="32"/>
          <w:szCs w:val="30"/>
          <w:lang w:val="zh-CN"/>
        </w:rPr>
        <w:t>十三、社会保障和就业支出（类）行政事业单位养老支出（款）机关事业单位职业年金缴费支出（项）：指用于机关事业单位实施养老保险制度由单位缴纳的职业年金记实支出。</w:t>
      </w:r>
    </w:p>
    <w:p>
      <w:pPr>
        <w:ind w:firstLine="640" w:firstLineChars="200"/>
        <w:rPr>
          <w:rFonts w:ascii="仿宋" w:hAnsi="仿宋" w:eastAsia="仿宋" w:cs="宋体"/>
          <w:color w:val="000000"/>
          <w:kern w:val="0"/>
          <w:sz w:val="32"/>
          <w:szCs w:val="30"/>
          <w:lang w:val="zh-CN"/>
        </w:rPr>
      </w:pPr>
      <w:r>
        <w:rPr>
          <w:rFonts w:hint="eastAsia" w:ascii="仿宋" w:hAnsi="仿宋" w:eastAsia="仿宋" w:cs="宋体"/>
          <w:color w:val="000000"/>
          <w:kern w:val="0"/>
          <w:sz w:val="32"/>
          <w:szCs w:val="30"/>
          <w:lang w:val="zh-CN"/>
        </w:rPr>
        <w:t>十四、卫生健康支出（类）行政事业单位医疗（款）行政单位医疗（项）：是指财政部门集中安排的行政单位基本医疗保险缴费经费，未参加医疗保险的行政单位的公费医疗经费，按国家规定享受离休人员、红军老战士待遇人员的医疗经费。</w:t>
      </w:r>
    </w:p>
    <w:p>
      <w:pPr>
        <w:ind w:firstLine="640" w:firstLineChars="200"/>
        <w:rPr>
          <w:rFonts w:ascii="仿宋" w:hAnsi="仿宋" w:eastAsia="仿宋" w:cs="宋体"/>
          <w:color w:val="000000"/>
          <w:kern w:val="0"/>
          <w:sz w:val="32"/>
          <w:szCs w:val="30"/>
          <w:lang w:val="zh-CN"/>
        </w:rPr>
      </w:pPr>
      <w:r>
        <w:rPr>
          <w:rFonts w:hint="eastAsia" w:ascii="仿宋" w:hAnsi="仿宋" w:eastAsia="仿宋" w:cs="宋体"/>
          <w:color w:val="000000"/>
          <w:kern w:val="0"/>
          <w:sz w:val="32"/>
          <w:szCs w:val="30"/>
          <w:lang w:val="zh-CN"/>
        </w:rPr>
        <w:t>十四、卫生健康支出（类）行政事业单位医疗（款）公务员医疗补助（项）：是指财政部门集中安排的公务员医疗补助经费。</w:t>
      </w:r>
    </w:p>
    <w:p>
      <w:pPr>
        <w:ind w:firstLine="640" w:firstLineChars="200"/>
        <w:jc w:val="left"/>
        <w:rPr>
          <w:rFonts w:hint="eastAsia" w:ascii="仿宋_GB2312" w:hAnsi="宋体" w:eastAsia="仿宋_GB2312" w:cs="宋体"/>
          <w:color w:val="000000"/>
          <w:kern w:val="0"/>
          <w:sz w:val="32"/>
          <w:szCs w:val="30"/>
        </w:rPr>
      </w:pPr>
      <w:r>
        <w:rPr>
          <w:rFonts w:hint="eastAsia" w:ascii="仿宋" w:hAnsi="仿宋" w:eastAsia="仿宋" w:cs="宋体"/>
          <w:color w:val="000000"/>
          <w:kern w:val="0"/>
          <w:sz w:val="32"/>
          <w:szCs w:val="30"/>
          <w:lang w:val="zh-CN"/>
        </w:rPr>
        <w:t>十五、住房保障支出（类）住房改革支出（款）住房公积金（项）：是指行政事业单位按人力资源和社会保障部、财政部规定的基本工资和津贴补贴以及规定比例为职工缴纳的住房公积金。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七</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八</w:t>
      </w:r>
      <w:r>
        <w:rPr>
          <w:rFonts w:hint="eastAsia" w:ascii="仿宋_GB2312" w:hAnsi="宋体" w:eastAsia="仿宋_GB2312" w:cs="宋体"/>
          <w:color w:val="000000"/>
          <w:kern w:val="0"/>
          <w:sz w:val="32"/>
          <w:szCs w:val="30"/>
        </w:rPr>
        <w:t>、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007C12"/>
    <w:rsid w:val="000239AB"/>
    <w:rsid w:val="00074E04"/>
    <w:rsid w:val="0010633D"/>
    <w:rsid w:val="00112B46"/>
    <w:rsid w:val="001326C1"/>
    <w:rsid w:val="00173B57"/>
    <w:rsid w:val="00174FBD"/>
    <w:rsid w:val="00186180"/>
    <w:rsid w:val="00197561"/>
    <w:rsid w:val="001A0ABB"/>
    <w:rsid w:val="001A7472"/>
    <w:rsid w:val="00211845"/>
    <w:rsid w:val="002530AD"/>
    <w:rsid w:val="00283E6E"/>
    <w:rsid w:val="00293316"/>
    <w:rsid w:val="002956BC"/>
    <w:rsid w:val="002A59FA"/>
    <w:rsid w:val="002C5D0A"/>
    <w:rsid w:val="002C7C48"/>
    <w:rsid w:val="002D4C38"/>
    <w:rsid w:val="002E73B0"/>
    <w:rsid w:val="003217E3"/>
    <w:rsid w:val="00333C8E"/>
    <w:rsid w:val="00343757"/>
    <w:rsid w:val="00373F9B"/>
    <w:rsid w:val="003847B6"/>
    <w:rsid w:val="003C38B2"/>
    <w:rsid w:val="004247F3"/>
    <w:rsid w:val="00426F66"/>
    <w:rsid w:val="004313AB"/>
    <w:rsid w:val="004522A5"/>
    <w:rsid w:val="00464ABC"/>
    <w:rsid w:val="00474F12"/>
    <w:rsid w:val="004A1C49"/>
    <w:rsid w:val="004A2E86"/>
    <w:rsid w:val="004F796B"/>
    <w:rsid w:val="00504554"/>
    <w:rsid w:val="00505AA2"/>
    <w:rsid w:val="00525863"/>
    <w:rsid w:val="00535735"/>
    <w:rsid w:val="00537B3F"/>
    <w:rsid w:val="005647AA"/>
    <w:rsid w:val="0057761D"/>
    <w:rsid w:val="0059423F"/>
    <w:rsid w:val="00597502"/>
    <w:rsid w:val="005C2065"/>
    <w:rsid w:val="005D3442"/>
    <w:rsid w:val="00617631"/>
    <w:rsid w:val="0062341F"/>
    <w:rsid w:val="00640059"/>
    <w:rsid w:val="00654967"/>
    <w:rsid w:val="00671307"/>
    <w:rsid w:val="006871F7"/>
    <w:rsid w:val="006911F4"/>
    <w:rsid w:val="00691667"/>
    <w:rsid w:val="00696D28"/>
    <w:rsid w:val="006B1FB3"/>
    <w:rsid w:val="006B2145"/>
    <w:rsid w:val="00740612"/>
    <w:rsid w:val="00746143"/>
    <w:rsid w:val="0075151D"/>
    <w:rsid w:val="007523E7"/>
    <w:rsid w:val="00786240"/>
    <w:rsid w:val="00793A7F"/>
    <w:rsid w:val="007A0862"/>
    <w:rsid w:val="007B3322"/>
    <w:rsid w:val="007D7459"/>
    <w:rsid w:val="007E4EAF"/>
    <w:rsid w:val="007E69CD"/>
    <w:rsid w:val="00882EED"/>
    <w:rsid w:val="00921D21"/>
    <w:rsid w:val="009262C2"/>
    <w:rsid w:val="00926751"/>
    <w:rsid w:val="00947538"/>
    <w:rsid w:val="009616E6"/>
    <w:rsid w:val="00983104"/>
    <w:rsid w:val="009846A5"/>
    <w:rsid w:val="00995DA5"/>
    <w:rsid w:val="009E638A"/>
    <w:rsid w:val="009F52FB"/>
    <w:rsid w:val="00A15477"/>
    <w:rsid w:val="00A50E61"/>
    <w:rsid w:val="00A545A0"/>
    <w:rsid w:val="00A71B87"/>
    <w:rsid w:val="00B30D33"/>
    <w:rsid w:val="00BC2C15"/>
    <w:rsid w:val="00C05109"/>
    <w:rsid w:val="00C15C28"/>
    <w:rsid w:val="00C7569D"/>
    <w:rsid w:val="00C91D51"/>
    <w:rsid w:val="00C94C23"/>
    <w:rsid w:val="00CA7DBE"/>
    <w:rsid w:val="00CC0CD1"/>
    <w:rsid w:val="00CD7757"/>
    <w:rsid w:val="00CE2AC0"/>
    <w:rsid w:val="00D00AC1"/>
    <w:rsid w:val="00D11987"/>
    <w:rsid w:val="00D13C6C"/>
    <w:rsid w:val="00D40573"/>
    <w:rsid w:val="00DA17F5"/>
    <w:rsid w:val="00DC65EF"/>
    <w:rsid w:val="00DD3FD8"/>
    <w:rsid w:val="00E062B6"/>
    <w:rsid w:val="00E3389C"/>
    <w:rsid w:val="00E45CC0"/>
    <w:rsid w:val="00E5312F"/>
    <w:rsid w:val="00E73A4A"/>
    <w:rsid w:val="00ED50D0"/>
    <w:rsid w:val="00ED6580"/>
    <w:rsid w:val="00EF4FBB"/>
    <w:rsid w:val="00F01083"/>
    <w:rsid w:val="00F171AA"/>
    <w:rsid w:val="00F30FCC"/>
    <w:rsid w:val="00F91B44"/>
    <w:rsid w:val="00FB0A31"/>
    <w:rsid w:val="00FF3698"/>
    <w:rsid w:val="0697356B"/>
    <w:rsid w:val="06B844CB"/>
    <w:rsid w:val="089026AE"/>
    <w:rsid w:val="0B7761D2"/>
    <w:rsid w:val="12184F15"/>
    <w:rsid w:val="135E383D"/>
    <w:rsid w:val="140F0F51"/>
    <w:rsid w:val="166C67FA"/>
    <w:rsid w:val="17B06AEC"/>
    <w:rsid w:val="1DD53FBE"/>
    <w:rsid w:val="1E654E6D"/>
    <w:rsid w:val="1F58541B"/>
    <w:rsid w:val="26D21AB8"/>
    <w:rsid w:val="299E31C5"/>
    <w:rsid w:val="2D7D6289"/>
    <w:rsid w:val="338E42BC"/>
    <w:rsid w:val="33BA2970"/>
    <w:rsid w:val="34CF2181"/>
    <w:rsid w:val="35583A08"/>
    <w:rsid w:val="37837999"/>
    <w:rsid w:val="40635BBE"/>
    <w:rsid w:val="424B4961"/>
    <w:rsid w:val="42BC7A1C"/>
    <w:rsid w:val="445D326D"/>
    <w:rsid w:val="44774953"/>
    <w:rsid w:val="463A5EBE"/>
    <w:rsid w:val="46506A07"/>
    <w:rsid w:val="491368A8"/>
    <w:rsid w:val="4C645DBD"/>
    <w:rsid w:val="500A16E6"/>
    <w:rsid w:val="59A33BAA"/>
    <w:rsid w:val="5A443C01"/>
    <w:rsid w:val="5C2E15B7"/>
    <w:rsid w:val="5CE0131B"/>
    <w:rsid w:val="5D727236"/>
    <w:rsid w:val="613A10DC"/>
    <w:rsid w:val="64322522"/>
    <w:rsid w:val="7352536B"/>
    <w:rsid w:val="76075B48"/>
    <w:rsid w:val="76C66F3A"/>
    <w:rsid w:val="77281F8B"/>
    <w:rsid w:val="77D715F3"/>
    <w:rsid w:val="78B82A98"/>
    <w:rsid w:val="7CA8796C"/>
    <w:rsid w:val="7FCC37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unhideWhenUsed/>
    <w:qFormat/>
    <w:uiPriority w:val="99"/>
    <w:pPr>
      <w:ind w:firstLine="420" w:firstLineChars="200"/>
    </w:pPr>
  </w:style>
  <w:style w:type="paragraph" w:customStyle="1" w:styleId="11">
    <w:name w:val="List Paragraph_8bb30b41-7097-446e-a156-2f1396e1d677"/>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923</Words>
  <Characters>5266</Characters>
  <Lines>43</Lines>
  <Paragraphs>12</Paragraphs>
  <TotalTime>1</TotalTime>
  <ScaleCrop>false</ScaleCrop>
  <LinksUpToDate>false</LinksUpToDate>
  <CharactersWithSpaces>6177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2020-02-06T02:41:00Z</dcterms:created>
  <dc:creator>null,null,总收发</dc:creator>
  <cp:lastModifiedBy>未定义</cp:lastModifiedBy>
  <dcterms:modified xsi:type="dcterms:W3CDTF">2021-02-25T07:55:54Z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