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sz w:val="44"/>
          <w:szCs w:val="44"/>
          <w:lang w:eastAsia="zh-CN"/>
        </w:rPr>
      </w:pPr>
      <w:r>
        <w:rPr>
          <w:rFonts w:hint="eastAsia" w:ascii="黑体" w:hAnsi="ˎ̥" w:eastAsia="黑体"/>
          <w:sz w:val="44"/>
          <w:szCs w:val="44"/>
          <w:lang w:val="en-US" w:eastAsia="zh-CN"/>
        </w:rPr>
        <w:t>琼海市地方公路管理站</w:t>
      </w:r>
      <w:r>
        <w:rPr>
          <w:rFonts w:hint="eastAsia" w:ascii="黑体" w:hAnsi="ˎ̥" w:eastAsia="黑体"/>
          <w:sz w:val="44"/>
          <w:szCs w:val="44"/>
          <w:lang w:eastAsia="zh-CN"/>
        </w:rPr>
        <w:t>202</w:t>
      </w:r>
      <w:r>
        <w:rPr>
          <w:rFonts w:hint="eastAsia" w:ascii="黑体" w:hAnsi="ˎ̥" w:eastAsia="黑体"/>
          <w:sz w:val="44"/>
          <w:szCs w:val="44"/>
          <w:lang w:val="en-US" w:eastAsia="zh-CN"/>
        </w:rPr>
        <w:t>1</w:t>
      </w:r>
      <w:r>
        <w:rPr>
          <w:rFonts w:hint="eastAsia" w:ascii="黑体" w:hAnsi="ˎ̥" w:eastAsia="黑体"/>
          <w:sz w:val="44"/>
          <w:szCs w:val="44"/>
          <w:lang w:eastAsia="zh-CN"/>
        </w:rPr>
        <w:t>年度</w:t>
      </w:r>
    </w:p>
    <w:p>
      <w:pPr>
        <w:jc w:val="center"/>
        <w:rPr>
          <w:rFonts w:hint="eastAsia" w:ascii="黑体" w:hAnsi="ˎ̥" w:eastAsia="黑体"/>
          <w:sz w:val="44"/>
          <w:szCs w:val="44"/>
          <w:lang w:eastAsia="zh-CN"/>
        </w:rPr>
      </w:pPr>
      <w:r>
        <w:rPr>
          <w:rFonts w:hint="eastAsia" w:ascii="黑体" w:hAnsi="ˎ̥" w:eastAsia="黑体"/>
          <w:sz w:val="44"/>
          <w:szCs w:val="44"/>
          <w:lang w:eastAsia="zh-CN"/>
        </w:rPr>
        <w:t>单位</w:t>
      </w:r>
      <w:r>
        <w:rPr>
          <w:rFonts w:hint="eastAsia" w:ascii="黑体" w:hAnsi="ˎ̥" w:eastAsia="黑体"/>
          <w:sz w:val="44"/>
          <w:szCs w:val="44"/>
        </w:rPr>
        <w:t>决算</w:t>
      </w:r>
      <w:r>
        <w:rPr>
          <w:rFonts w:hint="eastAsia" w:ascii="黑体" w:hAnsi="ˎ̥" w:eastAsia="黑体"/>
          <w:sz w:val="44"/>
          <w:szCs w:val="44"/>
          <w:lang w:eastAsia="zh-CN"/>
        </w:rPr>
        <w:t>公开</w:t>
      </w:r>
    </w:p>
    <w:p>
      <w:pPr>
        <w:spacing w:before="0" w:beforeLines="0" w:after="0" w:afterLines="0" w:line="240" w:lineRule="auto"/>
        <w:ind w:left="0" w:leftChars="0" w:right="0" w:rightChars="0" w:firstLine="3520" w:firstLineChars="800"/>
        <w:jc w:val="both"/>
        <w:rPr>
          <w:rFonts w:hint="eastAsia" w:ascii="黑体" w:hAnsi="黑体" w:eastAsia="黑体" w:cs="黑体"/>
          <w:sz w:val="44"/>
          <w:szCs w:val="44"/>
        </w:rPr>
      </w:pPr>
      <w:bookmarkStart w:id="0" w:name="_Toc11440_WPSOffice_Type2"/>
    </w:p>
    <w:p>
      <w:pPr>
        <w:spacing w:before="0" w:beforeLines="0" w:after="0" w:afterLines="0" w:line="240" w:lineRule="auto"/>
        <w:ind w:left="0" w:leftChars="0" w:right="0" w:rightChars="0" w:firstLine="3520" w:firstLineChars="800"/>
        <w:jc w:val="both"/>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琼海市地方公路管理站概况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琼海市地方公路管理站</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琼海市地方公路管理站</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10049_WPSOffice_Level1"/>
      <w:bookmarkStart w:id="3" w:name="_Toc10720_WPSOffice_Level1"/>
      <w:bookmarkStart w:id="4" w:name="_Toc22941_WPSOffice_Level1"/>
      <w:bookmarkStart w:id="5" w:name="_Toc1704_WPSOffice_Level1"/>
      <w:bookmarkStart w:id="6" w:name="_Toc32433_WPSOffice_Level1"/>
      <w:bookmarkStart w:id="7" w:name="_Toc23465_WPSOffice_Level1"/>
      <w:bookmarkStart w:id="8" w:name="_Toc24238_WPSOffice_Level2"/>
      <w:bookmarkStart w:id="9" w:name="_Toc20274_WPSOffice_Level2"/>
      <w:bookmarkStart w:id="10" w:name="_Toc14159_WPSOffice_Level2"/>
      <w:bookmarkStart w:id="11" w:name="_Toc26580_WPSOffice_Level2"/>
      <w:bookmarkStart w:id="12" w:name="_Toc20205_WPSOffice_Level2"/>
      <w:bookmarkStart w:id="13" w:name="_Toc32622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琼海市地方公路管理站单位</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bookmarkEnd w:id="8"/>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numPr>
          <w:ilvl w:val="0"/>
          <w:numId w:val="0"/>
        </w:numPr>
        <w:ind w:firstLine="640" w:firstLineChars="200"/>
        <w:rPr>
          <w:rFonts w:hint="eastAsia" w:ascii="黑体" w:hAnsi="黑体" w:eastAsia="仿宋_GB2312" w:cs="黑体"/>
          <w:sz w:val="32"/>
          <w:szCs w:val="32"/>
          <w:lang w:val="en-US" w:eastAsia="zh-CN"/>
        </w:rPr>
      </w:pPr>
      <w:r>
        <w:rPr>
          <w:rFonts w:hint="eastAsia" w:ascii="仿宋_GB2312" w:hAnsi="ˎ̥" w:eastAsia="仿宋_GB2312"/>
          <w:sz w:val="32"/>
          <w:szCs w:val="32"/>
          <w:lang w:eastAsia="zh-CN"/>
        </w:rPr>
        <w:t>主要职能是农村公路养护管理。</w:t>
      </w:r>
    </w:p>
    <w:p>
      <w:pPr>
        <w:ind w:firstLine="640" w:firstLineChars="200"/>
        <w:rPr>
          <w:rFonts w:hint="eastAsia" w:ascii="黑体" w:hAnsi="黑体" w:eastAsia="黑体" w:cs="黑体"/>
          <w:sz w:val="32"/>
          <w:szCs w:val="32"/>
          <w:lang w:val="en-US" w:eastAsia="zh-CN"/>
        </w:rPr>
      </w:pPr>
      <w:bookmarkStart w:id="14" w:name="_Toc4833_WPSOffice_Level2"/>
      <w:bookmarkStart w:id="15" w:name="_Toc24474_WPSOffice_Level2"/>
      <w:bookmarkStart w:id="16" w:name="_Toc17796_WPSOffice_Level2"/>
      <w:bookmarkStart w:id="17" w:name="_Toc6572_WPSOffice_Level2"/>
      <w:bookmarkStart w:id="18" w:name="_Toc24059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琼海市地方公路管理站隶属于琼海市交通运输局，单位内设办公室、养护生产与安全生产组、路政与机料组、计划财务组。</w:t>
      </w:r>
    </w:p>
    <w:p>
      <w:pPr>
        <w:ind w:left="1599" w:leftChars="152" w:hanging="1280" w:hangingChars="400"/>
        <w:jc w:val="both"/>
        <w:rPr>
          <w:rFonts w:hint="eastAsia" w:ascii="黑体" w:hAnsi="ˎ̥" w:eastAsia="黑体"/>
          <w:b w:val="0"/>
          <w:bCs w:val="0"/>
          <w:sz w:val="32"/>
          <w:szCs w:val="32"/>
        </w:rPr>
      </w:pPr>
      <w:bookmarkStart w:id="19" w:name="_Toc15521_WPSOffice_Level1"/>
      <w:bookmarkStart w:id="20" w:name="_Toc30451_WPSOffice_Level1"/>
      <w:bookmarkStart w:id="21" w:name="_Toc28253_WPSOffice_Level1"/>
      <w:bookmarkStart w:id="22" w:name="_Toc30690_WPSOffice_Level1"/>
      <w:bookmarkStart w:id="23" w:name="_Toc8164_WPSOffice_Level1"/>
      <w:bookmarkStart w:id="24" w:name="_Toc6234_WPSOffice_Level1"/>
      <w:bookmarkStart w:id="25" w:name="_Toc8867_WPSOffice_Level2"/>
      <w:bookmarkStart w:id="26" w:name="_Toc32695_WPSOffice_Level2"/>
      <w:bookmarkStart w:id="27" w:name="_Toc6211_WPSOffice_Level2"/>
      <w:bookmarkStart w:id="28" w:name="_Toc11518_WPSOffice_Level2"/>
      <w:bookmarkStart w:id="29" w:name="_Toc4029_WPSOffice_Level2"/>
      <w:bookmarkStart w:id="30" w:name="_Toc32472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琼海市地方公路管理站</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5608_WPSOffice_Level2"/>
      <w:bookmarkStart w:id="32" w:name="_Toc26621_WPSOffice_Level2"/>
      <w:bookmarkStart w:id="33" w:name="_Toc23139_WPSOffice_Level2"/>
      <w:bookmarkStart w:id="34" w:name="_Toc30334_WPSOffice_Level2"/>
      <w:bookmarkStart w:id="35" w:name="_Toc28622_WPSOffice_Level2"/>
      <w:bookmarkStart w:id="36"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858_WPSOffice_Level2"/>
      <w:bookmarkStart w:id="38" w:name="_Toc3262_WPSOffice_Level2"/>
      <w:bookmarkStart w:id="39" w:name="_Toc17626_WPSOffice_Level2"/>
      <w:bookmarkStart w:id="40" w:name="_Toc5489_WPSOffice_Level2"/>
      <w:bookmarkStart w:id="41" w:name="_Toc14658_WPSOffice_Level2"/>
      <w:bookmarkStart w:id="42" w:name="_Toc13854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23591_WPSOffice_Level2"/>
      <w:bookmarkStart w:id="44" w:name="_Toc13701_WPSOffice_Level2"/>
      <w:bookmarkStart w:id="45" w:name="_Toc21415_WPSOffice_Level2"/>
      <w:bookmarkStart w:id="46" w:name="_Toc7988_WPSOffice_Level2"/>
      <w:bookmarkStart w:id="47" w:name="_Toc23493_WPSOffice_Level2"/>
      <w:bookmarkStart w:id="48"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2783_WPSOffice_Level2"/>
      <w:bookmarkStart w:id="50" w:name="_Toc25166_WPSOffice_Level2"/>
      <w:bookmarkStart w:id="51" w:name="_Toc23829_WPSOffice_Level2"/>
      <w:bookmarkStart w:id="52" w:name="_Toc7879_WPSOffice_Level2"/>
      <w:bookmarkStart w:id="53" w:name="_Toc13516_WPSOffice_Level2"/>
      <w:bookmarkStart w:id="54"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8373_WPSOffice_Level2"/>
      <w:bookmarkStart w:id="56" w:name="_Toc5343_WPSOffice_Level2"/>
      <w:bookmarkStart w:id="57" w:name="_Toc25362_WPSOffice_Level2"/>
      <w:bookmarkStart w:id="58" w:name="_Toc17283_WPSOffice_Level2"/>
      <w:bookmarkStart w:id="59" w:name="_Toc17833_WPSOffice_Level2"/>
      <w:bookmarkStart w:id="60" w:name="_Toc263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533_WPSOffice_Level2"/>
      <w:bookmarkStart w:id="62" w:name="_Toc6020_WPSOffice_Level2"/>
      <w:bookmarkStart w:id="63" w:name="_Toc11799_WPSOffice_Level2"/>
      <w:bookmarkStart w:id="64" w:name="_Toc21310_WPSOffice_Level2"/>
      <w:bookmarkStart w:id="65" w:name="_Toc5594_WPSOffice_Level2"/>
      <w:bookmarkStart w:id="66" w:name="_Toc13345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9377_WPSOffice_Level2"/>
      <w:bookmarkStart w:id="68" w:name="_Toc29886_WPSOffice_Level2"/>
      <w:bookmarkStart w:id="69" w:name="_Toc19961_WPSOffice_Level2"/>
      <w:bookmarkStart w:id="70" w:name="_Toc1820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ind w:left="1600" w:hanging="1600" w:hangingChars="500"/>
        <w:jc w:val="left"/>
        <w:rPr>
          <w:rFonts w:hint="eastAsia" w:ascii="黑体" w:hAnsi="ˎ̥" w:eastAsia="黑体"/>
          <w:b w:val="0"/>
          <w:bCs w:val="0"/>
          <w:sz w:val="32"/>
          <w:szCs w:val="32"/>
        </w:rPr>
      </w:pPr>
      <w:bookmarkStart w:id="71" w:name="_Toc27590_WPSOffice_Level1"/>
      <w:bookmarkStart w:id="72" w:name="_Toc4402_WPSOffice_Level1"/>
      <w:bookmarkStart w:id="73" w:name="_Toc31264_WPSOffice_Level1"/>
      <w:bookmarkStart w:id="74" w:name="_Toc28629_WPSOffice_Level1"/>
      <w:bookmarkStart w:id="75" w:name="_Toc29683_WPSOffice_Level1"/>
      <w:bookmarkStart w:id="76" w:name="_Toc16686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琼海市地方公路管理站</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w:t>
      </w:r>
      <w:r>
        <w:rPr>
          <w:rFonts w:hint="eastAsia" w:ascii="黑体" w:hAnsi="ˎ̥" w:eastAsia="黑体"/>
          <w:b w:val="0"/>
          <w:bCs w:val="0"/>
          <w:sz w:val="32"/>
          <w:szCs w:val="32"/>
          <w:lang w:eastAsia="zh-CN"/>
        </w:rPr>
        <w:t>说</w:t>
      </w:r>
      <w:r>
        <w:rPr>
          <w:rFonts w:hint="eastAsia" w:ascii="黑体" w:hAnsi="ˎ̥" w:eastAsia="黑体"/>
          <w:b w:val="0"/>
          <w:bCs w:val="0"/>
          <w:sz w:val="32"/>
          <w:szCs w:val="32"/>
        </w:rPr>
        <w:t>明</w:t>
      </w:r>
      <w:bookmarkEnd w:id="71"/>
      <w:bookmarkEnd w:id="72"/>
      <w:bookmarkEnd w:id="73"/>
      <w:bookmarkEnd w:id="74"/>
      <w:bookmarkEnd w:id="75"/>
      <w:bookmarkEnd w:id="76"/>
    </w:p>
    <w:p>
      <w:pPr>
        <w:numPr>
          <w:ilvl w:val="0"/>
          <w:numId w:val="0"/>
        </w:numPr>
        <w:rPr>
          <w:rFonts w:hint="eastAsia" w:ascii="黑体" w:hAnsi="黑体" w:eastAsia="黑体" w:cs="黑体"/>
          <w:b w:val="0"/>
          <w:bCs/>
          <w:sz w:val="32"/>
          <w:szCs w:val="32"/>
          <w:lang w:eastAsia="zh-CN"/>
        </w:rPr>
      </w:pPr>
    </w:p>
    <w:p>
      <w:pPr>
        <w:numPr>
          <w:ilvl w:val="0"/>
          <w:numId w:val="0"/>
        </w:numPr>
        <w:rPr>
          <w:rFonts w:hint="eastAsia" w:ascii="仿宋_GB2312" w:hAnsi="ˎ̥" w:eastAsia="仿宋_GB2312"/>
          <w:color w:val="FF0000"/>
          <w:sz w:val="32"/>
          <w:szCs w:val="32"/>
          <w:lang w:val="en-US" w:eastAsia="zh-CN"/>
        </w:rPr>
      </w:pP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 xml:space="preserve">收入总计 1562.17 </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 xml:space="preserve"> 1562.17 </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830.23</w:t>
      </w:r>
      <w:r>
        <w:rPr>
          <w:rFonts w:hint="eastAsia" w:ascii="仿宋_GB2312" w:hAnsi="ˎ̥" w:eastAsia="仿宋_GB2312"/>
          <w:sz w:val="32"/>
          <w:szCs w:val="32"/>
        </w:rPr>
        <w:t>万元，下降</w:t>
      </w:r>
      <w:r>
        <w:rPr>
          <w:rFonts w:hint="eastAsia" w:ascii="仿宋_GB2312" w:hAnsi="ˎ̥" w:eastAsia="仿宋_GB2312"/>
          <w:sz w:val="32"/>
          <w:szCs w:val="32"/>
          <w:lang w:val="en-US" w:eastAsia="zh-CN"/>
        </w:rPr>
        <w:t>34.7</w:t>
      </w:r>
      <w:r>
        <w:rPr>
          <w:rFonts w:hint="eastAsia" w:ascii="仿宋_GB2312" w:hAnsi="ˎ̥" w:eastAsia="仿宋_GB2312"/>
          <w:sz w:val="32"/>
          <w:szCs w:val="32"/>
        </w:rPr>
        <w:t>%。主要原因：</w:t>
      </w:r>
      <w:r>
        <w:rPr>
          <w:rFonts w:hint="eastAsia" w:ascii="仿宋_GB2312" w:hAnsi="ˎ̥" w:eastAsia="仿宋_GB2312"/>
          <w:sz w:val="32"/>
          <w:szCs w:val="32"/>
          <w:lang w:eastAsia="zh-CN"/>
        </w:rPr>
        <w:t>省级转移资金比上年减少</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12.65</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2020年度决算数减少5.21</w:t>
      </w:r>
      <w:r>
        <w:rPr>
          <w:rFonts w:hint="eastAsia" w:ascii="仿宋_GB2312" w:hAnsi="ˎ̥" w:eastAsia="仿宋_GB2312"/>
          <w:sz w:val="32"/>
          <w:szCs w:val="32"/>
        </w:rPr>
        <w:t>万元</w:t>
      </w:r>
      <w:r>
        <w:rPr>
          <w:rFonts w:hint="eastAsia" w:ascii="仿宋_GB2312" w:hAnsi="ˎ̥" w:eastAsia="仿宋_GB2312"/>
          <w:sz w:val="32"/>
          <w:szCs w:val="32"/>
          <w:lang w:eastAsia="zh-CN"/>
        </w:rPr>
        <w:t>，主要原因是省级转移资金比上年减少。年初结转结余</w:t>
      </w:r>
      <w:r>
        <w:rPr>
          <w:rFonts w:hint="eastAsia" w:ascii="仿宋_GB2312" w:hAnsi="ˎ̥" w:eastAsia="仿宋_GB2312"/>
          <w:sz w:val="32"/>
          <w:szCs w:val="32"/>
          <w:lang w:val="en-US" w:eastAsia="zh-CN"/>
        </w:rPr>
        <w:t>26.19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color w:val="000000" w:themeColor="text1"/>
          <w:sz w:val="32"/>
          <w:szCs w:val="32"/>
          <w:lang w:eastAsia="zh-CN"/>
          <w14:textFill>
            <w14:solidFill>
              <w14:schemeClr w14:val="tx1"/>
            </w14:solidFill>
          </w14:textFill>
        </w:rPr>
        <w:t>主要是其他收入结转数。较</w:t>
      </w:r>
      <w:r>
        <w:rPr>
          <w:rFonts w:hint="eastAsia" w:ascii="仿宋_GB2312" w:hAnsi="ˎ̥" w:eastAsia="仿宋_GB2312"/>
          <w:color w:val="000000" w:themeColor="text1"/>
          <w:sz w:val="32"/>
          <w:szCs w:val="32"/>
          <w:lang w:val="en-US" w:eastAsia="zh-CN"/>
          <w14:textFill>
            <w14:solidFill>
              <w14:schemeClr w14:val="tx1"/>
            </w14:solidFill>
          </w14:textFill>
        </w:rPr>
        <w:t>2020年度决算数减少49.01</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下</w:t>
      </w:r>
      <w:r>
        <w:rPr>
          <w:rFonts w:hint="eastAsia" w:ascii="仿宋_GB2312" w:hAnsi="ˎ̥" w:eastAsia="仿宋_GB2312"/>
          <w:color w:val="000000" w:themeColor="text1"/>
          <w:sz w:val="32"/>
          <w:szCs w:val="32"/>
          <w:lang w:eastAsia="zh-CN"/>
          <w14:textFill>
            <w14:solidFill>
              <w14:schemeClr w14:val="tx1"/>
            </w14:solidFill>
          </w14:textFill>
        </w:rPr>
        <w:t>降</w:t>
      </w:r>
      <w:r>
        <w:rPr>
          <w:rFonts w:hint="eastAsia" w:ascii="仿宋_GB2312" w:hAnsi="ˎ̥" w:eastAsia="仿宋_GB2312"/>
          <w:color w:val="000000" w:themeColor="text1"/>
          <w:sz w:val="32"/>
          <w:szCs w:val="32"/>
          <w:lang w:val="en-US" w:eastAsia="zh-CN"/>
          <w14:textFill>
            <w14:solidFill>
              <w14:schemeClr w14:val="tx1"/>
            </w14:solidFill>
          </w14:textFill>
        </w:rPr>
        <w:t>65.17</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，主要原因是省级转移资金比上年减少。结余分配</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，较</w:t>
      </w:r>
      <w:r>
        <w:rPr>
          <w:rFonts w:hint="eastAsia" w:ascii="仿宋_GB2312" w:hAnsi="ˎ̥" w:eastAsia="仿宋_GB2312"/>
          <w:color w:val="000000" w:themeColor="text1"/>
          <w:sz w:val="32"/>
          <w:szCs w:val="32"/>
          <w:lang w:val="en-US" w:eastAsia="zh-CN"/>
          <w14:textFill>
            <w14:solidFill>
              <w14:schemeClr w14:val="tx1"/>
            </w14:solidFill>
          </w14:textFill>
        </w:rPr>
        <w:t>2020年度决算数增加（减少）0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增长（下降）</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。年末结转结余</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，较</w:t>
      </w:r>
      <w:r>
        <w:rPr>
          <w:rFonts w:hint="eastAsia" w:ascii="仿宋_GB2312" w:hAnsi="ˎ̥" w:eastAsia="仿宋_GB2312"/>
          <w:color w:val="000000" w:themeColor="text1"/>
          <w:sz w:val="32"/>
          <w:szCs w:val="32"/>
          <w:lang w:val="en-US" w:eastAsia="zh-CN"/>
          <w14:textFill>
            <w14:solidFill>
              <w14:schemeClr w14:val="tx1"/>
            </w14:solidFill>
          </w14:textFill>
        </w:rPr>
        <w:t>2020年度决算数增加（减少）0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增长（下降）</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 xml:space="preserve"> 1523.34</w:t>
      </w:r>
      <w:r>
        <w:rPr>
          <w:rFonts w:hint="eastAsia" w:ascii="仿宋_GB2312" w:hAnsi="ˎ̥" w:eastAsia="仿宋_GB2312"/>
          <w:sz w:val="32"/>
          <w:szCs w:val="32"/>
        </w:rPr>
        <w:t>万元，其中：财政拨款收入1523.31万元，占</w:t>
      </w:r>
      <w:r>
        <w:rPr>
          <w:rFonts w:hint="eastAsia" w:ascii="仿宋_GB2312" w:hAnsi="ˎ̥" w:eastAsia="仿宋_GB2312"/>
          <w:sz w:val="32"/>
          <w:szCs w:val="32"/>
          <w:lang w:val="en-US" w:eastAsia="zh-CN"/>
        </w:rPr>
        <w:t>99.99</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 xml:space="preserve">0.03 </w:t>
      </w:r>
      <w:r>
        <w:rPr>
          <w:rFonts w:hint="eastAsia" w:ascii="仿宋_GB2312" w:hAnsi="ˎ̥" w:eastAsia="仿宋_GB2312"/>
          <w:sz w:val="32"/>
          <w:szCs w:val="32"/>
        </w:rPr>
        <w:t>万元，占</w:t>
      </w:r>
      <w:r>
        <w:rPr>
          <w:rFonts w:hint="eastAsia" w:ascii="仿宋_GB2312" w:hAnsi="ˎ̥" w:eastAsia="仿宋_GB2312"/>
          <w:sz w:val="32"/>
          <w:szCs w:val="32"/>
          <w:lang w:val="en-US" w:eastAsia="zh-CN"/>
        </w:rPr>
        <w:t>0.01</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 xml:space="preserve"> 1562.17</w:t>
      </w:r>
      <w:r>
        <w:rPr>
          <w:rFonts w:hint="eastAsia" w:ascii="仿宋_GB2312" w:hAnsi="ˎ̥" w:eastAsia="仿宋_GB2312"/>
          <w:sz w:val="32"/>
          <w:szCs w:val="32"/>
        </w:rPr>
        <w:t>万元，其中：基本支出485.39万元，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32</w:t>
      </w:r>
      <w:r>
        <w:rPr>
          <w:rFonts w:hint="eastAsia" w:ascii="仿宋_GB2312" w:hAnsi="ˎ̥" w:eastAsia="仿宋_GB2312"/>
          <w:sz w:val="32"/>
          <w:szCs w:val="32"/>
        </w:rPr>
        <w:t>%；项目支出</w:t>
      </w:r>
      <w:r>
        <w:rPr>
          <w:rFonts w:hint="eastAsia" w:ascii="仿宋_GB2312" w:hAnsi="ˎ̥" w:eastAsia="仿宋_GB2312"/>
          <w:sz w:val="32"/>
          <w:szCs w:val="32"/>
          <w:lang w:val="en-US" w:eastAsia="zh-CN"/>
        </w:rPr>
        <w:t xml:space="preserve"> 1076.78</w:t>
      </w:r>
      <w:r>
        <w:rPr>
          <w:rFonts w:hint="eastAsia" w:ascii="仿宋_GB2312" w:hAnsi="ˎ̥" w:eastAsia="仿宋_GB2312"/>
          <w:sz w:val="32"/>
          <w:szCs w:val="32"/>
        </w:rPr>
        <w:t>万元，占</w:t>
      </w:r>
      <w:r>
        <w:rPr>
          <w:rFonts w:hint="eastAsia" w:ascii="仿宋_GB2312" w:hAnsi="ˎ̥" w:eastAsia="仿宋_GB2312"/>
          <w:sz w:val="32"/>
          <w:szCs w:val="32"/>
          <w:lang w:val="en-US" w:eastAsia="zh-CN"/>
        </w:rPr>
        <w:t>68</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 1548.62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806.64</w:t>
      </w:r>
      <w:r>
        <w:rPr>
          <w:rFonts w:hint="eastAsia" w:ascii="仿宋_GB2312" w:hAnsi="ˎ̥" w:eastAsia="仿宋_GB2312"/>
          <w:sz w:val="32"/>
          <w:szCs w:val="32"/>
        </w:rPr>
        <w:t>万元，下降</w:t>
      </w:r>
      <w:r>
        <w:rPr>
          <w:rFonts w:hint="eastAsia" w:ascii="仿宋_GB2312" w:hAnsi="ˎ̥" w:eastAsia="仿宋_GB2312"/>
          <w:sz w:val="32"/>
          <w:szCs w:val="32"/>
          <w:lang w:val="en-US" w:eastAsia="zh-CN"/>
        </w:rPr>
        <w:t>34.3</w:t>
      </w:r>
      <w:r>
        <w:rPr>
          <w:rFonts w:hint="eastAsia" w:ascii="仿宋_GB2312" w:hAnsi="ˎ̥" w:eastAsia="仿宋_GB2312"/>
          <w:sz w:val="32"/>
          <w:szCs w:val="32"/>
        </w:rPr>
        <w:t>%。主要原因：一是</w:t>
      </w:r>
      <w:r>
        <w:rPr>
          <w:rFonts w:hint="eastAsia" w:ascii="仿宋_GB2312" w:hAnsi="ˎ̥" w:eastAsia="仿宋_GB2312"/>
          <w:sz w:val="32"/>
          <w:szCs w:val="32"/>
          <w:lang w:eastAsia="zh-CN"/>
        </w:rPr>
        <w:t>省级转移资金比上年减少</w:t>
      </w:r>
      <w:r>
        <w:rPr>
          <w:rFonts w:hint="eastAsia" w:ascii="仿宋_GB2312" w:hAnsi="ˎ̥" w:eastAsia="仿宋_GB2312"/>
          <w:sz w:val="32"/>
          <w:szCs w:val="32"/>
        </w:rPr>
        <w:t>。</w:t>
      </w:r>
    </w:p>
    <w:p>
      <w:pPr>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财政拨款年初结转结余</w:t>
      </w:r>
      <w:r>
        <w:rPr>
          <w:rFonts w:hint="eastAsia" w:ascii="仿宋_GB2312" w:hAnsi="ˎ̥" w:eastAsia="仿宋_GB2312"/>
          <w:color w:val="000000" w:themeColor="text1"/>
          <w:sz w:val="32"/>
          <w:szCs w:val="32"/>
          <w:lang w:val="en-US" w:eastAsia="zh-CN"/>
          <w14:textFill>
            <w14:solidFill>
              <w14:schemeClr w14:val="tx1"/>
            </w14:solidFill>
          </w14:textFill>
        </w:rPr>
        <w:t xml:space="preserve"> </w:t>
      </w:r>
      <w:r>
        <w:rPr>
          <w:rFonts w:hint="eastAsia" w:ascii="仿宋_GB2312" w:hAnsi="ˎ̥" w:eastAsia="仿宋_GB2312"/>
          <w:sz w:val="32"/>
          <w:szCs w:val="32"/>
          <w:lang w:val="en-US" w:eastAsia="zh-CN"/>
        </w:rPr>
        <w:t>25.31</w:t>
      </w:r>
      <w:r>
        <w:rPr>
          <w:rFonts w:hint="eastAsia" w:ascii="仿宋_GB2312" w:hAnsi="ˎ̥" w:eastAsia="仿宋_GB2312"/>
          <w:sz w:val="32"/>
          <w:szCs w:val="32"/>
        </w:rPr>
        <w:t>万元</w:t>
      </w:r>
      <w:r>
        <w:rPr>
          <w:rFonts w:hint="eastAsia" w:ascii="仿宋_GB2312" w:hAnsi="ˎ̥" w:eastAsia="仿宋_GB2312"/>
          <w:sz w:val="32"/>
          <w:szCs w:val="32"/>
          <w:lang w:eastAsia="zh-CN"/>
        </w:rPr>
        <w:t>，主要是央级拨付的公路养护补助资金结转数，较</w:t>
      </w:r>
      <w:r>
        <w:rPr>
          <w:rFonts w:hint="eastAsia" w:ascii="仿宋_GB2312" w:hAnsi="ˎ̥" w:eastAsia="仿宋_GB2312"/>
          <w:sz w:val="32"/>
          <w:szCs w:val="32"/>
          <w:lang w:val="en-US" w:eastAsia="zh-CN"/>
        </w:rPr>
        <w:t>2020年度决算数减少81.77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color w:val="000000" w:themeColor="text1"/>
          <w:sz w:val="32"/>
          <w:szCs w:val="32"/>
          <w14:textFill>
            <w14:solidFill>
              <w14:schemeClr w14:val="tx1"/>
            </w14:solidFill>
          </w14:textFill>
        </w:rPr>
        <w:t>下降</w:t>
      </w:r>
      <w:r>
        <w:rPr>
          <w:rFonts w:hint="eastAsia" w:ascii="仿宋_GB2312" w:hAnsi="ˎ̥" w:eastAsia="仿宋_GB2312"/>
          <w:color w:val="000000" w:themeColor="text1"/>
          <w:sz w:val="32"/>
          <w:szCs w:val="32"/>
          <w:lang w:val="en-US" w:eastAsia="zh-CN"/>
          <w14:textFill>
            <w14:solidFill>
              <w14:schemeClr w14:val="tx1"/>
            </w14:solidFill>
          </w14:textFill>
        </w:rPr>
        <w:t>76.4</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，主要原因是央级拨付的公路养护补助资金</w:t>
      </w:r>
      <w:r>
        <w:rPr>
          <w:rFonts w:hint="eastAsia" w:ascii="仿宋_GB2312" w:hAnsi="ˎ̥" w:eastAsia="仿宋_GB2312"/>
          <w:color w:val="000000" w:themeColor="text1"/>
          <w:sz w:val="32"/>
          <w:szCs w:val="32"/>
          <w:lang w:val="en-US" w:eastAsia="zh-CN"/>
          <w14:textFill>
            <w14:solidFill>
              <w14:schemeClr w14:val="tx1"/>
            </w14:solidFill>
          </w14:textFill>
        </w:rPr>
        <w:t>减少</w:t>
      </w:r>
      <w:r>
        <w:rPr>
          <w:rFonts w:hint="eastAsia" w:ascii="仿宋_GB2312" w:hAnsi="ˎ̥"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财政拨款年末结转结余</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，主要是央级拨付的公路养护补助资金</w:t>
      </w:r>
      <w:r>
        <w:rPr>
          <w:rFonts w:hint="eastAsia" w:ascii="仿宋_GB2312" w:hAnsi="ˎ̥" w:eastAsia="仿宋_GB2312"/>
          <w:color w:val="000000" w:themeColor="text1"/>
          <w:sz w:val="32"/>
          <w:szCs w:val="32"/>
          <w:lang w:val="en-US" w:eastAsia="zh-CN"/>
          <w14:textFill>
            <w14:solidFill>
              <w14:schemeClr w14:val="tx1"/>
            </w14:solidFill>
          </w14:textFill>
        </w:rPr>
        <w:t>减少</w:t>
      </w:r>
      <w:r>
        <w:rPr>
          <w:rFonts w:hint="eastAsia" w:ascii="仿宋_GB2312" w:hAnsi="ˎ̥" w:eastAsia="仿宋_GB2312"/>
          <w:color w:val="000000" w:themeColor="text1"/>
          <w:sz w:val="32"/>
          <w:szCs w:val="32"/>
          <w:lang w:eastAsia="zh-CN"/>
          <w14:textFill>
            <w14:solidFill>
              <w14:schemeClr w14:val="tx1"/>
            </w14:solidFill>
          </w14:textFill>
        </w:rPr>
        <w:t>，较</w:t>
      </w:r>
      <w:r>
        <w:rPr>
          <w:rFonts w:hint="eastAsia" w:ascii="仿宋_GB2312" w:hAnsi="ˎ̥" w:eastAsia="仿宋_GB2312"/>
          <w:color w:val="000000" w:themeColor="text1"/>
          <w:sz w:val="32"/>
          <w:szCs w:val="32"/>
          <w:lang w:val="en-US" w:eastAsia="zh-CN"/>
          <w14:textFill>
            <w14:solidFill>
              <w14:schemeClr w14:val="tx1"/>
            </w14:solidFill>
          </w14:textFill>
        </w:rPr>
        <w:t>2020年度年末决算数减少0</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下降</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，主要原因是央级拨付的公路养护补助资金</w:t>
      </w:r>
      <w:r>
        <w:rPr>
          <w:rFonts w:hint="eastAsia" w:ascii="仿宋_GB2312" w:hAnsi="ˎ̥" w:eastAsia="仿宋_GB2312"/>
          <w:color w:val="000000" w:themeColor="text1"/>
          <w:sz w:val="32"/>
          <w:szCs w:val="32"/>
          <w:lang w:val="en-US" w:eastAsia="zh-CN"/>
          <w14:textFill>
            <w14:solidFill>
              <w14:schemeClr w14:val="tx1"/>
            </w14:solidFill>
          </w14:textFill>
        </w:rPr>
        <w:t>减少</w:t>
      </w:r>
      <w:r>
        <w:rPr>
          <w:rFonts w:hint="eastAsia" w:ascii="仿宋_GB2312" w:hAnsi="ˎ̥" w:eastAsia="仿宋_GB2312"/>
          <w:color w:val="000000" w:themeColor="text1"/>
          <w:sz w:val="32"/>
          <w:szCs w:val="32"/>
          <w:lang w:eastAsia="zh-CN"/>
          <w14:textFill>
            <w14:solidFill>
              <w14:schemeClr w14:val="tx1"/>
            </w14:solidFill>
          </w14:textFill>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7398_WPSOffice_Level2"/>
      <w:bookmarkStart w:id="78" w:name="_Toc13694_WPSOffice_Level2"/>
      <w:bookmarkStart w:id="79" w:name="_Toc19665_WPSOffice_Level2"/>
      <w:bookmarkStart w:id="80" w:name="_Toc9989_WPSOffice_Level2"/>
      <w:bookmarkStart w:id="81" w:name="_Toc23005_WPSOffice_Level2"/>
      <w:bookmarkStart w:id="82"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一般公共预算财政拨款支出1230.18万元，占本年支出合计的</w:t>
      </w:r>
      <w:r>
        <w:rPr>
          <w:rFonts w:hint="eastAsia" w:ascii="仿宋_GB2312" w:hAnsi="ˎ̥" w:eastAsia="仿宋_GB2312"/>
          <w:sz w:val="32"/>
          <w:szCs w:val="32"/>
          <w:lang w:val="en-US" w:eastAsia="zh-CN"/>
        </w:rPr>
        <w:t>79.43</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672.39</w:t>
      </w:r>
      <w:r>
        <w:rPr>
          <w:rFonts w:hint="eastAsia" w:ascii="仿宋_GB2312" w:hAnsi="ˎ̥" w:eastAsia="仿宋_GB2312"/>
          <w:sz w:val="32"/>
          <w:szCs w:val="32"/>
        </w:rPr>
        <w:t>万元，</w:t>
      </w:r>
      <w:r>
        <w:rPr>
          <w:rFonts w:hint="eastAsia" w:ascii="仿宋_GB2312" w:hAnsi="ˎ̥" w:eastAsia="仿宋_GB2312"/>
          <w:color w:val="000000" w:themeColor="text1"/>
          <w:sz w:val="32"/>
          <w:szCs w:val="32"/>
          <w14:textFill>
            <w14:solidFill>
              <w14:schemeClr w14:val="tx1"/>
            </w14:solidFill>
          </w14:textFill>
        </w:rPr>
        <w:t>下降</w:t>
      </w:r>
      <w:r>
        <w:rPr>
          <w:rFonts w:hint="eastAsia" w:ascii="仿宋_GB2312" w:hAnsi="ˎ̥" w:eastAsia="仿宋_GB2312"/>
          <w:color w:val="000000" w:themeColor="text1"/>
          <w:sz w:val="32"/>
          <w:szCs w:val="32"/>
          <w:lang w:val="en-US" w:eastAsia="zh-CN"/>
          <w14:textFill>
            <w14:solidFill>
              <w14:schemeClr w14:val="tx1"/>
            </w14:solidFill>
          </w14:textFill>
        </w:rPr>
        <w:t>35.82</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，主要原因是公路养护项目预算安排比上年</w:t>
      </w:r>
      <w:r>
        <w:rPr>
          <w:rFonts w:hint="eastAsia" w:ascii="仿宋_GB2312" w:hAnsi="ˎ̥" w:eastAsia="仿宋_GB2312"/>
          <w:color w:val="000000" w:themeColor="text1"/>
          <w:sz w:val="32"/>
          <w:szCs w:val="32"/>
          <w:lang w:val="en-US" w:eastAsia="zh-CN"/>
          <w14:textFill>
            <w14:solidFill>
              <w14:schemeClr w14:val="tx1"/>
            </w14:solidFill>
          </w14:textFill>
        </w:rPr>
        <w:t>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23864_WPSOffice_Level2"/>
      <w:bookmarkStart w:id="86" w:name="_Toc19075_WPSOffice_Level2"/>
      <w:bookmarkStart w:id="87" w:name="_Toc27767_WPSOffice_Level2"/>
      <w:bookmarkStart w:id="88" w:name="_Toc1953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 xml:space="preserve"> 1230.18</w:t>
      </w:r>
      <w:r>
        <w:rPr>
          <w:rFonts w:hint="eastAsia" w:ascii="仿宋_GB2312" w:hAnsi="ˎ̥" w:eastAsia="仿宋_GB2312"/>
          <w:sz w:val="32"/>
          <w:szCs w:val="32"/>
        </w:rPr>
        <w:t>万元，主要用于以下方面：</w:t>
      </w:r>
      <w:r>
        <w:rPr>
          <w:rFonts w:hint="eastAsia" w:ascii="仿宋_GB2312" w:hAnsi="ˎ̥" w:eastAsia="仿宋_GB2312"/>
          <w:b/>
          <w:color w:val="000000" w:themeColor="text1"/>
          <w:sz w:val="32"/>
          <w:szCs w:val="32"/>
          <w14:textFill>
            <w14:solidFill>
              <w14:schemeClr w14:val="tx1"/>
            </w14:solidFill>
          </w14:textFill>
        </w:rPr>
        <w:t>社会保障和就业（类）</w:t>
      </w:r>
      <w:r>
        <w:rPr>
          <w:rFonts w:hint="eastAsia" w:ascii="仿宋_GB2312" w:hAnsi="ˎ̥" w:eastAsia="仿宋_GB2312"/>
          <w:color w:val="000000" w:themeColor="text1"/>
          <w:sz w:val="32"/>
          <w:szCs w:val="32"/>
          <w14:textFill>
            <w14:solidFill>
              <w14:schemeClr w14:val="tx1"/>
            </w14:solidFill>
          </w14:textFill>
        </w:rPr>
        <w:t>支出</w:t>
      </w:r>
      <w:r>
        <w:rPr>
          <w:rFonts w:hint="eastAsia" w:ascii="仿宋_GB2312" w:hAnsi="ˎ̥" w:eastAsia="仿宋_GB2312"/>
          <w:color w:val="000000" w:themeColor="text1"/>
          <w:sz w:val="32"/>
          <w:szCs w:val="32"/>
          <w:lang w:val="en-US" w:eastAsia="zh-CN"/>
          <w14:textFill>
            <w14:solidFill>
              <w14:schemeClr w14:val="tx1"/>
            </w14:solidFill>
          </w14:textFill>
        </w:rPr>
        <w:t>46.21</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3.76</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b/>
          <w:sz w:val="32"/>
          <w:szCs w:val="32"/>
          <w:lang w:eastAsia="zh-CN"/>
        </w:rPr>
        <w:t>卫生健康（类）</w:t>
      </w:r>
      <w:r>
        <w:rPr>
          <w:rFonts w:hint="eastAsia" w:ascii="仿宋_GB2312" w:hAnsi="ˎ̥" w:eastAsia="仿宋_GB2312"/>
          <w:b w:val="0"/>
          <w:bCs/>
          <w:sz w:val="32"/>
          <w:szCs w:val="32"/>
          <w:lang w:eastAsia="zh-CN"/>
        </w:rPr>
        <w:t>51.36万元，</w:t>
      </w:r>
      <w:r>
        <w:rPr>
          <w:rFonts w:hint="eastAsia" w:ascii="仿宋_GB2312" w:hAnsi="ˎ̥" w:eastAsia="仿宋_GB2312"/>
          <w:b w:val="0"/>
          <w:bCs/>
          <w:color w:val="000000" w:themeColor="text1"/>
          <w:sz w:val="32"/>
          <w:szCs w:val="32"/>
          <w:lang w:eastAsia="zh-CN"/>
          <w14:textFill>
            <w14:solidFill>
              <w14:schemeClr w14:val="tx1"/>
            </w14:solidFill>
          </w14:textFill>
        </w:rPr>
        <w:t>占</w:t>
      </w:r>
      <w:r>
        <w:rPr>
          <w:rFonts w:hint="eastAsia" w:ascii="仿宋_GB2312" w:hAnsi="ˎ̥" w:eastAsia="仿宋_GB2312"/>
          <w:b w:val="0"/>
          <w:bCs/>
          <w:color w:val="000000" w:themeColor="text1"/>
          <w:sz w:val="32"/>
          <w:szCs w:val="32"/>
          <w:lang w:val="en-US" w:eastAsia="zh-CN"/>
          <w14:textFill>
            <w14:solidFill>
              <w14:schemeClr w14:val="tx1"/>
            </w14:solidFill>
          </w14:textFill>
        </w:rPr>
        <w:t>4.17%，</w:t>
      </w:r>
      <w:r>
        <w:rPr>
          <w:rFonts w:hint="eastAsia" w:ascii="仿宋_GB2312" w:hAnsi="ˎ̥" w:eastAsia="仿宋_GB2312"/>
          <w:b/>
          <w:bCs/>
          <w:color w:val="000000" w:themeColor="text1"/>
          <w:sz w:val="32"/>
          <w:szCs w:val="32"/>
          <w:lang w:eastAsia="zh-CN"/>
          <w14:textFill>
            <w14:solidFill>
              <w14:schemeClr w14:val="tx1"/>
            </w14:solidFill>
          </w14:textFill>
        </w:rPr>
        <w:t>交通运输（类）</w:t>
      </w:r>
      <w:r>
        <w:rPr>
          <w:rFonts w:hint="eastAsia" w:ascii="仿宋_GB2312" w:hAnsi="ˎ̥" w:eastAsia="仿宋_GB2312"/>
          <w:b w:val="0"/>
          <w:bCs w:val="0"/>
          <w:color w:val="000000" w:themeColor="text1"/>
          <w:sz w:val="32"/>
          <w:szCs w:val="32"/>
          <w:lang w:eastAsia="zh-CN"/>
          <w14:textFill>
            <w14:solidFill>
              <w14:schemeClr w14:val="tx1"/>
            </w14:solidFill>
          </w14:textFill>
        </w:rPr>
        <w:t>支出1105.29万元，占</w:t>
      </w:r>
      <w:r>
        <w:rPr>
          <w:rFonts w:hint="eastAsia" w:ascii="仿宋_GB2312" w:hAnsi="ˎ̥" w:eastAsia="仿宋_GB2312"/>
          <w:b w:val="0"/>
          <w:bCs w:val="0"/>
          <w:color w:val="000000" w:themeColor="text1"/>
          <w:sz w:val="32"/>
          <w:szCs w:val="32"/>
          <w:lang w:val="en-US" w:eastAsia="zh-CN"/>
          <w14:textFill>
            <w14:solidFill>
              <w14:schemeClr w14:val="tx1"/>
            </w14:solidFill>
          </w14:textFill>
        </w:rPr>
        <w:t>89.85%，</w:t>
      </w:r>
      <w:r>
        <w:rPr>
          <w:rFonts w:hint="eastAsia" w:ascii="仿宋_GB2312" w:hAnsi="ˎ̥" w:eastAsia="仿宋_GB2312"/>
          <w:b/>
          <w:bCs/>
          <w:color w:val="000000" w:themeColor="text1"/>
          <w:sz w:val="32"/>
          <w:szCs w:val="32"/>
          <w:lang w:val="en-US" w:eastAsia="zh-CN"/>
          <w14:textFill>
            <w14:solidFill>
              <w14:schemeClr w14:val="tx1"/>
            </w14:solidFill>
          </w14:textFill>
        </w:rPr>
        <w:t>住房保障（类）</w:t>
      </w:r>
      <w:r>
        <w:rPr>
          <w:rFonts w:hint="eastAsia" w:ascii="仿宋_GB2312" w:hAnsi="ˎ̥" w:eastAsia="仿宋_GB2312"/>
          <w:color w:val="000000" w:themeColor="text1"/>
          <w:sz w:val="32"/>
          <w:szCs w:val="32"/>
          <w14:textFill>
            <w14:solidFill>
              <w14:schemeClr w14:val="tx1"/>
            </w14:solidFill>
          </w14:textFill>
        </w:rPr>
        <w:t>支出27.33万元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占</w:t>
      </w:r>
      <w:r>
        <w:rPr>
          <w:rFonts w:hint="eastAsia" w:ascii="仿宋_GB2312" w:hAnsi="ˎ̥" w:eastAsia="仿宋_GB2312"/>
          <w:color w:val="000000" w:themeColor="text1"/>
          <w:sz w:val="32"/>
          <w:szCs w:val="32"/>
          <w:lang w:val="en-US" w:eastAsia="zh-CN"/>
          <w14:textFill>
            <w14:solidFill>
              <w14:schemeClr w14:val="tx1"/>
            </w14:solidFill>
          </w14:textFill>
        </w:rPr>
        <w:t>2.22</w:t>
      </w:r>
      <w:r>
        <w:rPr>
          <w:rFonts w:hint="eastAsia" w:ascii="仿宋_GB2312" w:hAnsi="ˎ̥" w:eastAsia="仿宋_GB2312"/>
          <w:color w:val="000000" w:themeColor="text1"/>
          <w:sz w:val="32"/>
          <w:szCs w:val="32"/>
          <w14:textFill>
            <w14:solidFill>
              <w14:schemeClr w14:val="tx1"/>
            </w14:solidFill>
          </w14:textFill>
        </w:rPr>
        <w:t>%。</w:t>
      </w:r>
    </w:p>
    <w:p>
      <w:pPr>
        <w:ind w:firstLine="640" w:firstLineChars="200"/>
        <w:rPr>
          <w:rFonts w:hint="eastAsia" w:ascii="楷体" w:hAnsi="楷体" w:eastAsia="楷体" w:cs="楷体"/>
          <w:sz w:val="32"/>
          <w:szCs w:val="32"/>
        </w:rPr>
      </w:pPr>
      <w:bookmarkStart w:id="89" w:name="_Toc25136_WPSOffice_Level2"/>
      <w:bookmarkStart w:id="90" w:name="_Toc29364_WPSOffice_Level2"/>
      <w:bookmarkStart w:id="91" w:name="_Toc21701_WPSOffice_Level2"/>
      <w:bookmarkStart w:id="92" w:name="_Toc22318_WPSOffice_Level2"/>
      <w:bookmarkStart w:id="93" w:name="_Toc15415_WPSOffice_Level2"/>
      <w:bookmarkStart w:id="94" w:name="_Toc9502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财政拨款支出年初预算为1204.86万元，支出决算为1230.18万元，完成年初预算的</w:t>
      </w:r>
      <w:r>
        <w:rPr>
          <w:rFonts w:hint="eastAsia" w:ascii="仿宋_GB2312" w:hAnsi="ˎ̥" w:eastAsia="仿宋_GB2312"/>
          <w:sz w:val="32"/>
          <w:szCs w:val="32"/>
          <w:lang w:val="en-US" w:eastAsia="zh-CN"/>
        </w:rPr>
        <w:t>102.1</w:t>
      </w:r>
      <w:r>
        <w:rPr>
          <w:rFonts w:hint="eastAsia" w:ascii="仿宋_GB2312" w:hAnsi="ˎ̥" w:eastAsia="仿宋_GB2312"/>
          <w:sz w:val="32"/>
          <w:szCs w:val="32"/>
        </w:rPr>
        <w:t>%。其中：</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lang w:val="en-US" w:eastAsia="zh-CN"/>
        </w:rPr>
        <w:t>1</w:t>
      </w:r>
      <w:r>
        <w:rPr>
          <w:rFonts w:hint="eastAsia" w:ascii="仿宋_GB2312" w:hAnsi="ˎ̥" w:eastAsia="仿宋_GB2312"/>
          <w:sz w:val="32"/>
          <w:szCs w:val="32"/>
          <w:lang w:val="en-US" w:eastAsia="zh-CN"/>
        </w:rPr>
        <w:t>.</w:t>
      </w:r>
      <w:r>
        <w:rPr>
          <w:rFonts w:hint="eastAsia" w:ascii="仿宋_GB2312" w:hAnsi="ˎ̥" w:eastAsia="仿宋_GB2312"/>
          <w:b/>
          <w:bCs/>
          <w:sz w:val="32"/>
          <w:szCs w:val="32"/>
          <w:lang w:val="en-US"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行政事业单位养老保险</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机关事业单位基本养老保险缴费支出</w:t>
      </w:r>
      <w:r>
        <w:rPr>
          <w:rFonts w:hint="eastAsia" w:ascii="仿宋_GB2312" w:hAnsi="ˎ̥" w:eastAsia="仿宋_GB2312"/>
          <w:b/>
          <w:sz w:val="32"/>
          <w:szCs w:val="32"/>
        </w:rPr>
        <w:t>（项）。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38.99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34.77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89.18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w:t>
      </w:r>
      <w:r>
        <w:rPr>
          <w:rFonts w:hint="eastAsia" w:ascii="仿宋_GB2312" w:hAnsi="ˎ̥" w:eastAsia="仿宋_GB2312"/>
          <w:sz w:val="32"/>
          <w:szCs w:val="32"/>
          <w:lang w:eastAsia="zh-CN"/>
        </w:rPr>
        <w:t>主要原因：在职人员退休，养老保险等项保险随之减少。</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lang w:val="en-US" w:eastAsia="zh-CN"/>
        </w:rPr>
        <w:t>2.</w:t>
      </w:r>
      <w:r>
        <w:rPr>
          <w:rFonts w:hint="eastAsia" w:ascii="仿宋_GB2312" w:hAnsi="ˎ̥" w:eastAsia="仿宋_GB2312"/>
          <w:b/>
          <w:sz w:val="32"/>
          <w:szCs w:val="32"/>
        </w:rPr>
        <w:t>社会保障和就业（类）行政事业单位养老保险（款）机关事业单位职业年金缴费支出（项）。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9.93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8.59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86.51</w:t>
      </w:r>
      <w:r>
        <w:rPr>
          <w:rFonts w:hint="eastAsia" w:ascii="仿宋_GB2312" w:hAnsi="ˎ̥" w:eastAsia="仿宋_GB2312"/>
          <w:sz w:val="32"/>
          <w:szCs w:val="32"/>
        </w:rPr>
        <w:t>%。决算数小于预算数的主要原因：按照社保局提供的202</w:t>
      </w:r>
      <w:r>
        <w:rPr>
          <w:rFonts w:hint="eastAsia" w:ascii="仿宋_GB2312" w:hAnsi="ˎ̥" w:eastAsia="仿宋_GB2312"/>
          <w:sz w:val="32"/>
          <w:szCs w:val="32"/>
          <w:lang w:val="en-US" w:eastAsia="zh-CN"/>
        </w:rPr>
        <w:t>1</w:t>
      </w:r>
      <w:r>
        <w:rPr>
          <w:rFonts w:hint="eastAsia" w:ascii="仿宋_GB2312" w:hAnsi="ˎ̥" w:eastAsia="仿宋_GB2312"/>
          <w:sz w:val="32"/>
          <w:szCs w:val="32"/>
        </w:rPr>
        <w:t>年我站退休人员职业年金虚账记实金额纳入年初预算，社保局提供的预算数大于实际支出数。</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rPr>
        <w:t>3.</w:t>
      </w:r>
      <w:r>
        <w:rPr>
          <w:rFonts w:hint="eastAsia" w:ascii="仿宋_GB2312" w:hAnsi="ˎ̥" w:eastAsia="仿宋_GB2312"/>
          <w:b/>
          <w:sz w:val="32"/>
          <w:szCs w:val="32"/>
        </w:rPr>
        <w:t xml:space="preserve"> 社会保障和就业（类）抚恤（款）其他优抚支出（项）。</w:t>
      </w:r>
    </w:p>
    <w:p>
      <w:pPr>
        <w:ind w:firstLine="640" w:firstLineChars="200"/>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1.97</w:t>
      </w:r>
      <w:r>
        <w:rPr>
          <w:rFonts w:hint="eastAsia" w:ascii="仿宋_GB2312" w:hAnsi="ˎ̥" w:eastAsia="仿宋_GB2312"/>
          <w:sz w:val="32"/>
          <w:szCs w:val="32"/>
        </w:rPr>
        <w:t>万元，支出决算为2.85万元，完成年初预算的</w:t>
      </w:r>
      <w:r>
        <w:rPr>
          <w:rFonts w:hint="eastAsia" w:ascii="仿宋_GB2312" w:hAnsi="ˎ̥" w:eastAsia="仿宋_GB2312"/>
          <w:sz w:val="32"/>
          <w:szCs w:val="32"/>
          <w:lang w:val="en-US" w:eastAsia="zh-CN"/>
        </w:rPr>
        <w:t>144.67</w:t>
      </w:r>
      <w:r>
        <w:rPr>
          <w:rFonts w:hint="eastAsia" w:ascii="仿宋_GB2312" w:hAnsi="ˎ̥" w:eastAsia="仿宋_GB2312"/>
          <w:sz w:val="32"/>
          <w:szCs w:val="32"/>
        </w:rPr>
        <w:t>%。决算数</w:t>
      </w:r>
      <w:r>
        <w:rPr>
          <w:rFonts w:hint="eastAsia" w:ascii="仿宋_GB2312" w:hAnsi="ˎ̥" w:eastAsia="仿宋_GB2312"/>
          <w:sz w:val="32"/>
          <w:szCs w:val="32"/>
          <w:lang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w:t>
      </w:r>
      <w:r>
        <w:rPr>
          <w:rFonts w:hint="eastAsia" w:ascii="仿宋_GB2312" w:hAnsi="ˎ̥" w:eastAsia="仿宋_GB2312"/>
          <w:color w:val="000000" w:themeColor="text1"/>
          <w:sz w:val="32"/>
          <w:szCs w:val="32"/>
          <w14:textFill>
            <w14:solidFill>
              <w14:schemeClr w14:val="tx1"/>
            </w14:solidFill>
          </w14:textFill>
        </w:rPr>
        <w:t>遗属人员</w:t>
      </w:r>
      <w:r>
        <w:rPr>
          <w:rFonts w:hint="eastAsia" w:ascii="仿宋_GB2312" w:hAnsi="ˎ̥" w:eastAsia="仿宋_GB2312"/>
          <w:color w:val="000000" w:themeColor="text1"/>
          <w:sz w:val="32"/>
          <w:szCs w:val="32"/>
          <w:lang w:eastAsia="zh-CN"/>
          <w14:textFill>
            <w14:solidFill>
              <w14:schemeClr w14:val="tx1"/>
            </w14:solidFill>
          </w14:textFill>
        </w:rPr>
        <w:t>增加</w:t>
      </w:r>
      <w:r>
        <w:rPr>
          <w:rFonts w:hint="eastAsia" w:ascii="仿宋_GB2312" w:hAnsi="ˎ̥" w:eastAsia="仿宋_GB2312"/>
          <w:color w:val="000000" w:themeColor="text1"/>
          <w:sz w:val="32"/>
          <w:szCs w:val="32"/>
          <w:lang w:val="en-US" w:eastAsia="zh-CN"/>
          <w14:textFill>
            <w14:solidFill>
              <w14:schemeClr w14:val="tx1"/>
            </w14:solidFill>
          </w14:textFill>
        </w:rPr>
        <w:t>1名</w:t>
      </w:r>
      <w:r>
        <w:rPr>
          <w:rFonts w:hint="eastAsia" w:ascii="仿宋_GB2312" w:hAnsi="ˎ̥" w:eastAsia="仿宋_GB2312"/>
          <w:color w:val="000000" w:themeColor="text1"/>
          <w:sz w:val="32"/>
          <w:szCs w:val="32"/>
          <w:lang w:eastAsia="zh-CN"/>
          <w14:textFill>
            <w14:solidFill>
              <w14:schemeClr w14:val="tx1"/>
            </w14:solidFill>
          </w14:textFill>
        </w:rPr>
        <w:t>。</w:t>
      </w:r>
    </w:p>
    <w:p>
      <w:pPr>
        <w:numPr>
          <w:ilvl w:val="0"/>
          <w:numId w:val="3"/>
        </w:numPr>
        <w:ind w:firstLine="643" w:firstLineChars="200"/>
        <w:rPr>
          <w:rFonts w:hint="eastAsia" w:ascii="仿宋_GB2312" w:hAnsi="ˎ̥" w:eastAsia="仿宋_GB2312"/>
          <w:b/>
          <w:sz w:val="32"/>
          <w:szCs w:val="32"/>
        </w:rPr>
      </w:pPr>
      <w:r>
        <w:rPr>
          <w:rFonts w:hint="eastAsia" w:ascii="仿宋_GB2312" w:hAnsi="ˎ̥" w:eastAsia="仿宋_GB2312"/>
          <w:b/>
          <w:sz w:val="32"/>
          <w:szCs w:val="32"/>
        </w:rPr>
        <w:t>卫生健康支出（类）行政事业单位医疗（款）事业单位医疗（项）。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20.71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18.47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89.18</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在职人员退休，养老保险等项保险随之减少。</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rPr>
        <w:t>5.</w:t>
      </w:r>
      <w:r>
        <w:rPr>
          <w:rFonts w:hint="eastAsia" w:ascii="仿宋_GB2312" w:hAnsi="ˎ̥" w:eastAsia="仿宋_GB2312"/>
          <w:b/>
          <w:sz w:val="32"/>
          <w:szCs w:val="32"/>
        </w:rPr>
        <w:t xml:space="preserve"> 卫生健康支出（类）行政事业单位医疗（款）公务员医疗补助（项）。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38.75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32.89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84.88</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在职人员退休，养老保险等项保险随之减少。</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lang w:val="en-US" w:eastAsia="zh-CN"/>
        </w:rPr>
        <w:t>6</w:t>
      </w:r>
      <w:r>
        <w:rPr>
          <w:rFonts w:hint="eastAsia" w:ascii="仿宋_GB2312" w:hAnsi="ˎ̥" w:eastAsia="仿宋_GB2312"/>
          <w:b/>
          <w:bCs/>
          <w:sz w:val="32"/>
          <w:szCs w:val="32"/>
        </w:rPr>
        <w:t>.</w:t>
      </w:r>
      <w:r>
        <w:rPr>
          <w:rFonts w:hint="eastAsia" w:ascii="仿宋_GB2312" w:hAnsi="ˎ̥" w:eastAsia="仿宋_GB2312"/>
          <w:b/>
          <w:sz w:val="32"/>
          <w:szCs w:val="32"/>
        </w:rPr>
        <w:t xml:space="preserve"> 交通运输支出（类）公路水路运输（款）公路养护（项）。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694.41</w:t>
      </w:r>
      <w:r>
        <w:rPr>
          <w:rFonts w:hint="eastAsia" w:ascii="仿宋_GB2312" w:hAnsi="ˎ̥" w:eastAsia="仿宋_GB2312"/>
          <w:sz w:val="32"/>
          <w:szCs w:val="32"/>
        </w:rPr>
        <w:t>万元，支出决算为1105.29万元，完成年初预算的1</w:t>
      </w:r>
      <w:r>
        <w:rPr>
          <w:rFonts w:hint="eastAsia" w:ascii="仿宋_GB2312" w:hAnsi="ˎ̥" w:eastAsia="仿宋_GB2312"/>
          <w:sz w:val="32"/>
          <w:szCs w:val="32"/>
          <w:lang w:val="en-US" w:eastAsia="zh-CN"/>
        </w:rPr>
        <w:t>59.17</w:t>
      </w:r>
      <w:r>
        <w:rPr>
          <w:rFonts w:hint="eastAsia" w:ascii="仿宋_GB2312" w:hAnsi="ˎ̥" w:eastAsia="仿宋_GB2312"/>
          <w:sz w:val="32"/>
          <w:szCs w:val="32"/>
        </w:rPr>
        <w:t>%。决算数大于预算数的主要原因：</w:t>
      </w:r>
      <w:r>
        <w:rPr>
          <w:rFonts w:hint="eastAsia" w:ascii="仿宋_GB2312" w:hAnsi="ˎ̥" w:eastAsia="仿宋_GB2312"/>
          <w:sz w:val="32"/>
          <w:szCs w:val="32"/>
          <w:lang w:eastAsia="zh-CN"/>
        </w:rPr>
        <w:t>公路养护</w:t>
      </w:r>
      <w:r>
        <w:rPr>
          <w:rFonts w:hint="eastAsia" w:ascii="仿宋_GB2312" w:hAnsi="ˎ̥" w:eastAsia="仿宋_GB2312"/>
          <w:sz w:val="32"/>
          <w:szCs w:val="32"/>
        </w:rPr>
        <w:t>资金</w:t>
      </w:r>
      <w:r>
        <w:rPr>
          <w:rFonts w:hint="eastAsia" w:ascii="仿宋_GB2312" w:hAnsi="ˎ̥" w:eastAsia="仿宋_GB2312"/>
          <w:sz w:val="32"/>
          <w:szCs w:val="32"/>
          <w:lang w:eastAsia="zh-CN"/>
        </w:rPr>
        <w:t>的增加</w:t>
      </w:r>
      <w:r>
        <w:rPr>
          <w:rFonts w:hint="eastAsia" w:ascii="仿宋_GB2312" w:hAnsi="ˎ̥" w:eastAsia="仿宋_GB2312"/>
          <w:b/>
          <w:sz w:val="32"/>
          <w:szCs w:val="32"/>
        </w:rPr>
        <w:t>。</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lang w:val="en-US" w:eastAsia="zh-CN"/>
        </w:rPr>
        <w:t>7</w:t>
      </w:r>
      <w:r>
        <w:rPr>
          <w:rFonts w:hint="eastAsia" w:ascii="仿宋_GB2312" w:hAnsi="ˎ̥" w:eastAsia="仿宋_GB2312"/>
          <w:b/>
          <w:bCs/>
          <w:sz w:val="32"/>
          <w:szCs w:val="32"/>
        </w:rPr>
        <w:t>. 住</w:t>
      </w:r>
      <w:r>
        <w:rPr>
          <w:rFonts w:hint="eastAsia" w:ascii="仿宋_GB2312" w:hAnsi="ˎ̥" w:eastAsia="仿宋_GB2312"/>
          <w:b/>
          <w:sz w:val="32"/>
          <w:szCs w:val="32"/>
        </w:rPr>
        <w:t>房保障支出（类）住房保障支出（款）住房公积金（项）。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34</w:t>
      </w:r>
      <w:r>
        <w:rPr>
          <w:rFonts w:hint="eastAsia" w:ascii="仿宋_GB2312" w:hAnsi="ˎ̥" w:eastAsia="仿宋_GB2312"/>
          <w:sz w:val="32"/>
          <w:szCs w:val="32"/>
        </w:rPr>
        <w:t>.</w:t>
      </w:r>
      <w:r>
        <w:rPr>
          <w:rFonts w:hint="eastAsia" w:ascii="仿宋_GB2312" w:hAnsi="ˎ̥" w:eastAsia="仿宋_GB2312"/>
          <w:sz w:val="32"/>
          <w:szCs w:val="32"/>
          <w:lang w:val="en-US" w:eastAsia="zh-CN"/>
        </w:rPr>
        <w:t>74</w:t>
      </w:r>
      <w:r>
        <w:rPr>
          <w:rFonts w:hint="eastAsia" w:ascii="仿宋_GB2312" w:hAnsi="ˎ̥" w:eastAsia="仿宋_GB2312"/>
          <w:sz w:val="32"/>
          <w:szCs w:val="32"/>
        </w:rPr>
        <w:t>万元，支出决算为2</w:t>
      </w:r>
      <w:r>
        <w:rPr>
          <w:rFonts w:hint="eastAsia" w:ascii="仿宋_GB2312" w:hAnsi="ˎ̥" w:eastAsia="仿宋_GB2312"/>
          <w:sz w:val="32"/>
          <w:szCs w:val="32"/>
          <w:lang w:val="en-US" w:eastAsia="zh-CN"/>
        </w:rPr>
        <w:t>7</w:t>
      </w:r>
      <w:r>
        <w:rPr>
          <w:rFonts w:hint="eastAsia" w:ascii="仿宋_GB2312" w:hAnsi="ˎ̥" w:eastAsia="仿宋_GB2312"/>
          <w:sz w:val="32"/>
          <w:szCs w:val="32"/>
        </w:rPr>
        <w:t>.</w:t>
      </w:r>
      <w:r>
        <w:rPr>
          <w:rFonts w:hint="eastAsia" w:ascii="仿宋_GB2312" w:hAnsi="ˎ̥" w:eastAsia="仿宋_GB2312"/>
          <w:sz w:val="32"/>
          <w:szCs w:val="32"/>
          <w:lang w:val="en-US" w:eastAsia="zh-CN"/>
        </w:rPr>
        <w:t>33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78.67</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在职人员退休，养老保险等项保险随之减少。</w:t>
      </w:r>
    </w:p>
    <w:p>
      <w:pPr>
        <w:ind w:firstLine="640" w:firstLineChars="200"/>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472.71</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445.04</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基本工资、津贴补贴、奖金、伙食补助费、绩效工资、</w:t>
      </w:r>
      <w:r>
        <w:rPr>
          <w:rFonts w:hint="eastAsia" w:ascii="仿宋_GB2312" w:hAnsi="ˎ̥" w:eastAsia="仿宋_GB2312"/>
          <w:sz w:val="32"/>
          <w:szCs w:val="32"/>
          <w:lang w:eastAsia="zh-CN"/>
        </w:rPr>
        <w:t>机关事业单位基本养老保险缴费、职业年金缴费、职工基本医疗保险缴费、公务员医疗补助缴费、其他社会保障缴费、住房公积金、医疗费、</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；对个人和家庭的补助中的</w:t>
      </w:r>
      <w:r>
        <w:rPr>
          <w:rFonts w:hint="eastAsia" w:ascii="仿宋_GB2312" w:hAnsi="ˎ̥" w:eastAsia="仿宋_GB2312"/>
          <w:sz w:val="32"/>
          <w:szCs w:val="32"/>
        </w:rPr>
        <w:t>离休费、退休费、退职（役）费、抚恤金、生活补助、救济费、医疗费</w:t>
      </w:r>
      <w:r>
        <w:rPr>
          <w:rFonts w:hint="eastAsia" w:ascii="仿宋_GB2312" w:hAnsi="ˎ̥" w:eastAsia="仿宋_GB2312"/>
          <w:sz w:val="32"/>
          <w:szCs w:val="32"/>
          <w:lang w:eastAsia="zh-CN"/>
        </w:rPr>
        <w:t>补助</w:t>
      </w:r>
      <w:r>
        <w:rPr>
          <w:rFonts w:hint="eastAsia" w:ascii="仿宋_GB2312" w:hAnsi="ˎ̥" w:eastAsia="仿宋_GB2312"/>
          <w:sz w:val="32"/>
          <w:szCs w:val="32"/>
        </w:rPr>
        <w:t>、助学金、奖励金、</w:t>
      </w:r>
      <w:r>
        <w:rPr>
          <w:rFonts w:hint="eastAsia" w:ascii="仿宋_GB2312" w:hAnsi="ˎ̥" w:eastAsia="仿宋_GB2312"/>
          <w:sz w:val="32"/>
          <w:szCs w:val="32"/>
          <w:lang w:eastAsia="zh-CN"/>
        </w:rPr>
        <w:t>个人农业</w:t>
      </w:r>
      <w:r>
        <w:rPr>
          <w:rFonts w:hint="eastAsia" w:ascii="仿宋_GB2312" w:hAnsi="ˎ̥" w:eastAsia="仿宋_GB2312"/>
          <w:sz w:val="32"/>
          <w:szCs w:val="32"/>
        </w:rPr>
        <w:t>生产补贴、</w:t>
      </w:r>
      <w:r>
        <w:rPr>
          <w:rFonts w:hint="eastAsia" w:ascii="仿宋_GB2312" w:hAnsi="ˎ̥" w:eastAsia="仿宋_GB2312"/>
          <w:sz w:val="32"/>
          <w:szCs w:val="32"/>
          <w:lang w:eastAsia="zh-CN"/>
        </w:rPr>
        <w:t>代缴社会保险费、</w:t>
      </w:r>
      <w:r>
        <w:rPr>
          <w:rFonts w:hint="eastAsia" w:ascii="仿宋_GB2312" w:hAnsi="ˎ̥" w:eastAsia="仿宋_GB2312"/>
          <w:sz w:val="32"/>
          <w:szCs w:val="32"/>
        </w:rPr>
        <w:t>其他对个人和家庭的补助</w:t>
      </w:r>
      <w:r>
        <w:rPr>
          <w:rFonts w:hint="eastAsia" w:ascii="仿宋_GB2312" w:hAnsi="ˎ̥" w:eastAsia="仿宋_GB2312"/>
          <w:sz w:val="32"/>
          <w:szCs w:val="32"/>
          <w:lang w:eastAsia="zh-CN"/>
        </w:rPr>
        <w:t>支出等</w:t>
      </w:r>
      <w:r>
        <w:rPr>
          <w:rFonts w:hint="eastAsia" w:ascii="仿宋_GB2312" w:hAnsi="ˎ̥" w:eastAsia="仿宋_GB2312"/>
          <w:sz w:val="32"/>
          <w:szCs w:val="32"/>
        </w:rPr>
        <w:t>。公用经费</w:t>
      </w:r>
      <w:r>
        <w:rPr>
          <w:rFonts w:hint="eastAsia" w:ascii="仿宋_GB2312" w:hAnsi="ˎ̥" w:eastAsia="仿宋_GB2312"/>
          <w:sz w:val="32"/>
          <w:szCs w:val="32"/>
          <w:lang w:val="en-US" w:eastAsia="zh-CN"/>
        </w:rPr>
        <w:t>27.67</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r>
        <w:rPr>
          <w:rFonts w:hint="eastAsia" w:ascii="仿宋_GB2312" w:hAnsi="ˎ̥" w:eastAsia="仿宋_GB2312"/>
          <w:sz w:val="32"/>
          <w:szCs w:val="32"/>
          <w:lang w:eastAsia="zh-CN"/>
        </w:rPr>
        <w:t>。</w:t>
      </w:r>
      <w:r>
        <w:rPr>
          <w:rFonts w:hint="eastAsia" w:ascii="仿宋_GB2312" w:hAnsi="ˎ̥" w:eastAsia="仿宋_GB2312"/>
          <w:color w:val="000000" w:themeColor="text1"/>
          <w:sz w:val="32"/>
          <w:szCs w:val="32"/>
          <w:lang w:eastAsia="zh-CN"/>
          <w14:textFill>
            <w14:solidFill>
              <w14:schemeClr w14:val="tx1"/>
            </w14:solidFill>
          </w14:textFill>
        </w:rPr>
        <w:t>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r>
        <w:rPr>
          <w:rFonts w:hint="eastAsia" w:ascii="仿宋_GB2312" w:hAnsi="ˎ̥" w:eastAsia="仿宋_GB2312"/>
          <w:color w:val="000000" w:themeColor="text1"/>
          <w:sz w:val="32"/>
          <w:szCs w:val="32"/>
          <w14:textFill>
            <w14:solidFill>
              <w14:schemeClr w14:val="tx1"/>
            </w14:solidFill>
          </w14:textFill>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318.44</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20.38</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color w:val="000000" w:themeColor="text1"/>
          <w:sz w:val="32"/>
          <w:szCs w:val="32"/>
          <w:lang w:eastAsia="zh-CN"/>
          <w14:textFill>
            <w14:solidFill>
              <w14:schemeClr w14:val="tx1"/>
            </w14:solidFill>
          </w14:textFill>
        </w:rPr>
        <w:t>政府性基金预算</w:t>
      </w:r>
      <w:r>
        <w:rPr>
          <w:rFonts w:hint="eastAsia" w:ascii="仿宋_GB2312" w:hAnsi="ˎ̥" w:eastAsia="仿宋_GB2312"/>
          <w:color w:val="000000" w:themeColor="text1"/>
          <w:sz w:val="32"/>
          <w:szCs w:val="32"/>
          <w14:textFill>
            <w14:solidFill>
              <w14:schemeClr w14:val="tx1"/>
            </w14:solidFill>
          </w14:textFill>
        </w:rPr>
        <w:t>财政拨款支出增加</w:t>
      </w:r>
      <w:r>
        <w:rPr>
          <w:rFonts w:hint="eastAsia" w:ascii="仿宋_GB2312" w:hAnsi="ˎ̥" w:eastAsia="仿宋_GB2312"/>
          <w:color w:val="000000" w:themeColor="text1"/>
          <w:sz w:val="32"/>
          <w:szCs w:val="32"/>
          <w:lang w:val="en-US" w:eastAsia="zh-CN"/>
          <w14:textFill>
            <w14:solidFill>
              <w14:schemeClr w14:val="tx1"/>
            </w14:solidFill>
          </w14:textFill>
        </w:rPr>
        <w:t>0.46</w:t>
      </w:r>
      <w:r>
        <w:rPr>
          <w:rFonts w:hint="eastAsia" w:ascii="仿宋_GB2312" w:hAnsi="ˎ̥" w:eastAsia="仿宋_GB2312"/>
          <w:color w:val="000000" w:themeColor="text1"/>
          <w:sz w:val="32"/>
          <w:szCs w:val="32"/>
          <w14:textFill>
            <w14:solidFill>
              <w14:schemeClr w14:val="tx1"/>
            </w14:solidFill>
          </w14:textFill>
        </w:rPr>
        <w:t>万元，增长</w:t>
      </w:r>
      <w:r>
        <w:rPr>
          <w:rFonts w:hint="eastAsia" w:ascii="仿宋_GB2312" w:hAnsi="ˎ̥" w:eastAsia="仿宋_GB2312"/>
          <w:color w:val="000000" w:themeColor="text1"/>
          <w:sz w:val="32"/>
          <w:szCs w:val="32"/>
          <w:lang w:val="en-US" w:eastAsia="zh-CN"/>
          <w14:textFill>
            <w14:solidFill>
              <w14:schemeClr w14:val="tx1"/>
            </w14:solidFill>
          </w14:textFill>
        </w:rPr>
        <w:t>0.14</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color w:val="000000" w:themeColor="text1"/>
          <w:sz w:val="32"/>
          <w:szCs w:val="32"/>
          <w:lang w:eastAsia="zh-CN"/>
          <w14:textFill>
            <w14:solidFill>
              <w14:schemeClr w14:val="tx1"/>
            </w14:solidFill>
          </w14:textFill>
        </w:rPr>
        <w:t>，主要原因是纳入政府性基金项目增加</w:t>
      </w:r>
      <w:r>
        <w:rPr>
          <w:rFonts w:hint="eastAsia" w:ascii="仿宋_GB2312" w:hAnsi="ˎ̥" w:eastAsia="仿宋_GB2312"/>
          <w:color w:val="000000" w:themeColor="text1"/>
          <w:sz w:val="32"/>
          <w:szCs w:val="32"/>
          <w14:textFill>
            <w14:solidFill>
              <w14:schemeClr w14:val="tx1"/>
            </w14:solidFill>
          </w14:textFill>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318.44</w:t>
      </w:r>
      <w:r>
        <w:rPr>
          <w:rFonts w:hint="eastAsia" w:ascii="仿宋_GB2312" w:hAnsi="ˎ̥" w:eastAsia="仿宋_GB2312"/>
          <w:sz w:val="32"/>
          <w:szCs w:val="32"/>
        </w:rPr>
        <w:t>万元，主要用</w:t>
      </w:r>
      <w:r>
        <w:rPr>
          <w:rFonts w:hint="eastAsia" w:ascii="仿宋_GB2312" w:hAnsi="ˎ̥" w:eastAsia="仿宋_GB2312"/>
          <w:sz w:val="32"/>
          <w:szCs w:val="32"/>
          <w:lang w:eastAsia="zh-CN"/>
        </w:rPr>
        <w:t>以下方面：</w:t>
      </w:r>
      <w:r>
        <w:rPr>
          <w:rFonts w:hint="eastAsia" w:ascii="仿宋_GB2312" w:hAnsi="ˎ̥" w:eastAsia="仿宋_GB2312"/>
          <w:b/>
          <w:bCs/>
          <w:sz w:val="32"/>
          <w:szCs w:val="32"/>
        </w:rPr>
        <w:t>城乡社区（类</w:t>
      </w:r>
      <w:r>
        <w:rPr>
          <w:rFonts w:hint="eastAsia" w:ascii="仿宋_GB2312" w:hAnsi="ˎ̥" w:eastAsia="仿宋_GB2312"/>
          <w:b/>
          <w:sz w:val="32"/>
          <w:szCs w:val="32"/>
        </w:rPr>
        <w:t>）</w:t>
      </w:r>
      <w:r>
        <w:rPr>
          <w:rFonts w:hint="eastAsia" w:ascii="仿宋_GB2312" w:hAnsi="ˎ̥" w:eastAsia="仿宋_GB2312"/>
          <w:sz w:val="32"/>
          <w:szCs w:val="32"/>
        </w:rPr>
        <w:t>支出</w:t>
      </w:r>
      <w:r>
        <w:rPr>
          <w:rFonts w:hint="eastAsia" w:ascii="仿宋_GB2312" w:hAnsi="ˎ̥" w:eastAsia="仿宋_GB2312"/>
          <w:sz w:val="32"/>
          <w:szCs w:val="32"/>
          <w:lang w:val="en-US" w:eastAsia="zh-CN"/>
        </w:rPr>
        <w:t>318.44</w:t>
      </w:r>
      <w:r>
        <w:rPr>
          <w:rFonts w:hint="eastAsia" w:ascii="仿宋_GB2312" w:hAnsi="ˎ̥" w:eastAsia="仿宋_GB2312"/>
          <w:sz w:val="32"/>
          <w:szCs w:val="32"/>
        </w:rPr>
        <w:t>万元，占100%。</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315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318.44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101.09</w:t>
      </w:r>
      <w:r>
        <w:rPr>
          <w:rFonts w:hint="eastAsia" w:ascii="仿宋_GB2312" w:hAnsi="ˎ̥" w:eastAsia="仿宋_GB2312"/>
          <w:sz w:val="32"/>
          <w:szCs w:val="32"/>
        </w:rPr>
        <w:t>%。其中：</w:t>
      </w:r>
    </w:p>
    <w:p>
      <w:pPr>
        <w:ind w:firstLine="643" w:firstLineChars="200"/>
        <w:rPr>
          <w:rFonts w:hint="eastAsia" w:ascii="仿宋_GB2312" w:hAnsi="ˎ̥" w:eastAsia="仿宋_GB2312"/>
          <w:b/>
          <w:sz w:val="32"/>
          <w:szCs w:val="32"/>
        </w:rPr>
      </w:pPr>
      <w:r>
        <w:rPr>
          <w:rFonts w:hint="eastAsia" w:ascii="仿宋_GB2312" w:hAnsi="ˎ̥" w:eastAsia="仿宋_GB2312"/>
          <w:b/>
          <w:bCs/>
          <w:sz w:val="32"/>
          <w:szCs w:val="32"/>
        </w:rPr>
        <w:t>1.城乡社区支出（类）国有土地使用权出让收入安排的支出（款）农村基础设施建设支出（项）。</w:t>
      </w:r>
    </w:p>
    <w:p>
      <w:pPr>
        <w:ind w:firstLine="640" w:firstLineChars="200"/>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315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318.44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101.09</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eastAsia="zh-CN"/>
        </w:rPr>
        <w:t>公路养护资金增加。</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支出决算为</w:t>
      </w:r>
      <w:r>
        <w:rPr>
          <w:rFonts w:hint="eastAsia" w:ascii="仿宋_GB2312" w:hAnsi="ˎ̥" w:eastAsia="仿宋_GB2312"/>
          <w:sz w:val="32"/>
          <w:szCs w:val="32"/>
          <w:lang w:val="en-US" w:eastAsia="zh-CN"/>
        </w:rPr>
        <w:t>0万元，完成年初预算的0%。</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5.69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4.88</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85.76</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4.88</w:t>
      </w:r>
      <w:r>
        <w:rPr>
          <w:rFonts w:hint="eastAsia" w:ascii="仿宋_GB2312" w:hAnsi="ˎ̥" w:eastAsia="仿宋_GB2312"/>
          <w:sz w:val="32"/>
          <w:szCs w:val="32"/>
        </w:rPr>
        <w:t>万元，占</w:t>
      </w:r>
      <w:r>
        <w:rPr>
          <w:rFonts w:hint="eastAsia" w:ascii="仿宋_GB2312" w:hAnsi="ˎ̥" w:eastAsia="仿宋_GB2312"/>
          <w:sz w:val="32"/>
          <w:szCs w:val="32"/>
          <w:lang w:val="en-US" w:eastAsia="zh-CN"/>
        </w:rPr>
        <w:t>85.76</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比预算数增加（减少）0万元，增长（下降）0%。</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b w:val="0"/>
          <w:bCs/>
          <w:sz w:val="32"/>
          <w:szCs w:val="32"/>
          <w:lang w:val="en-US" w:eastAsia="zh-CN"/>
        </w:rPr>
        <w:t>4.88</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b w:val="0"/>
          <w:bCs/>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3</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4.88</w:t>
      </w:r>
      <w:r>
        <w:rPr>
          <w:rFonts w:hint="eastAsia" w:ascii="仿宋_GB2312" w:hAnsi="ˎ̥" w:eastAsia="仿宋_GB2312"/>
          <w:sz w:val="32"/>
          <w:szCs w:val="32"/>
        </w:rPr>
        <w:t>万元，主要用于</w:t>
      </w:r>
      <w:r>
        <w:rPr>
          <w:rFonts w:hint="eastAsia" w:ascii="仿宋_GB2312" w:hAnsi="ˎ̥" w:eastAsia="仿宋_GB2312"/>
          <w:sz w:val="32"/>
          <w:szCs w:val="32"/>
          <w:lang w:eastAsia="zh-CN"/>
        </w:rPr>
        <w:t>公务用车燃料费、维修保养费、保险费及车辆年审费用</w:t>
      </w:r>
      <w:r>
        <w:rPr>
          <w:rFonts w:hint="eastAsia" w:ascii="仿宋_GB2312" w:hAnsi="ˎ̥" w:eastAsia="仿宋_GB2312"/>
          <w:sz w:val="32"/>
          <w:szCs w:val="32"/>
        </w:rPr>
        <w:t>。</w:t>
      </w:r>
    </w:p>
    <w:p>
      <w:pPr>
        <w:ind w:firstLine="640" w:firstLineChars="200"/>
        <w:rPr>
          <w:rFonts w:hint="eastAsia" w:ascii="仿宋_GB2312" w:hAnsi="ˎ̥" w:eastAsia="仿宋_GB2312"/>
          <w:b w:val="0"/>
          <w:bCs/>
          <w:color w:val="000000" w:themeColor="text1"/>
          <w:sz w:val="32"/>
          <w:szCs w:val="32"/>
          <w:lang w:val="en-US" w:eastAsia="zh-CN"/>
          <w14:textFill>
            <w14:solidFill>
              <w14:schemeClr w14:val="tx1"/>
            </w14:solidFill>
          </w14:textFill>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比预算数减少0.81万元，下降14.24%。主要原因是</w:t>
      </w:r>
      <w:r>
        <w:rPr>
          <w:rFonts w:hint="eastAsia" w:ascii="仿宋_GB2312" w:hAnsi="ˎ̥" w:eastAsia="仿宋_GB2312"/>
          <w:sz w:val="32"/>
          <w:szCs w:val="32"/>
        </w:rPr>
        <w:t>厉行节约</w:t>
      </w:r>
      <w:r>
        <w:rPr>
          <w:rFonts w:hint="eastAsia" w:ascii="仿宋_GB2312" w:hAnsi="ˎ̥" w:eastAsia="仿宋_GB2312"/>
          <w:sz w:val="32"/>
          <w:szCs w:val="32"/>
          <w:lang w:val="en-US" w:eastAsia="zh-CN"/>
        </w:rPr>
        <w:t>。本年决算数较上年增加0.87万元，增加21.69%，</w:t>
      </w:r>
      <w:r>
        <w:rPr>
          <w:rFonts w:hint="eastAsia" w:ascii="仿宋" w:hAnsi="仿宋" w:eastAsia="仿宋"/>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lang w:eastAsia="zh-CN"/>
          <w14:textFill>
            <w14:solidFill>
              <w14:schemeClr w14:val="tx1"/>
            </w14:solidFill>
          </w14:textFill>
        </w:rPr>
        <w:t>维修保养成本增加。</w:t>
      </w:r>
      <w:bookmarkStart w:id="119" w:name="_GoBack"/>
      <w:bookmarkEnd w:id="119"/>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b w:val="0"/>
          <w:bCs/>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w:t>
      </w:r>
      <w:r>
        <w:rPr>
          <w:rFonts w:hint="eastAsia" w:ascii="仿宋_GB2312" w:hAnsi="ˎ̥" w:eastAsia="仿宋_GB2312"/>
          <w:b/>
          <w:bCs w:val="0"/>
          <w:sz w:val="32"/>
          <w:szCs w:val="32"/>
          <w:lang w:eastAsia="zh-CN"/>
        </w:rPr>
        <w:t>待费</w:t>
      </w:r>
      <w:r>
        <w:rPr>
          <w:rFonts w:hint="eastAsia" w:ascii="仿宋_GB2312" w:hAnsi="ˎ̥" w:eastAsia="仿宋_GB2312"/>
          <w:b/>
          <w:bCs w:val="0"/>
          <w:sz w:val="32"/>
          <w:szCs w:val="32"/>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公务接待费支出决算数比预算数增加（减少）0万元，增长（下降）0%。</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根据财政预算管理要求，</w:t>
      </w:r>
      <w:r>
        <w:rPr>
          <w:rFonts w:hint="eastAsia" w:ascii="仿宋_GB2312" w:eastAsia="仿宋_GB2312"/>
          <w:sz w:val="32"/>
          <w:szCs w:val="32"/>
        </w:rPr>
        <w:t>我单位组织对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w:t>
      </w:r>
      <w:r>
        <w:rPr>
          <w:rFonts w:hint="eastAsia" w:ascii="仿宋_GB2312" w:eastAsia="仿宋_GB2312"/>
          <w:color w:val="000000" w:themeColor="text1"/>
          <w:sz w:val="32"/>
          <w:szCs w:val="32"/>
          <w14:textFill>
            <w14:solidFill>
              <w14:schemeClr w14:val="tx1"/>
            </w14:solidFill>
          </w14:textFill>
        </w:rPr>
        <w:t>一般公共预算项目</w:t>
      </w:r>
      <w:r>
        <w:rPr>
          <w:rFonts w:hint="eastAsia" w:ascii="仿宋_GB2312" w:eastAsia="仿宋_GB2312"/>
          <w:sz w:val="32"/>
          <w:szCs w:val="32"/>
        </w:rPr>
        <w:t>支出全面开展绩效自评。自评项目</w:t>
      </w:r>
      <w:r>
        <w:rPr>
          <w:rFonts w:hint="eastAsia" w:ascii="仿宋_GB2312" w:eastAsia="仿宋_GB2312"/>
          <w:sz w:val="32"/>
          <w:szCs w:val="32"/>
          <w:lang w:val="en-US" w:eastAsia="zh-CN"/>
        </w:rPr>
        <w:t>6</w:t>
      </w:r>
      <w:r>
        <w:rPr>
          <w:rFonts w:hint="eastAsia" w:ascii="仿宋_GB2312" w:eastAsia="仿宋_GB2312"/>
          <w:sz w:val="32"/>
          <w:szCs w:val="32"/>
        </w:rPr>
        <w:t>个，共涉及资金</w:t>
      </w:r>
      <w:r>
        <w:rPr>
          <w:rFonts w:hint="eastAsia" w:ascii="仿宋_GB2312" w:eastAsia="仿宋_GB2312"/>
          <w:sz w:val="32"/>
          <w:szCs w:val="32"/>
          <w:lang w:val="en-US" w:eastAsia="zh-CN"/>
        </w:rPr>
        <w:t>809.6</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我单位202</w:t>
      </w:r>
      <w:r>
        <w:rPr>
          <w:rFonts w:hint="eastAsia" w:ascii="仿宋_GB2312" w:eastAsia="仿宋_GB2312"/>
          <w:sz w:val="32"/>
          <w:szCs w:val="32"/>
          <w:lang w:val="en-US" w:eastAsia="zh-CN"/>
        </w:rPr>
        <w:t>1</w:t>
      </w:r>
      <w:r>
        <w:rPr>
          <w:rFonts w:hint="eastAsia" w:ascii="仿宋_GB2312" w:eastAsia="仿宋_GB2312"/>
          <w:sz w:val="32"/>
          <w:szCs w:val="32"/>
        </w:rPr>
        <w:t>年度未组织项目部门评价。</w:t>
      </w:r>
    </w:p>
    <w:p>
      <w:pPr>
        <w:ind w:firstLine="640" w:firstLineChars="200"/>
        <w:rPr>
          <w:rFonts w:hint="eastAsia" w:ascii="仿宋_GB2312" w:eastAsia="仿宋_GB2312"/>
          <w:sz w:val="32"/>
          <w:szCs w:val="32"/>
        </w:rPr>
      </w:pPr>
      <w:r>
        <w:rPr>
          <w:rFonts w:hint="eastAsia" w:ascii="仿宋_GB2312" w:eastAsia="仿宋_GB2312"/>
          <w:sz w:val="32"/>
          <w:szCs w:val="32"/>
        </w:rPr>
        <w:t>我单位202</w:t>
      </w:r>
      <w:r>
        <w:rPr>
          <w:rFonts w:hint="eastAsia" w:ascii="仿宋_GB2312" w:eastAsia="仿宋_GB2312"/>
          <w:sz w:val="32"/>
          <w:szCs w:val="32"/>
          <w:lang w:val="en-US" w:eastAsia="zh-CN"/>
        </w:rPr>
        <w:t>1</w:t>
      </w:r>
      <w:r>
        <w:rPr>
          <w:rFonts w:hint="eastAsia" w:ascii="仿宋_GB2312" w:eastAsia="仿宋_GB2312"/>
          <w:sz w:val="32"/>
          <w:szCs w:val="32"/>
        </w:rPr>
        <w:t>年度未开展整体支出绩效评价工作。原因为我单位未列入开展202</w:t>
      </w:r>
      <w:r>
        <w:rPr>
          <w:rFonts w:hint="eastAsia" w:ascii="仿宋_GB2312" w:eastAsia="仿宋_GB2312"/>
          <w:sz w:val="32"/>
          <w:szCs w:val="32"/>
          <w:lang w:val="en-US" w:eastAsia="zh-CN"/>
        </w:rPr>
        <w:t>1</w:t>
      </w:r>
      <w:r>
        <w:rPr>
          <w:rFonts w:hint="eastAsia" w:ascii="仿宋_GB2312" w:eastAsia="仿宋_GB2312"/>
          <w:sz w:val="32"/>
          <w:szCs w:val="32"/>
        </w:rPr>
        <w:t>年整体支出绩效评价单位。</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spacing w:line="578" w:lineRule="exact"/>
        <w:ind w:firstLine="643" w:firstLineChars="200"/>
        <w:rPr>
          <w:rFonts w:hint="eastAsia" w:ascii="楷体" w:hAnsi="楷体" w:eastAsia="楷体" w:cs="楷体"/>
          <w:b/>
          <w:bCs w:val="0"/>
          <w:color w:val="000000" w:themeColor="text1"/>
          <w:sz w:val="32"/>
          <w:szCs w:val="32"/>
          <w:lang w:val="en-US" w:eastAsia="zh-CN"/>
          <w14:textFill>
            <w14:solidFill>
              <w14:schemeClr w14:val="tx1"/>
            </w14:solidFill>
          </w14:textFill>
        </w:rPr>
      </w:pPr>
      <w:r>
        <w:rPr>
          <w:rFonts w:hint="eastAsia" w:ascii="楷体" w:hAnsi="楷体" w:eastAsia="楷体" w:cs="楷体"/>
          <w:b/>
          <w:bCs w:val="0"/>
          <w:color w:val="000000" w:themeColor="text1"/>
          <w:sz w:val="32"/>
          <w:szCs w:val="32"/>
          <w:lang w:eastAsia="zh-CN"/>
          <w14:textFill>
            <w14:solidFill>
              <w14:schemeClr w14:val="tx1"/>
            </w14:solidFill>
          </w14:textFill>
        </w:rPr>
        <w:t>（二）</w:t>
      </w:r>
      <w:r>
        <w:rPr>
          <w:rFonts w:hint="eastAsia" w:ascii="楷体" w:hAnsi="楷体" w:eastAsia="楷体" w:cs="楷体"/>
          <w:b/>
          <w:bCs w:val="0"/>
          <w:color w:val="000000" w:themeColor="text1"/>
          <w:sz w:val="32"/>
          <w:szCs w:val="32"/>
          <w14:textFill>
            <w14:solidFill>
              <w14:schemeClr w14:val="tx1"/>
            </w14:solidFill>
          </w14:textFill>
        </w:rPr>
        <w:t>部门决算中项目绩效自评结果</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无</w:t>
      </w:r>
    </w:p>
    <w:p>
      <w:pPr>
        <w:numPr>
          <w:ilvl w:val="0"/>
          <w:numId w:val="4"/>
        </w:num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p>
    <w:p>
      <w:pPr>
        <w:numPr>
          <w:ilvl w:val="0"/>
          <w:numId w:val="0"/>
        </w:numPr>
        <w:spacing w:line="578" w:lineRule="exact"/>
        <w:rPr>
          <w:rFonts w:hint="default"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      无</w:t>
      </w:r>
    </w:p>
    <w:p>
      <w:pPr>
        <w:numPr>
          <w:ilvl w:val="0"/>
          <w:numId w:val="4"/>
        </w:numPr>
        <w:spacing w:line="578" w:lineRule="exact"/>
        <w:ind w:left="0" w:leftChars="0" w:firstLine="643" w:firstLineChars="200"/>
        <w:rPr>
          <w:rFonts w:hint="eastAsia" w:ascii="楷体" w:hAnsi="楷体" w:eastAsia="楷体" w:cs="楷体"/>
          <w:b/>
          <w:color w:val="auto"/>
          <w:sz w:val="32"/>
          <w:szCs w:val="32"/>
          <w:u w:val="none"/>
        </w:rPr>
      </w:pP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numPr>
          <w:ilvl w:val="0"/>
          <w:numId w:val="0"/>
        </w:numPr>
        <w:spacing w:line="578" w:lineRule="exact"/>
        <w:ind w:leftChars="200"/>
        <w:rPr>
          <w:rFonts w:hint="default" w:ascii="楷体" w:hAnsi="楷体" w:eastAsia="楷体" w:cs="楷体"/>
          <w:b/>
          <w:color w:val="auto"/>
          <w:sz w:val="32"/>
          <w:szCs w:val="32"/>
          <w:u w:val="none"/>
          <w:lang w:val="en-US" w:eastAsia="zh-CN"/>
        </w:rPr>
      </w:pPr>
      <w:r>
        <w:rPr>
          <w:rFonts w:hint="eastAsia" w:ascii="楷体" w:hAnsi="楷体" w:eastAsia="楷体" w:cs="楷体"/>
          <w:b/>
          <w:color w:val="auto"/>
          <w:sz w:val="32"/>
          <w:szCs w:val="32"/>
          <w:u w:val="none"/>
          <w:lang w:val="en-US" w:eastAsia="zh-CN"/>
        </w:rPr>
        <w:t xml:space="preserve">   </w:t>
      </w:r>
      <w:r>
        <w:rPr>
          <w:rFonts w:hint="eastAsia" w:ascii="楷体" w:hAnsi="楷体" w:eastAsia="楷体" w:cs="楷体"/>
          <w:b/>
          <w:bCs w:val="0"/>
          <w:sz w:val="32"/>
          <w:szCs w:val="32"/>
          <w:lang w:val="en-US" w:eastAsia="zh-CN"/>
        </w:rPr>
        <w:t>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5" w:name="_Toc5978_WPSOffice_Level2"/>
      <w:bookmarkStart w:id="96" w:name="_Toc18325_WPSOffice_Level2"/>
      <w:bookmarkStart w:id="97" w:name="_Toc23598_WPSOffice_Level2"/>
      <w:bookmarkStart w:id="98" w:name="_Toc15262_WPSOffice_Level2"/>
      <w:bookmarkStart w:id="99" w:name="_Toc32639_WPSOffice_Level2"/>
      <w:bookmarkStart w:id="100" w:name="_Toc1556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年度琼海市地方公路管理站</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0</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万元，增长（降低）</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1" w:name="_Toc23966_WPSOffice_Level2"/>
      <w:bookmarkStart w:id="102" w:name="_Toc30383_WPSOffice_Level2"/>
      <w:bookmarkStart w:id="103" w:name="_Toc25333_WPSOffice_Level2"/>
      <w:bookmarkStart w:id="104" w:name="_Toc32689_WPSOffice_Level2"/>
      <w:bookmarkStart w:id="105" w:name="_Toc3131_WPSOffice_Level2"/>
      <w:bookmarkStart w:id="106" w:name="_Toc13084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年度琼海市地方公路管理站</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125.5</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125.5</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7" w:name="_Toc527_WPSOffice_Level2"/>
      <w:bookmarkStart w:id="108" w:name="_Toc6016_WPSOffice_Level2"/>
      <w:bookmarkStart w:id="109" w:name="_Toc15129_WPSOffice_Level2"/>
      <w:bookmarkStart w:id="110" w:name="_Toc19989_WPSOffice_Level2"/>
      <w:bookmarkStart w:id="111" w:name="_Toc10902_WPSOffice_Level2"/>
      <w:bookmarkStart w:id="112" w:name="_Toc29584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本单位占用房屋面积1620平方米，其中：办公用房900平方米，业务用房720平方米，其他（不含构筑物）0平方米。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w:t>
      </w:r>
      <w:r>
        <w:rPr>
          <w:rFonts w:hint="eastAsia" w:ascii="仿宋_GB2312" w:hAnsi="ˎ̥" w:eastAsia="仿宋_GB2312"/>
          <w:sz w:val="32"/>
          <w:szCs w:val="32"/>
          <w:lang w:eastAsia="zh-CN"/>
        </w:rPr>
        <w:t>单位</w:t>
      </w:r>
      <w:r>
        <w:rPr>
          <w:rFonts w:hint="eastAsia" w:ascii="仿宋_GB2312" w:hAnsi="ˎ̥" w:eastAsia="仿宋_GB2312"/>
          <w:sz w:val="32"/>
          <w:szCs w:val="32"/>
        </w:rPr>
        <w:t>共有车辆</w:t>
      </w:r>
      <w:r>
        <w:rPr>
          <w:rFonts w:hint="eastAsia" w:ascii="仿宋_GB2312" w:hAnsi="ˎ̥" w:eastAsia="仿宋_GB2312"/>
          <w:sz w:val="32"/>
          <w:szCs w:val="32"/>
          <w:lang w:val="en-US" w:eastAsia="zh-CN"/>
        </w:rPr>
        <w:t>4</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轿车0</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4</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0辆；</w:t>
      </w:r>
      <w:r>
        <w:rPr>
          <w:rFonts w:hint="eastAsia" w:ascii="仿宋_GB2312" w:hAnsi="ˎ̥" w:eastAsia="仿宋_GB2312"/>
          <w:sz w:val="32"/>
          <w:szCs w:val="32"/>
          <w:lang w:eastAsia="zh-CN"/>
        </w:rPr>
        <w:t>从车辆使用情况说明：副部（省）级及以上领导用车</w:t>
      </w:r>
      <w:r>
        <w:rPr>
          <w:rFonts w:hint="eastAsia" w:ascii="仿宋_GB2312" w:hAnsi="ˎ̥" w:eastAsia="仿宋_GB2312"/>
          <w:sz w:val="32"/>
          <w:szCs w:val="32"/>
          <w:lang w:val="en-US" w:eastAsia="zh-CN"/>
        </w:rPr>
        <w:t>0辆、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4</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3" w:name="_Toc4398_WPSOffice_Level1"/>
      <w:bookmarkStart w:id="114" w:name="_Toc8808_WPSOffice_Level1"/>
      <w:bookmarkStart w:id="115" w:name="_Toc8874_WPSOffice_Level1"/>
      <w:bookmarkStart w:id="116" w:name="_Toc15425_WPSOffice_Level1"/>
      <w:bookmarkStart w:id="117" w:name="_Toc11039_WPSOffice_Level1"/>
      <w:bookmarkStart w:id="118" w:name="_Toc17580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numPr>
          <w:ilvl w:val="0"/>
          <w:numId w:val="5"/>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4C2E1"/>
    <w:multiLevelType w:val="singleLevel"/>
    <w:tmpl w:val="8174C2E1"/>
    <w:lvl w:ilvl="0" w:tentative="0">
      <w:start w:val="1"/>
      <w:numFmt w:val="chineseCounting"/>
      <w:suff w:val="nothing"/>
      <w:lvlText w:val="%1、"/>
      <w:lvlJc w:val="left"/>
      <w:rPr>
        <w:rFonts w:hint="eastAsia"/>
      </w:r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2FCC7F97"/>
    <w:multiLevelType w:val="singleLevel"/>
    <w:tmpl w:val="2FCC7F97"/>
    <w:lvl w:ilvl="0" w:tentative="0">
      <w:start w:val="3"/>
      <w:numFmt w:val="chineseCounting"/>
      <w:suff w:val="nothing"/>
      <w:lvlText w:val="（%1）"/>
      <w:lvlJc w:val="left"/>
      <w:rPr>
        <w:rFonts w:hint="eastAsia"/>
      </w:rPr>
    </w:lvl>
  </w:abstractNum>
  <w:abstractNum w:abstractNumId="3">
    <w:nsid w:val="54B0B878"/>
    <w:multiLevelType w:val="singleLevel"/>
    <w:tmpl w:val="54B0B878"/>
    <w:lvl w:ilvl="0" w:tentative="0">
      <w:start w:val="4"/>
      <w:numFmt w:val="decimal"/>
      <w:suff w:val="space"/>
      <w:lvlText w:val="%1."/>
      <w:lvlJc w:val="left"/>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58DB"/>
    <w:rsid w:val="028C69F6"/>
    <w:rsid w:val="030D3C4E"/>
    <w:rsid w:val="043F625F"/>
    <w:rsid w:val="073065C7"/>
    <w:rsid w:val="07693EE1"/>
    <w:rsid w:val="088F24BB"/>
    <w:rsid w:val="08F60912"/>
    <w:rsid w:val="0A1706EC"/>
    <w:rsid w:val="0AE442A8"/>
    <w:rsid w:val="0B740A4F"/>
    <w:rsid w:val="0BBA6D8F"/>
    <w:rsid w:val="0CDC56C6"/>
    <w:rsid w:val="0D874CDD"/>
    <w:rsid w:val="0F4C083B"/>
    <w:rsid w:val="1085447D"/>
    <w:rsid w:val="12C17F6A"/>
    <w:rsid w:val="130D72B6"/>
    <w:rsid w:val="14663B55"/>
    <w:rsid w:val="18206193"/>
    <w:rsid w:val="18206EB5"/>
    <w:rsid w:val="18495619"/>
    <w:rsid w:val="1A0C066F"/>
    <w:rsid w:val="1A6B4AC3"/>
    <w:rsid w:val="1A7B7287"/>
    <w:rsid w:val="1BF01C78"/>
    <w:rsid w:val="1D1E23E9"/>
    <w:rsid w:val="1D334CBE"/>
    <w:rsid w:val="2066271B"/>
    <w:rsid w:val="218151B6"/>
    <w:rsid w:val="21E77254"/>
    <w:rsid w:val="21F864E7"/>
    <w:rsid w:val="221958DB"/>
    <w:rsid w:val="22465951"/>
    <w:rsid w:val="22936D36"/>
    <w:rsid w:val="23AA0618"/>
    <w:rsid w:val="242B4096"/>
    <w:rsid w:val="24C73788"/>
    <w:rsid w:val="24D755E0"/>
    <w:rsid w:val="27447E13"/>
    <w:rsid w:val="29832A7A"/>
    <w:rsid w:val="2A1E4475"/>
    <w:rsid w:val="2EF752B3"/>
    <w:rsid w:val="2F772993"/>
    <w:rsid w:val="2FC00002"/>
    <w:rsid w:val="2FFA396C"/>
    <w:rsid w:val="31153BFB"/>
    <w:rsid w:val="31166BC7"/>
    <w:rsid w:val="32677CE5"/>
    <w:rsid w:val="36436084"/>
    <w:rsid w:val="36DA10CF"/>
    <w:rsid w:val="370B5A66"/>
    <w:rsid w:val="37DF29A5"/>
    <w:rsid w:val="394A0838"/>
    <w:rsid w:val="3A625CC1"/>
    <w:rsid w:val="3ADC0044"/>
    <w:rsid w:val="3C0F568F"/>
    <w:rsid w:val="41934CEF"/>
    <w:rsid w:val="439505B6"/>
    <w:rsid w:val="44317B42"/>
    <w:rsid w:val="45D16D1D"/>
    <w:rsid w:val="47445A23"/>
    <w:rsid w:val="490F78AB"/>
    <w:rsid w:val="497671F0"/>
    <w:rsid w:val="4C157835"/>
    <w:rsid w:val="4C5F3890"/>
    <w:rsid w:val="4E1B6A08"/>
    <w:rsid w:val="4F590A25"/>
    <w:rsid w:val="50E06B70"/>
    <w:rsid w:val="51E445C9"/>
    <w:rsid w:val="52013D0F"/>
    <w:rsid w:val="5328383E"/>
    <w:rsid w:val="53355B56"/>
    <w:rsid w:val="53BF5BAC"/>
    <w:rsid w:val="53E622BF"/>
    <w:rsid w:val="53E91155"/>
    <w:rsid w:val="546F5BCA"/>
    <w:rsid w:val="54CA14CC"/>
    <w:rsid w:val="54E27031"/>
    <w:rsid w:val="557113AE"/>
    <w:rsid w:val="588B222C"/>
    <w:rsid w:val="588C27F6"/>
    <w:rsid w:val="58E064D5"/>
    <w:rsid w:val="5AA006B2"/>
    <w:rsid w:val="5AA076B1"/>
    <w:rsid w:val="5C836D86"/>
    <w:rsid w:val="5D614A42"/>
    <w:rsid w:val="5E7C758E"/>
    <w:rsid w:val="61EB56A5"/>
    <w:rsid w:val="657E1755"/>
    <w:rsid w:val="674D6D12"/>
    <w:rsid w:val="68404668"/>
    <w:rsid w:val="69024D51"/>
    <w:rsid w:val="69E459FF"/>
    <w:rsid w:val="6C78346D"/>
    <w:rsid w:val="6DC241EC"/>
    <w:rsid w:val="6E2B24CE"/>
    <w:rsid w:val="6FE24B09"/>
    <w:rsid w:val="70017E8E"/>
    <w:rsid w:val="7009541B"/>
    <w:rsid w:val="7064441C"/>
    <w:rsid w:val="707B2D2F"/>
    <w:rsid w:val="712F38E7"/>
    <w:rsid w:val="725E08A6"/>
    <w:rsid w:val="730A0609"/>
    <w:rsid w:val="746776E9"/>
    <w:rsid w:val="755F1411"/>
    <w:rsid w:val="76070D22"/>
    <w:rsid w:val="76F86ACA"/>
    <w:rsid w:val="79D73278"/>
    <w:rsid w:val="7BE87BC4"/>
    <w:rsid w:val="7CD83E6C"/>
    <w:rsid w:val="7D99716C"/>
    <w:rsid w:val="7DC83F4D"/>
    <w:rsid w:val="7E0656BE"/>
    <w:rsid w:val="7EDB2029"/>
    <w:rsid w:val="7FD32B4B"/>
    <w:rsid w:val="7FE06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 w:type="paragraph" w:customStyle="1" w:styleId="8">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琼海市（嘉积镇） </Company>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2022-10-12T09:09:00Z</dcterms:created>
  <dc:creator>GK</dc:creator>
  <cp:lastModifiedBy>百合花开</cp:lastModifiedBy>
  <dcterms:modified xsi:type="dcterms:W3CDTF">2023-09-15T08:09:14Z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B2DDEA88385D40508045759954B0100C</vt:lpwstr>
  </property>
</Properties>
</file>