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bookmarkStart w:id="0" w:name="_GoBack"/>
      <w:r>
        <w:rPr>
          <w:rFonts w:hint="eastAsia"/>
          <w:sz w:val="52"/>
          <w:szCs w:val="52"/>
          <w:lang w:val="en-US" w:eastAsia="zh-CN"/>
        </w:rPr>
        <w:t>2021</w:t>
      </w:r>
      <w:r>
        <w:rPr>
          <w:rFonts w:hint="eastAsia"/>
          <w:sz w:val="52"/>
          <w:szCs w:val="52"/>
        </w:rPr>
        <w:t>年</w:t>
      </w:r>
      <w:r>
        <w:rPr>
          <w:rFonts w:hint="eastAsia"/>
          <w:sz w:val="52"/>
          <w:szCs w:val="52"/>
          <w:lang w:val="en-US" w:eastAsia="zh-CN"/>
        </w:rPr>
        <w:t>琼海市医疗保障局</w:t>
      </w:r>
      <w:r>
        <w:rPr>
          <w:rFonts w:hint="eastAsia"/>
          <w:sz w:val="52"/>
          <w:szCs w:val="52"/>
        </w:rPr>
        <w:t>预算</w:t>
      </w:r>
    </w:p>
    <w:bookmarkEnd w:id="0"/>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rPr>
        <w:t>概况</w:t>
      </w:r>
      <w:r>
        <w:rPr>
          <w:rFonts w:hint="eastAsia" w:ascii="黑体" w:hAnsi="黑体" w:eastAsia="黑体"/>
          <w:sz w:val="32"/>
          <w:szCs w:val="32"/>
          <w:lang w:val="en-US" w:eastAsia="zh-CN"/>
        </w:rPr>
        <w:t xml:space="preserve">   </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（一）</w:t>
      </w:r>
      <w:r>
        <w:rPr>
          <w:rFonts w:hint="eastAsia" w:ascii="仿宋" w:hAnsi="仿宋" w:eastAsia="仿宋" w:cs="仿宋"/>
          <w:sz w:val="31"/>
          <w:szCs w:val="31"/>
          <w:shd w:val="clear" w:fill="FFFFFF"/>
        </w:rPr>
        <w:t>贯彻落实党中央和国家、省委省政府有关医疗保障工作的方针政策、法律法规、规章制度和发展战略，执行市委市政府决策部署和海南自由贸易试验区（自由贸易港）政策措施。</w:t>
      </w:r>
    </w:p>
    <w:p>
      <w:pPr>
        <w:pStyle w:val="2"/>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（二）</w:t>
      </w:r>
      <w:r>
        <w:rPr>
          <w:rFonts w:hint="eastAsia" w:ascii="仿宋" w:hAnsi="仿宋" w:eastAsia="仿宋" w:cs="仿宋"/>
          <w:sz w:val="31"/>
          <w:szCs w:val="31"/>
          <w:shd w:val="clear" w:fill="FFFFFF"/>
        </w:rPr>
        <w:t>研究拟订并组织实施全市医疗保障工作政策措施、规章制度，编制全市医疗保障工作发展规划和年度计划，研究提出海南自由贸易试验区琼海（东部区域中心城市）医疗保障工作方面的意见和建议。</w:t>
      </w:r>
    </w:p>
    <w:p>
      <w:pPr>
        <w:pStyle w:val="2"/>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（三）</w:t>
      </w:r>
      <w:r>
        <w:rPr>
          <w:rFonts w:hint="eastAsia" w:ascii="仿宋" w:hAnsi="仿宋" w:eastAsia="仿宋" w:cs="仿宋"/>
          <w:sz w:val="31"/>
          <w:szCs w:val="31"/>
          <w:shd w:val="clear" w:fill="FFFFFF"/>
        </w:rPr>
        <w:t>负责组织实施医疗保障基金监督管理办法，建立健全医疗保障基金安全防控机制，推进医疗保障基金支付方式改革。</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（四）</w:t>
      </w:r>
      <w:r>
        <w:rPr>
          <w:rFonts w:hint="eastAsia" w:ascii="仿宋" w:hAnsi="仿宋" w:eastAsia="仿宋" w:cs="仿宋"/>
          <w:sz w:val="31"/>
          <w:szCs w:val="31"/>
          <w:shd w:val="clear" w:fill="FFFFFF"/>
        </w:rPr>
        <w:t>组织实施全市医疗保障筹资和待遇政策，完善动态调整和区域调剂平衡机制。落实长期护理保险制度改革方案。负责全市城乡医疗救助工作。</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（五）</w:t>
      </w:r>
      <w:r>
        <w:rPr>
          <w:rFonts w:hint="eastAsia" w:ascii="仿宋" w:hAnsi="仿宋" w:eastAsia="仿宋" w:cs="仿宋"/>
          <w:sz w:val="31"/>
          <w:szCs w:val="31"/>
          <w:shd w:val="clear" w:fill="FFFFFF"/>
        </w:rPr>
        <w:t>组织实施全市城乡统一的药品、医用耗材、医疗服务项目、医疗服务设施等医保目录和支付标准，建立动态调整机制。</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（六）</w:t>
      </w:r>
      <w:r>
        <w:rPr>
          <w:rFonts w:hint="eastAsia" w:ascii="仿宋" w:hAnsi="仿宋" w:eastAsia="仿宋" w:cs="仿宋"/>
          <w:sz w:val="31"/>
          <w:szCs w:val="31"/>
          <w:shd w:val="clear" w:fill="FFFFFF"/>
        </w:rPr>
        <w:t>组织实施全市药品、医用耗材价格和医疗服务项目、医疗服务设施收费等政策，落实医保支付医药服务价格合理确定和动态调整机制，推动建立市场主导的社会医药服务价格形成机制，配合建立价格信息监测和信息发布制度。</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（七）</w:t>
      </w:r>
      <w:r>
        <w:rPr>
          <w:rFonts w:hint="eastAsia" w:ascii="仿宋" w:hAnsi="仿宋" w:eastAsia="仿宋" w:cs="仿宋"/>
          <w:sz w:val="31"/>
          <w:szCs w:val="31"/>
          <w:shd w:val="clear" w:fill="FFFFFF"/>
        </w:rPr>
        <w:t>组织实施药品、医用耗材的招标采购政策，推进药品、医用耗材招标采购平台建设。</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（八）</w:t>
      </w:r>
      <w:r>
        <w:rPr>
          <w:rFonts w:hint="eastAsia" w:ascii="仿宋" w:hAnsi="仿宋" w:eastAsia="仿宋" w:cs="仿宋"/>
          <w:sz w:val="31"/>
          <w:szCs w:val="31"/>
          <w:shd w:val="clear" w:fill="FFFFFF"/>
        </w:rPr>
        <w:t>组织实施制定全市定点医药机构协议和支付管理办法。建立健全医疗保障信用评价体系和信息披露制度，监督管理纳入医保范围内的医疗服务行为和医疗费用，依法查处全市医疗保障领域违法违规行为。</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（九）</w:t>
      </w:r>
      <w:r>
        <w:rPr>
          <w:rFonts w:hint="eastAsia" w:ascii="仿宋" w:hAnsi="仿宋" w:eastAsia="仿宋" w:cs="仿宋"/>
          <w:sz w:val="31"/>
          <w:szCs w:val="31"/>
          <w:shd w:val="clear" w:fill="FFFFFF"/>
        </w:rPr>
        <w:t>落实异地就医管理和费用结算政策和医疗保障关系转移接续制度。建立与海南自由贸易试验区琼海（东部区域中心城市）建设相适应的人才医疗保障机制。参与医疗保障领域对外交流合作。</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（十）</w:t>
      </w:r>
      <w:r>
        <w:rPr>
          <w:rFonts w:hint="eastAsia" w:ascii="仿宋" w:hAnsi="仿宋" w:eastAsia="仿宋" w:cs="仿宋"/>
          <w:sz w:val="31"/>
          <w:szCs w:val="31"/>
          <w:shd w:val="clear" w:fill="FFFFFF"/>
        </w:rPr>
        <w:t>完成市委、市政府和上级部门交办的其他工作。</w:t>
      </w:r>
    </w:p>
    <w:p>
      <w:pPr>
        <w:pStyle w:val="2"/>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（十一）</w:t>
      </w:r>
      <w:r>
        <w:rPr>
          <w:rFonts w:hint="eastAsia" w:ascii="仿宋" w:hAnsi="仿宋" w:eastAsia="仿宋" w:cs="仿宋"/>
          <w:sz w:val="31"/>
          <w:szCs w:val="31"/>
          <w:shd w:val="clear" w:fill="FFFFFF"/>
        </w:rPr>
        <w:t>职责分工：与市卫生健康委员会、市药品监督管理局的有关职责分工。市卫生健康委员会、市医疗保障局、市药品监督管理局等部门在医疗、医保、医药等方面加强制度、政策衔接，建立沟通协商机制，协同推进“三医联动”改革和医联体创新发展，提高医疗资源使用效率和医疗保障水平。</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纳入琼海市医疗保障局20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lang w:eastAsia="zh-CN"/>
        </w:rPr>
        <w:t>年部门预算编制范围的预算单位包括：琼海市医疗保障局本级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琼海市医疗保障局20</w:t>
      </w:r>
      <w:r>
        <w:rPr>
          <w:rFonts w:hint="eastAsia" w:ascii="仿宋_GB2312" w:hAnsi="黑体" w:eastAsia="仿宋_GB2312" w:cs="仿宋_GB2312"/>
          <w:sz w:val="32"/>
          <w:szCs w:val="32"/>
          <w:lang w:val="en-US" w:eastAsia="zh-CN"/>
        </w:rPr>
        <w:t>21年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470.29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农林水</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万元、住房保障支出11.</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琼海市医疗保障局20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327.81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2021年财政拨款来源全部是一般公共预算，不再包含</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2.71</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470.29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93.05</w:t>
      </w:r>
      <w:r>
        <w:rPr>
          <w:rFonts w:hint="eastAsia" w:ascii="仿宋_GB2312" w:hAnsi="黑体" w:eastAsia="仿宋_GB2312"/>
          <w:sz w:val="32"/>
          <w:szCs w:val="32"/>
        </w:rPr>
        <w:t>%；</w:t>
      </w:r>
      <w:r>
        <w:rPr>
          <w:rFonts w:hint="eastAsia" w:ascii="仿宋_GB2312" w:hAnsi="黑体" w:eastAsia="仿宋_GB2312"/>
          <w:sz w:val="32"/>
          <w:szCs w:val="32"/>
          <w:lang w:val="en-US" w:eastAsia="zh-CN"/>
        </w:rPr>
        <w:t>农林水</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rPr>
        <w:t>%；住房保障支出11.</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2.27</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人员缴费基数变化</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人员缴费基数变化</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仿宋_GB2312" w:eastAsia="仿宋_GB2312" w:cs="仿宋_GB2312"/>
          <w:sz w:val="32"/>
          <w:szCs w:val="32"/>
        </w:rPr>
        <w:t>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人员缴费基数变化。</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行政运行</w:t>
      </w:r>
      <w:r>
        <w:rPr>
          <w:rFonts w:hint="eastAsia" w:ascii="仿宋_GB2312" w:hAnsi="仿宋_GB2312"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人员缴费基数变化导致基本支出增加。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医疗保障政策管理</w:t>
      </w:r>
      <w:r>
        <w:rPr>
          <w:rFonts w:hint="eastAsia" w:ascii="仿宋_GB2312" w:hAnsi="仿宋_GB2312"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328.95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298.95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预算支出来源变化，不再包含</w:t>
      </w:r>
      <w:r>
        <w:rPr>
          <w:rFonts w:hint="eastAsia" w:ascii="仿宋_GB2312" w:hAnsi="黑体" w:eastAsia="仿宋_GB2312"/>
          <w:sz w:val="32"/>
          <w:szCs w:val="32"/>
        </w:rPr>
        <w:t>政府性基金预算</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其他医疗保障管理事务支出</w:t>
      </w:r>
      <w:r>
        <w:rPr>
          <w:rFonts w:hint="eastAsia" w:ascii="仿宋_GB2312" w:hAnsi="仿宋_GB2312"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13.05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医疗保障工作任务增加。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扶贫</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其他扶贫支出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增加扶贫工作任务。</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2021年预算数为11.48万元，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人员缴费基数变化。</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137.86</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机关事业单位基本养老保险缴费、城镇职工基本医疗保险缴费、公务员医疗补助缴费、其他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8.81</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w:t>
      </w:r>
      <w:r>
        <w:rPr>
          <w:rFonts w:hint="eastAsia" w:ascii="仿宋_GB2312" w:hAnsi="黑体" w:eastAsia="仿宋_GB2312"/>
          <w:sz w:val="32"/>
          <w:szCs w:val="32"/>
        </w:rPr>
        <w:t>水费、电费、</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物业管理费、</w:t>
      </w:r>
      <w:r>
        <w:rPr>
          <w:rFonts w:hint="eastAsia" w:ascii="仿宋_GB2312" w:hAnsi="仿宋_GB2312" w:eastAsia="仿宋_GB2312" w:cs="仿宋_GB2312"/>
          <w:sz w:val="32"/>
          <w:szCs w:val="32"/>
        </w:rPr>
        <w:t>差旅费、维修（护）费、会议费、培训费、工会</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val="en-US" w:eastAsia="zh-CN"/>
        </w:rPr>
        <w:t>公务用车运行维护费、</w:t>
      </w:r>
      <w:r>
        <w:rPr>
          <w:rFonts w:hint="eastAsia" w:ascii="仿宋_GB2312" w:hAnsi="仿宋_GB2312" w:eastAsia="仿宋_GB2312" w:cs="仿宋_GB2312"/>
          <w:sz w:val="32"/>
          <w:szCs w:val="32"/>
          <w:lang w:eastAsia="zh-CN"/>
        </w:rPr>
        <w:t>其他交通费用等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4.31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计划购置公务用车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widowControl w:val="0"/>
        <w:wordWrap/>
        <w:adjustRightInd/>
        <w:snapToGrid/>
        <w:spacing w:before="0" w:after="0" w:line="572"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295.3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预算项目本年度未安排政府性基金预算</w:t>
      </w:r>
      <w:r>
        <w:rPr>
          <w:rFonts w:hint="eastAsia" w:ascii="仿宋_GB2312" w:hAnsi="黑体" w:eastAsia="仿宋_GB2312"/>
          <w:sz w:val="32"/>
          <w:szCs w:val="32"/>
        </w:rPr>
        <w:t>。</w:t>
      </w:r>
    </w:p>
    <w:p>
      <w:pPr>
        <w:widowControl w:val="0"/>
        <w:wordWrap/>
        <w:adjustRightInd/>
        <w:snapToGrid/>
        <w:spacing w:before="0" w:after="0" w:line="572" w:lineRule="exact"/>
        <w:ind w:left="0" w:leftChars="0" w:right="0" w:firstLine="640"/>
        <w:jc w:val="both"/>
        <w:textAlignment w:val="auto"/>
        <w:outlineLvl w:val="9"/>
        <w:rPr>
          <w:rFonts w:ascii="楷体" w:hAnsi="楷体" w:eastAsia="楷体"/>
          <w:sz w:val="32"/>
          <w:szCs w:val="32"/>
        </w:rPr>
      </w:pPr>
      <w:r>
        <w:rPr>
          <w:rFonts w:hint="eastAsia" w:ascii="楷体" w:hAnsi="楷体" w:eastAsia="楷体"/>
          <w:sz w:val="32"/>
          <w:szCs w:val="32"/>
        </w:rPr>
        <w:t>（二）政府性基金预算当年拨款结构情况</w:t>
      </w:r>
    </w:p>
    <w:p>
      <w:pPr>
        <w:widowControl w:val="0"/>
        <w:wordWrap/>
        <w:adjustRightInd/>
        <w:snapToGrid/>
        <w:spacing w:before="0" w:after="0" w:line="572" w:lineRule="exact"/>
        <w:ind w:left="0" w:leftChars="0" w:right="0" w:firstLine="800" w:firstLineChars="25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无</w:t>
      </w:r>
      <w:r>
        <w:rPr>
          <w:rFonts w:hint="eastAsia" w:ascii="仿宋_GB2312" w:hAnsi="黑体" w:eastAsia="仿宋_GB2312"/>
          <w:sz w:val="32"/>
          <w:szCs w:val="32"/>
        </w:rPr>
        <w:t>。</w:t>
      </w:r>
    </w:p>
    <w:p>
      <w:pPr>
        <w:widowControl w:val="0"/>
        <w:wordWrap/>
        <w:adjustRightInd/>
        <w:snapToGrid/>
        <w:spacing w:before="0" w:after="0" w:line="572" w:lineRule="exact"/>
        <w:ind w:left="0" w:leftChars="0" w:right="0" w:firstLine="640"/>
        <w:jc w:val="both"/>
        <w:textAlignment w:val="auto"/>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widowControl w:val="0"/>
        <w:wordWrap/>
        <w:adjustRightInd/>
        <w:snapToGrid/>
        <w:spacing w:before="0" w:after="0" w:line="572" w:lineRule="exact"/>
        <w:ind w:left="0" w:leftChars="0" w:right="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 xml:space="preserve"> 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rPr>
        <w:t>所有收入和支出均纳入部门预算管理。收入包括：</w:t>
      </w:r>
      <w:r>
        <w:rPr>
          <w:rFonts w:hint="eastAsia" w:ascii="仿宋_GB2312" w:hAnsi="黑体" w:eastAsia="仿宋_GB2312"/>
          <w:sz w:val="32"/>
          <w:szCs w:val="32"/>
        </w:rPr>
        <w:t>社会保障和就业支出、卫生健康支出、</w:t>
      </w:r>
      <w:r>
        <w:rPr>
          <w:rFonts w:hint="eastAsia" w:ascii="仿宋_GB2312" w:hAnsi="黑体" w:eastAsia="仿宋_GB2312"/>
          <w:sz w:val="32"/>
          <w:szCs w:val="32"/>
          <w:lang w:val="en-US" w:eastAsia="zh-CN"/>
        </w:rPr>
        <w:t>农林水支出</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医疗保障任务增加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琼海市医疗保障局20</w:t>
      </w:r>
      <w:r>
        <w:rPr>
          <w:rFonts w:hint="eastAsia" w:ascii="黑体" w:hAnsi="黑体" w:eastAsia="黑体" w:cs="黑体"/>
          <w:sz w:val="32"/>
          <w:szCs w:val="32"/>
          <w:lang w:val="en-US" w:eastAsia="zh-CN"/>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146.67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29.02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358.74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70.98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医疗保障任务增加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104.58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政府采购服务预算</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505.41</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十三、社会保障和就业支出：</w:t>
      </w:r>
      <w:r>
        <w:rPr>
          <w:rFonts w:hint="eastAsia" w:ascii="仿宋_GB2312" w:hAnsi="宋体" w:eastAsia="仿宋_GB2312" w:cs="宋体"/>
          <w:color w:val="000000"/>
          <w:kern w:val="0"/>
          <w:sz w:val="32"/>
          <w:szCs w:val="30"/>
        </w:rPr>
        <w:t>反映</w:t>
      </w:r>
      <w:r>
        <w:rPr>
          <w:rFonts w:hint="eastAsia" w:ascii="仿宋_GB2312" w:hAnsi="宋体" w:eastAsia="仿宋_GB2312" w:cs="宋体"/>
          <w:color w:val="000000"/>
          <w:kern w:val="0"/>
          <w:sz w:val="32"/>
          <w:szCs w:val="30"/>
          <w:lang w:val="en-US" w:eastAsia="zh-CN"/>
        </w:rPr>
        <w:t>反映政府在社会保障与就业方面的支出</w:t>
      </w:r>
      <w:r>
        <w:rPr>
          <w:rFonts w:hint="eastAsia" w:ascii="仿宋_GB2312" w:hAnsi="宋体" w:eastAsia="仿宋_GB2312" w:cs="宋体"/>
          <w:color w:val="000000"/>
          <w:kern w:val="0"/>
          <w:sz w:val="32"/>
          <w:szCs w:val="30"/>
        </w:rPr>
        <w:t>，包括</w:t>
      </w:r>
      <w:r>
        <w:rPr>
          <w:rFonts w:hint="eastAsia" w:ascii="仿宋_GB2312" w:hAnsi="宋体" w:eastAsia="仿宋_GB2312" w:cs="宋体"/>
          <w:color w:val="000000"/>
          <w:kern w:val="0"/>
          <w:sz w:val="32"/>
          <w:szCs w:val="30"/>
          <w:lang w:val="en-US" w:eastAsia="zh-CN"/>
        </w:rPr>
        <w:t>机关事业单位基本养老保险缴费支出。</w:t>
      </w:r>
    </w:p>
    <w:p>
      <w:pPr>
        <w:ind w:firstLine="640" w:firstLineChars="200"/>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十四、卫生健康支出：反映政府卫生健康方面的支出，包括行政单位医疗、公务员医疗补助、行政运行、医疗保障政策管理、其他医疗保障管理事务支出等。</w:t>
      </w:r>
    </w:p>
    <w:p>
      <w:pPr>
        <w:ind w:firstLine="640" w:firstLineChars="200"/>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十五、农林水支出:反映政府农林水事务支出。包括扶贫支出等。</w:t>
      </w:r>
    </w:p>
    <w:p>
      <w:pPr>
        <w:ind w:firstLine="640" w:firstLineChars="200"/>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十六、住房保障支出：集中反映政府用于住房方面的支出，包括住房公积金支出等。</w:t>
      </w: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B17E6"/>
    <w:rsid w:val="41D91034"/>
    <w:rsid w:val="4D6B17E6"/>
    <w:rsid w:val="68132D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2021-04-13T03:09:00Z</dcterms:created>
  <dc:creator>未定义</dc:creator>
  <cp:lastModifiedBy>宁</cp:lastModifiedBy>
  <dcterms:modified xsi:type="dcterms:W3CDTF">2021-07-20T01:53:18Z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1A78072299E84727A63F540F3F7E66A8</vt:lpwstr>
  </property>
</Properties>
</file>