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2024年</w:t>
      </w:r>
      <w:r>
        <w:rPr>
          <w:rFonts w:hint="eastAsia"/>
          <w:sz w:val="52"/>
          <w:szCs w:val="52"/>
        </w:rPr>
        <w:t>琼海市</w:t>
      </w:r>
    </w:p>
    <w:p>
      <w:pPr>
        <w:jc w:val="center"/>
        <w:rPr>
          <w:rFonts w:hint="eastAsia" w:eastAsia="宋体"/>
          <w:sz w:val="52"/>
          <w:szCs w:val="52"/>
          <w:lang w:eastAsia="zh-CN"/>
        </w:rPr>
      </w:pPr>
      <w:r>
        <w:rPr>
          <w:rFonts w:hint="eastAsia"/>
          <w:sz w:val="52"/>
          <w:szCs w:val="52"/>
          <w:lang w:eastAsia="zh-CN"/>
        </w:rPr>
        <w:t>阳江</w:t>
      </w:r>
      <w:r>
        <w:rPr>
          <w:rFonts w:hint="eastAsia"/>
          <w:sz w:val="52"/>
          <w:szCs w:val="52"/>
        </w:rPr>
        <w:t>镇</w:t>
      </w:r>
      <w:r>
        <w:rPr>
          <w:rFonts w:hint="eastAsia"/>
          <w:sz w:val="52"/>
          <w:szCs w:val="52"/>
          <w:lang w:eastAsia="zh-CN"/>
        </w:rPr>
        <w:t>农业服务中心单位预算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单位预算</w:t>
      </w:r>
      <w:r>
        <w:rPr>
          <w:rFonts w:hint="eastAsia" w:ascii="黑体" w:hAnsi="黑体" w:eastAsia="黑体"/>
          <w:sz w:val="32"/>
          <w:szCs w:val="32"/>
        </w:rPr>
        <w:t>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sz w:val="32"/>
          <w:szCs w:val="32"/>
          <w:lang w:eastAsia="zh-CN"/>
        </w:rPr>
        <w:t>单位预算</w:t>
      </w:r>
      <w:r>
        <w:rPr>
          <w:rFonts w:hint="eastAsia" w:ascii="黑体" w:hAnsi="黑体" w:eastAsia="黑体"/>
          <w:sz w:val="32"/>
          <w:szCs w:val="32"/>
        </w:rPr>
        <w:t>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bookmarkStart w:id="0" w:name="_GoBack"/>
      <w:bookmarkEnd w:id="0"/>
      <w:r>
        <w:rPr>
          <w:rFonts w:hint="eastAsia" w:ascii="黑体" w:hAnsi="黑体" w:eastAsia="黑体"/>
          <w:sz w:val="32"/>
          <w:szCs w:val="32"/>
          <w:lang w:eastAsia="zh-CN"/>
        </w:rPr>
        <w:t>单位预算</w:t>
      </w:r>
      <w:r>
        <w:rPr>
          <w:rFonts w:hint="eastAsia" w:ascii="黑体" w:hAnsi="黑体" w:eastAsia="黑体"/>
          <w:sz w:val="32"/>
          <w:szCs w:val="32"/>
        </w:rPr>
        <w:t>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仿宋" w:hAnsi="仿宋" w:eastAsia="仿宋" w:cs="宋体"/>
          <w:color w:val="000000"/>
          <w:kern w:val="0"/>
          <w:sz w:val="32"/>
          <w:szCs w:val="30"/>
        </w:rPr>
      </w:pPr>
      <w:r>
        <w:rPr>
          <w:rFonts w:hint="eastAsia" w:ascii="黑体" w:hAnsi="黑体" w:eastAsia="黑体" w:cs="仿宋_GB2312"/>
          <w:sz w:val="32"/>
          <w:szCs w:val="32"/>
        </w:rPr>
        <w:t>主要职能</w:t>
      </w:r>
    </w:p>
    <w:p>
      <w:pPr>
        <w:pStyle w:val="4"/>
        <w:widowControl/>
        <w:shd w:val="clear" w:color="auto" w:fill="FFFFFF"/>
        <w:spacing w:line="600" w:lineRule="exact"/>
        <w:ind w:left="2" w:leftChars="1" w:firstLine="627" w:firstLineChars="196"/>
        <w:jc w:val="left"/>
        <w:rPr>
          <w:rFonts w:hint="eastAsia" w:ascii="仿宋" w:hAnsi="仿宋" w:eastAsia="仿宋" w:cs="宋体"/>
          <w:color w:val="000000"/>
          <w:kern w:val="0"/>
          <w:sz w:val="32"/>
          <w:szCs w:val="30"/>
        </w:rPr>
      </w:pPr>
      <w:r>
        <w:rPr>
          <w:rFonts w:hint="eastAsia" w:ascii="仿宋" w:hAnsi="仿宋" w:eastAsia="仿宋" w:cs="宋体"/>
          <w:color w:val="000000"/>
          <w:kern w:val="0"/>
          <w:sz w:val="32"/>
          <w:szCs w:val="30"/>
        </w:rPr>
        <w:t>为畜牧业发展提供管理保障，开展畜牧技术推广和畜牧疾病的防治，做好动物防疫监督和畜牧疫情测报工作。</w:t>
      </w:r>
    </w:p>
    <w:p>
      <w:pPr>
        <w:pStyle w:val="4"/>
        <w:widowControl/>
        <w:shd w:val="clear" w:color="auto" w:fill="FFFFFF"/>
        <w:spacing w:line="600" w:lineRule="exact"/>
        <w:ind w:left="2" w:leftChars="1" w:firstLine="630" w:firstLineChars="196"/>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林业</w:t>
      </w:r>
      <w:r>
        <w:rPr>
          <w:rFonts w:ascii="仿宋_GB2312" w:hAnsi="宋体" w:eastAsia="仿宋_GB2312" w:cs="宋体"/>
          <w:b/>
          <w:bCs/>
          <w:color w:val="000000"/>
          <w:kern w:val="0"/>
          <w:sz w:val="32"/>
          <w:szCs w:val="30"/>
        </w:rPr>
        <w:t>：</w:t>
      </w:r>
      <w:r>
        <w:rPr>
          <w:rFonts w:ascii="仿宋_GB2312" w:hAnsi="宋体" w:eastAsia="仿宋_GB2312" w:cs="宋体"/>
          <w:color w:val="000000"/>
          <w:kern w:val="0"/>
          <w:sz w:val="32"/>
          <w:szCs w:val="30"/>
        </w:rPr>
        <w:t>负责造林、护林、绿化、经济林开发等林业技术推广；林地及林业资源的保护；森林防火；退耕还林政策兑现。</w:t>
      </w:r>
    </w:p>
    <w:p>
      <w:pPr>
        <w:pStyle w:val="4"/>
        <w:widowControl/>
        <w:shd w:val="clear" w:color="auto" w:fill="FFFFFF"/>
        <w:spacing w:line="600" w:lineRule="exact"/>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水利：</w:t>
      </w:r>
      <w:r>
        <w:rPr>
          <w:rFonts w:ascii="仿宋_GB2312" w:hAnsi="宋体" w:eastAsia="仿宋_GB2312" w:cs="宋体"/>
          <w:color w:val="000000"/>
          <w:kern w:val="0"/>
          <w:sz w:val="32"/>
          <w:szCs w:val="30"/>
        </w:rPr>
        <w:t>负责农田水利新技术示范推广、技术培训、水利水保等服务工作；水利工程设施的管理。</w:t>
      </w:r>
    </w:p>
    <w:p>
      <w:pPr>
        <w:pStyle w:val="4"/>
        <w:widowControl/>
        <w:shd w:val="clear" w:color="auto" w:fill="FFFFFF"/>
        <w:spacing w:line="600" w:lineRule="exact"/>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农机：</w:t>
      </w:r>
      <w:r>
        <w:rPr>
          <w:rFonts w:ascii="仿宋_GB2312" w:hAnsi="宋体" w:eastAsia="仿宋_GB2312" w:cs="宋体"/>
          <w:color w:val="000000"/>
          <w:kern w:val="0"/>
          <w:sz w:val="32"/>
          <w:szCs w:val="30"/>
        </w:rPr>
        <w:t>负责先进农机技术及新农机试验示范推广、技术培训等服务工作；农机安全监督，检查和事故的预防，报告及处理，并组织农机进行抗灾抢险和跨区域农机作业。</w:t>
      </w:r>
    </w:p>
    <w:p>
      <w:pPr>
        <w:pStyle w:val="4"/>
        <w:widowControl/>
        <w:shd w:val="clear" w:color="auto" w:fill="FFFFFF"/>
        <w:spacing w:line="600" w:lineRule="exact"/>
        <w:ind w:left="643" w:hanging="640"/>
        <w:jc w:val="left"/>
        <w:rPr>
          <w:rFonts w:hint="eastAsia" w:ascii="仿宋_GB2312" w:hAnsi="宋体" w:eastAsia="仿宋_GB2312" w:cs="宋体"/>
          <w:color w:val="000000"/>
          <w:kern w:val="0"/>
          <w:sz w:val="32"/>
          <w:szCs w:val="30"/>
        </w:rPr>
      </w:pPr>
      <w:r>
        <w:rPr>
          <w:rFonts w:hint="eastAsia" w:ascii="仿宋_GB2312" w:hAnsi="宋体" w:eastAsia="仿宋_GB2312" w:cs="宋体"/>
          <w:b/>
          <w:bCs/>
          <w:color w:val="000000"/>
          <w:kern w:val="0"/>
          <w:sz w:val="32"/>
          <w:szCs w:val="30"/>
        </w:rPr>
        <w:t xml:space="preserve">    </w:t>
      </w:r>
      <w:r>
        <w:rPr>
          <w:rFonts w:ascii="仿宋_GB2312" w:hAnsi="宋体" w:eastAsia="仿宋_GB2312" w:cs="宋体"/>
          <w:b/>
          <w:bCs/>
          <w:color w:val="000000"/>
          <w:kern w:val="0"/>
          <w:sz w:val="32"/>
          <w:szCs w:val="30"/>
        </w:rPr>
        <w:t>水产：</w:t>
      </w:r>
      <w:r>
        <w:rPr>
          <w:rFonts w:ascii="仿宋_GB2312" w:hAnsi="宋体" w:eastAsia="仿宋_GB2312" w:cs="宋体"/>
          <w:color w:val="000000"/>
          <w:kern w:val="0"/>
          <w:sz w:val="32"/>
          <w:szCs w:val="30"/>
        </w:rPr>
        <w:t>负责水产养殖技术的推广和服务工作；</w:t>
      </w:r>
    </w:p>
    <w:p>
      <w:pPr>
        <w:pStyle w:val="4"/>
        <w:widowControl/>
        <w:shd w:val="clear" w:color="auto" w:fill="FFFFFF"/>
        <w:spacing w:line="600" w:lineRule="exact"/>
        <w:ind w:firstLine="642"/>
        <w:jc w:val="left"/>
        <w:rPr>
          <w:rFonts w:ascii="仿宋_GB2312" w:hAnsi="黑体" w:eastAsia="仿宋_GB2312" w:cs="仿宋_GB2312"/>
          <w:sz w:val="32"/>
          <w:szCs w:val="32"/>
        </w:rPr>
      </w:pPr>
      <w:r>
        <w:rPr>
          <w:rFonts w:ascii="仿宋_GB2312" w:hAnsi="宋体" w:eastAsia="仿宋_GB2312" w:cs="宋体"/>
          <w:b/>
          <w:bCs/>
          <w:color w:val="000000"/>
          <w:kern w:val="0"/>
          <w:sz w:val="32"/>
          <w:szCs w:val="30"/>
        </w:rPr>
        <w:t>农技：</w:t>
      </w:r>
      <w:r>
        <w:rPr>
          <w:rFonts w:ascii="仿宋_GB2312" w:hAnsi="宋体" w:eastAsia="仿宋_GB2312" w:cs="宋体"/>
          <w:color w:val="000000"/>
          <w:kern w:val="0"/>
          <w:sz w:val="32"/>
          <w:szCs w:val="30"/>
        </w:rPr>
        <w:t>农作物病虫害的监测，预报和组织防治，农作物苗情和农产品及农业投入品质量安全监测和预报；提供水稻、果树、蔬菜</w:t>
      </w:r>
      <w:r>
        <w:rPr>
          <w:rFonts w:hint="eastAsia" w:ascii="仿宋_GB2312" w:hAnsi="宋体" w:eastAsia="仿宋_GB2312" w:cs="宋体"/>
          <w:color w:val="000000"/>
          <w:kern w:val="0"/>
          <w:sz w:val="32"/>
          <w:szCs w:val="30"/>
          <w:lang w:eastAsia="zh-CN"/>
        </w:rPr>
        <w:t>等</w:t>
      </w:r>
      <w:r>
        <w:rPr>
          <w:rFonts w:ascii="仿宋_GB2312" w:hAnsi="宋体" w:eastAsia="仿宋_GB2312" w:cs="宋体"/>
          <w:color w:val="000000"/>
          <w:kern w:val="0"/>
          <w:sz w:val="32"/>
          <w:szCs w:val="30"/>
        </w:rPr>
        <w:t>技术培训及配套服务；农业技术推广等工作。</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单位预算</w:t>
      </w:r>
      <w:r>
        <w:rPr>
          <w:rFonts w:hint="eastAsia" w:ascii="黑体" w:hAnsi="黑体" w:eastAsia="黑体" w:cs="仿宋_GB2312"/>
          <w:sz w:val="32"/>
          <w:szCs w:val="32"/>
        </w:rPr>
        <w:t>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cs="仿宋_GB2312"/>
          <w:sz w:val="32"/>
          <w:szCs w:val="32"/>
          <w:lang w:eastAsia="zh-CN"/>
        </w:rPr>
        <w:t>单位预算</w:t>
      </w:r>
      <w:r>
        <w:rPr>
          <w:rFonts w:hint="eastAsia" w:ascii="仿宋_GB2312" w:hAnsi="黑体" w:eastAsia="仿宋_GB2312" w:cs="仿宋_GB2312"/>
          <w:sz w:val="32"/>
          <w:szCs w:val="32"/>
        </w:rPr>
        <w:t>编制范围的二级预算单位包括：</w:t>
      </w:r>
    </w:p>
    <w:p>
      <w:pPr>
        <w:pStyle w:val="11"/>
        <w:numPr>
          <w:ilvl w:val="0"/>
          <w:numId w:val="6"/>
        </w:numPr>
        <w:ind w:firstLineChars="0"/>
        <w:jc w:val="left"/>
        <w:rPr>
          <w:rFonts w:ascii="仿宋_GB2312" w:hAnsi="黑体" w:eastAsia="仿宋_GB2312" w:cs="仿宋_GB2312"/>
          <w:sz w:val="32"/>
          <w:szCs w:val="32"/>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sz w:val="32"/>
          <w:szCs w:val="32"/>
          <w:lang w:eastAsia="zh-CN"/>
        </w:rPr>
        <w:t>单位预算</w:t>
      </w:r>
      <w:r>
        <w:rPr>
          <w:rFonts w:hint="eastAsia" w:ascii="黑体" w:hAnsi="黑体" w:eastAsia="黑体"/>
          <w:sz w:val="32"/>
          <w:szCs w:val="32"/>
        </w:rPr>
        <w:t>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单位预算</w:t>
      </w:r>
      <w:r>
        <w:rPr>
          <w:rFonts w:hint="eastAsia" w:ascii="仿宋_GB2312" w:hAnsi="黑体" w:eastAsia="仿宋_GB2312"/>
          <w:b/>
          <w:sz w:val="32"/>
          <w:szCs w:val="32"/>
        </w:rPr>
        <w:t>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sz w:val="32"/>
          <w:szCs w:val="32"/>
          <w:lang w:eastAsia="zh-CN"/>
        </w:rPr>
        <w:t>单位预算</w:t>
      </w:r>
      <w:r>
        <w:rPr>
          <w:rFonts w:hint="eastAsia" w:ascii="黑体" w:hAnsi="黑体" w:eastAsia="黑体"/>
          <w:sz w:val="32"/>
          <w:szCs w:val="32"/>
        </w:rPr>
        <w:t>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sz w:val="32"/>
          <w:szCs w:val="32"/>
        </w:rPr>
        <w:t>财政拨款收支总预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41.33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35.36</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243.90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19.85</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highlight w:val="yellow"/>
          <w:lang w:eastAsia="zh-CN"/>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sz w:val="32"/>
          <w:szCs w:val="32"/>
        </w:rPr>
        <w:t>一般公共预算当年拨</w:t>
      </w:r>
      <w:r>
        <w:rPr>
          <w:rFonts w:hint="eastAsia" w:ascii="仿宋_GB2312" w:hAnsi="黑体" w:eastAsia="仿宋_GB2312"/>
          <w:sz w:val="32"/>
          <w:szCs w:val="32"/>
          <w:lang w:val="en-US" w:eastAsia="zh-CN"/>
        </w:rPr>
        <w:t>265.04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32.26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增加了城乡社区支出和农林水支出</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41.33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12.14</w:t>
      </w:r>
      <w:r>
        <w:rPr>
          <w:rFonts w:hint="eastAsia" w:ascii="仿宋_GB2312" w:hAnsi="黑体" w:eastAsia="仿宋_GB2312"/>
          <w:sz w:val="32"/>
          <w:szCs w:val="32"/>
        </w:rPr>
        <w:t>%；卫生健康</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35.26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10.36</w:t>
      </w:r>
      <w:r>
        <w:rPr>
          <w:rFonts w:hint="eastAsia" w:ascii="仿宋_GB2312" w:hAnsi="黑体" w:eastAsia="仿宋_GB2312"/>
          <w:sz w:val="32"/>
          <w:szCs w:val="32"/>
        </w:rPr>
        <w:t>%；农林水</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243.90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71.66</w:t>
      </w:r>
      <w:r>
        <w:rPr>
          <w:rFonts w:hint="eastAsia" w:ascii="仿宋_GB2312" w:hAnsi="黑体" w:eastAsia="仿宋_GB2312"/>
          <w:sz w:val="32"/>
          <w:szCs w:val="32"/>
        </w:rPr>
        <w:t>%；住房保障</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19.85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numPr>
          <w:ilvl w:val="0"/>
          <w:numId w:val="8"/>
        </w:num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农林水支出（类）农业（款）事业运行（项）</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156.31</w:t>
      </w:r>
      <w:r>
        <w:rPr>
          <w:rFonts w:hint="eastAsia" w:ascii="仿宋_GB2312" w:hAnsi="黑体" w:eastAsia="仿宋_GB2312"/>
          <w:sz w:val="32"/>
          <w:szCs w:val="32"/>
        </w:rPr>
        <w:t>万元，与上年预算数</w:t>
      </w:r>
      <w:r>
        <w:rPr>
          <w:rFonts w:hint="eastAsia" w:ascii="仿宋_GB2312" w:hAnsi="黑体" w:eastAsia="仿宋_GB2312"/>
          <w:sz w:val="32"/>
          <w:szCs w:val="32"/>
          <w:lang w:val="en-US" w:eastAsia="zh-CN"/>
        </w:rPr>
        <w:t>增加了87.59万，主要是增加了农林水支出（类）农业（款）其他水利支出（项）</w:t>
      </w:r>
      <w:r>
        <w:rPr>
          <w:rFonts w:hint="eastAsia" w:ascii="仿宋_GB2312" w:hAnsi="黑体" w:eastAsia="仿宋_GB2312"/>
          <w:sz w:val="32"/>
          <w:szCs w:val="32"/>
        </w:rPr>
        <w:t>。</w:t>
      </w:r>
    </w:p>
    <w:p>
      <w:pPr>
        <w:numPr>
          <w:ilvl w:val="0"/>
          <w:numId w:val="8"/>
        </w:numPr>
        <w:ind w:left="0" w:leftChars="0" w:firstLine="640" w:firstLineChars="200"/>
        <w:rPr>
          <w:rFonts w:hint="eastAsia" w:ascii="仿宋_GB2312" w:hAnsi="黑体" w:eastAsia="仿宋_GB2312"/>
          <w:sz w:val="32"/>
          <w:szCs w:val="32"/>
        </w:rPr>
      </w:pPr>
      <w:r>
        <w:rPr>
          <w:rFonts w:hint="eastAsia" w:ascii="仿宋_GB2312" w:hAnsi="宋体" w:eastAsia="仿宋_GB2312" w:cs="宋体"/>
          <w:color w:val="000000"/>
          <w:kern w:val="0"/>
          <w:sz w:val="32"/>
          <w:szCs w:val="30"/>
        </w:rPr>
        <w:t>社会保障和就业支出（类）行政事业单位离退休（款） 机关事业单位基本养老保险缴费支出（项）</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23.05</w:t>
      </w:r>
      <w:r>
        <w:rPr>
          <w:rFonts w:hint="eastAsia" w:ascii="仿宋_GB2312" w:hAnsi="黑体" w:eastAsia="仿宋_GB2312"/>
          <w:sz w:val="32"/>
          <w:szCs w:val="32"/>
        </w:rPr>
        <w:t>万元，与上年预算数</w:t>
      </w:r>
      <w:r>
        <w:rPr>
          <w:rFonts w:hint="eastAsia" w:ascii="仿宋_GB2312" w:hAnsi="黑体" w:eastAsia="仿宋_GB2312"/>
          <w:sz w:val="32"/>
          <w:szCs w:val="32"/>
          <w:lang w:val="en-US" w:eastAsia="zh-CN"/>
        </w:rPr>
        <w:t>增加了18.28万元，主要是增加了</w:t>
      </w:r>
      <w:r>
        <w:rPr>
          <w:rFonts w:hint="eastAsia" w:ascii="仿宋_GB2312" w:hAnsi="宋体" w:eastAsia="仿宋_GB2312" w:cs="宋体"/>
          <w:color w:val="000000"/>
          <w:kern w:val="0"/>
          <w:sz w:val="32"/>
          <w:szCs w:val="30"/>
        </w:rPr>
        <w:t>社会保障和就业支出（类）行政事业单位离退休（款） 机关事业单位基本养老保险缴费支出（项）</w:t>
      </w:r>
      <w:r>
        <w:rPr>
          <w:rFonts w:hint="eastAsia" w:ascii="仿宋_GB2312" w:hAnsi="宋体" w:eastAsia="仿宋_GB2312" w:cs="宋体"/>
          <w:color w:val="000000"/>
          <w:kern w:val="0"/>
          <w:sz w:val="32"/>
          <w:szCs w:val="30"/>
          <w:lang w:eastAsia="zh-CN"/>
        </w:rPr>
        <w:t>。</w:t>
      </w:r>
    </w:p>
    <w:p>
      <w:pPr>
        <w:numPr>
          <w:ilvl w:val="0"/>
          <w:numId w:val="0"/>
        </w:numPr>
        <w:ind w:firstLine="640" w:firstLineChars="200"/>
        <w:rPr>
          <w:rFonts w:hint="eastAsia" w:ascii="仿宋_GB2312" w:hAnsi="黑体" w:eastAsia="仿宋_GB2312"/>
          <w:sz w:val="32"/>
          <w:szCs w:val="32"/>
        </w:rPr>
      </w:pPr>
      <w:r>
        <w:rPr>
          <w:rFonts w:hint="eastAsia" w:ascii="仿宋_GB2312" w:hAnsi="宋体" w:eastAsia="仿宋_GB2312" w:cs="宋体"/>
          <w:color w:val="000000"/>
          <w:kern w:val="0"/>
          <w:sz w:val="32"/>
          <w:szCs w:val="30"/>
          <w:lang w:val="en-US" w:eastAsia="zh-CN"/>
        </w:rPr>
        <w:t>3、</w:t>
      </w:r>
      <w:r>
        <w:rPr>
          <w:rFonts w:hint="eastAsia" w:ascii="仿宋_GB2312" w:hAnsi="宋体" w:eastAsia="仿宋_GB2312" w:cs="宋体"/>
          <w:color w:val="000000"/>
          <w:kern w:val="0"/>
          <w:sz w:val="32"/>
          <w:szCs w:val="30"/>
        </w:rPr>
        <w:t>社会保障和就业支出（类）抚恤（款） 其他优抚支出（项）</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1.88</w:t>
      </w:r>
      <w:r>
        <w:rPr>
          <w:rFonts w:hint="eastAsia" w:ascii="仿宋_GB2312" w:hAnsi="黑体" w:eastAsia="仿宋_GB2312"/>
          <w:sz w:val="32"/>
          <w:szCs w:val="32"/>
        </w:rPr>
        <w:t>万元，与上年预算数</w:t>
      </w:r>
      <w:r>
        <w:rPr>
          <w:rFonts w:hint="eastAsia" w:ascii="仿宋_GB2312" w:hAnsi="黑体" w:eastAsia="仿宋_GB2312"/>
          <w:sz w:val="32"/>
          <w:szCs w:val="32"/>
          <w:lang w:eastAsia="zh-CN"/>
        </w:rPr>
        <w:t>基本</w:t>
      </w:r>
      <w:r>
        <w:rPr>
          <w:rFonts w:hint="eastAsia" w:ascii="仿宋_GB2312" w:hAnsi="黑体" w:eastAsia="仿宋_GB2312"/>
          <w:sz w:val="32"/>
          <w:szCs w:val="32"/>
        </w:rPr>
        <w:t>持平。</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33.96</w:t>
      </w:r>
      <w:r>
        <w:rPr>
          <w:rFonts w:hint="eastAsia" w:ascii="仿宋_GB2312" w:hAnsi="黑体" w:eastAsia="仿宋_GB2312"/>
          <w:sz w:val="32"/>
          <w:szCs w:val="32"/>
        </w:rPr>
        <w:t>万元，与上年预算数</w:t>
      </w:r>
      <w:r>
        <w:rPr>
          <w:rFonts w:hint="eastAsia" w:ascii="仿宋_GB2312" w:hAnsi="黑体" w:eastAsia="仿宋_GB2312"/>
          <w:sz w:val="32"/>
          <w:szCs w:val="32"/>
          <w:lang w:val="en-US" w:eastAsia="zh-CN"/>
        </w:rPr>
        <w:t>增加了1.3万元，主要是增加了卫生健康支出（类）的投入</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eastAsia="zh-CN"/>
        </w:rPr>
        <w:t>2023年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24.46</w:t>
      </w:r>
      <w:r>
        <w:rPr>
          <w:rFonts w:hint="eastAsia" w:ascii="仿宋_GB2312" w:hAnsi="黑体" w:eastAsia="仿宋_GB2312"/>
          <w:sz w:val="32"/>
          <w:szCs w:val="32"/>
        </w:rPr>
        <w:t>万元，与上年预算数</w:t>
      </w:r>
      <w:r>
        <w:rPr>
          <w:rFonts w:hint="eastAsia" w:ascii="仿宋_GB2312" w:hAnsi="黑体" w:eastAsia="仿宋_GB2312"/>
          <w:sz w:val="32"/>
          <w:szCs w:val="32"/>
          <w:lang w:eastAsia="zh-CN"/>
        </w:rPr>
        <w:t>基本</w:t>
      </w:r>
      <w:r>
        <w:rPr>
          <w:rFonts w:hint="eastAsia" w:ascii="仿宋_GB2312" w:hAnsi="黑体" w:eastAsia="仿宋_GB2312"/>
          <w:sz w:val="32"/>
          <w:szCs w:val="32"/>
        </w:rPr>
        <w:t>持平。</w:t>
      </w:r>
    </w:p>
    <w:p>
      <w:pPr>
        <w:numPr>
          <w:ilvl w:val="0"/>
          <w:numId w:val="0"/>
        </w:numPr>
        <w:ind w:firstLine="640" w:firstLineChars="200"/>
        <w:rPr>
          <w:rFonts w:hint="eastAsia" w:ascii="仿宋_GB2312" w:hAnsi="宋体" w:eastAsia="仿宋_GB2312" w:cs="宋体"/>
          <w:kern w:val="0"/>
          <w:sz w:val="32"/>
          <w:szCs w:val="30"/>
        </w:rPr>
      </w:pPr>
      <w:r>
        <w:rPr>
          <w:rFonts w:hint="eastAsia" w:ascii="仿宋_GB2312" w:hAnsi="黑体" w:eastAsia="仿宋_GB2312"/>
          <w:sz w:val="32"/>
          <w:szCs w:val="32"/>
        </w:rPr>
        <w:t>6、住房保障支出</w:t>
      </w:r>
      <w:r>
        <w:rPr>
          <w:rFonts w:hint="eastAsia" w:ascii="仿宋_GB2312" w:hAnsi="宋体" w:eastAsia="仿宋_GB2312" w:cs="宋体"/>
          <w:kern w:val="0"/>
          <w:sz w:val="32"/>
          <w:szCs w:val="30"/>
        </w:rPr>
        <w:t>（类）住房改革支出（款）住房公积金（项）</w:t>
      </w:r>
      <w:r>
        <w:rPr>
          <w:rFonts w:hint="eastAsia" w:ascii="仿宋_GB2312" w:hAnsi="宋体" w:eastAsia="仿宋_GB2312" w:cs="宋体"/>
          <w:kern w:val="0"/>
          <w:sz w:val="32"/>
          <w:szCs w:val="30"/>
          <w:lang w:eastAsia="zh-CN"/>
        </w:rPr>
        <w:t>2023年</w:t>
      </w:r>
      <w:r>
        <w:rPr>
          <w:rFonts w:hint="eastAsia" w:ascii="仿宋_GB2312" w:hAnsi="宋体" w:eastAsia="仿宋_GB2312" w:cs="宋体"/>
          <w:kern w:val="0"/>
          <w:sz w:val="32"/>
          <w:szCs w:val="30"/>
        </w:rPr>
        <w:t>预算为</w:t>
      </w:r>
      <w:r>
        <w:rPr>
          <w:rFonts w:hint="eastAsia" w:ascii="仿宋_GB2312" w:hAnsi="宋体" w:eastAsia="仿宋_GB2312" w:cs="宋体"/>
          <w:kern w:val="0"/>
          <w:sz w:val="32"/>
          <w:szCs w:val="30"/>
          <w:lang w:val="en-US" w:eastAsia="zh-CN"/>
        </w:rPr>
        <w:t>19.47</w:t>
      </w:r>
      <w:r>
        <w:rPr>
          <w:rFonts w:hint="eastAsia" w:ascii="仿宋_GB2312" w:hAnsi="宋体" w:eastAsia="仿宋_GB2312" w:cs="宋体"/>
          <w:kern w:val="0"/>
          <w:sz w:val="32"/>
          <w:szCs w:val="30"/>
        </w:rPr>
        <w:t>万元，</w:t>
      </w:r>
      <w:r>
        <w:rPr>
          <w:rFonts w:hint="eastAsia" w:ascii="仿宋_GB2312" w:hAnsi="黑体" w:eastAsia="仿宋_GB2312"/>
          <w:sz w:val="32"/>
          <w:szCs w:val="32"/>
        </w:rPr>
        <w:t>与上年预算数</w:t>
      </w:r>
      <w:r>
        <w:rPr>
          <w:rFonts w:hint="eastAsia" w:ascii="仿宋_GB2312" w:hAnsi="黑体" w:eastAsia="仿宋_GB2312"/>
          <w:sz w:val="32"/>
          <w:szCs w:val="32"/>
          <w:lang w:eastAsia="zh-CN"/>
        </w:rPr>
        <w:t>基本</w:t>
      </w:r>
      <w:r>
        <w:rPr>
          <w:rFonts w:hint="eastAsia" w:ascii="仿宋_GB2312" w:hAnsi="黑体" w:eastAsia="仿宋_GB2312"/>
          <w:sz w:val="32"/>
          <w:szCs w:val="32"/>
        </w:rPr>
        <w:t>持平。</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sz w:val="32"/>
          <w:szCs w:val="32"/>
        </w:rPr>
        <w:t>一般公共预算基本支出为</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、机关事业单位基本养老保险缴费、职业年金缴费、职工基本医疗保险缴费、公务员医疗补助缴费、其他社会保障缴费、住房公积金</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邮电费、</w:t>
      </w:r>
      <w:r>
        <w:rPr>
          <w:rFonts w:hint="eastAsia" w:ascii="仿宋_GB2312" w:hAnsi="黑体" w:eastAsia="仿宋_GB2312"/>
          <w:sz w:val="32"/>
          <w:szCs w:val="32"/>
        </w:rPr>
        <w:t>生活补助。</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17.20</w:t>
      </w:r>
      <w:r>
        <w:rPr>
          <w:rFonts w:hint="eastAsia" w:ascii="仿宋_GB2312" w:hAnsi="黑体" w:eastAsia="仿宋_GB2312"/>
          <w:sz w:val="32"/>
          <w:szCs w:val="32"/>
        </w:rPr>
        <w:t>万元，主要包括：办公费、水费、电费、邮电费、物业管理费、差旅费、维修（护）费、会议费、培训费、工会经费。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eastAsia="zh-CN"/>
        </w:rPr>
        <w:t>2024年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highlight w:val="none"/>
          <w:lang w:val="en-US" w:eastAsia="zh-CN"/>
        </w:rPr>
        <w:t>政府性基金预算为0万元，无拨款结构情况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政府性基金预算为0万元，无拨款具体情况</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_GB2312" w:hAnsi="黑体" w:eastAsia="仿宋_GB2312" w:cs="仿宋_GB2312"/>
          <w:sz w:val="32"/>
          <w:szCs w:val="32"/>
        </w:rPr>
        <w:t>所有收入和支出均纳入单位预算管理。收入</w:t>
      </w:r>
      <w:r>
        <w:rPr>
          <w:rFonts w:hint="eastAsia" w:ascii="仿宋_GB2312" w:hAnsi="黑体" w:eastAsia="仿宋_GB2312" w:cs="仿宋_GB2312"/>
          <w:sz w:val="32"/>
          <w:szCs w:val="32"/>
          <w:lang w:val="en-US" w:eastAsia="zh-CN"/>
        </w:rPr>
        <w:t>为</w:t>
      </w:r>
      <w:r>
        <w:rPr>
          <w:rFonts w:hint="eastAsia" w:ascii="仿宋_GB2312" w:hAnsi="黑体" w:eastAsia="仿宋_GB2312" w:cs="仿宋_GB2312"/>
          <w:sz w:val="32"/>
          <w:szCs w:val="32"/>
        </w:rPr>
        <w:t>一般公共预算收入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w:t>
      </w:r>
      <w:r>
        <w:rPr>
          <w:rFonts w:hint="eastAsia" w:ascii="仿宋_GB2312" w:hAnsi="黑体" w:eastAsia="仿宋_GB2312"/>
          <w:sz w:val="32"/>
          <w:szCs w:val="32"/>
        </w:rPr>
        <w:t>农林水支出、住房保障支出。</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收支总预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val="en-US" w:eastAsia="zh-CN"/>
        </w:rPr>
        <w:t>2024年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340.34</w:t>
      </w:r>
      <w:r>
        <w:rPr>
          <w:rFonts w:hint="eastAsia" w:ascii="仿宋_GB2312" w:hAnsi="黑体" w:eastAsia="仿宋_GB2312"/>
          <w:sz w:val="32"/>
          <w:szCs w:val="32"/>
        </w:rPr>
        <w:t>万元，其中：上年结</w:t>
      </w:r>
      <w:r>
        <w:rPr>
          <w:rFonts w:hint="eastAsia" w:ascii="仿宋_GB2312" w:hAnsi="黑体" w:eastAsia="仿宋_GB2312"/>
          <w:sz w:val="32"/>
          <w:szCs w:val="32"/>
          <w:lang w:eastAsia="zh-CN"/>
        </w:rPr>
        <w:t>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w:t>
      </w:r>
      <w:r>
        <w:rPr>
          <w:rFonts w:hint="eastAsia" w:ascii="仿宋_GB2312" w:hAnsi="黑体" w:eastAsia="仿宋_GB2312"/>
          <w:sz w:val="32"/>
          <w:szCs w:val="32"/>
          <w:lang w:eastAsia="zh-CN"/>
        </w:rPr>
        <w:t>入</w:t>
      </w:r>
      <w:r>
        <w:rPr>
          <w:rFonts w:hint="eastAsia" w:ascii="仿宋_GB2312" w:hAnsi="黑体" w:eastAsia="仿宋_GB2312"/>
          <w:sz w:val="32"/>
          <w:szCs w:val="32"/>
          <w:lang w:val="en-US" w:eastAsia="zh-CN"/>
        </w:rPr>
        <w:t>340.34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琼海市</w:t>
      </w:r>
      <w:r>
        <w:rPr>
          <w:rFonts w:hint="eastAsia" w:ascii="黑体" w:hAnsi="黑体" w:eastAsia="黑体" w:cs="黑体"/>
          <w:sz w:val="32"/>
          <w:szCs w:val="32"/>
          <w:lang w:eastAsia="zh-CN"/>
        </w:rPr>
        <w:t>阳江</w:t>
      </w:r>
      <w:r>
        <w:rPr>
          <w:rFonts w:hint="eastAsia" w:ascii="黑体" w:hAnsi="黑体" w:eastAsia="黑体" w:cs="黑体"/>
          <w:sz w:val="32"/>
          <w:szCs w:val="32"/>
        </w:rPr>
        <w:t>镇农业服务中心</w:t>
      </w:r>
      <w:r>
        <w:rPr>
          <w:rFonts w:hint="eastAsia" w:ascii="黑体" w:hAnsi="黑体" w:eastAsia="黑体" w:cs="黑体"/>
          <w:sz w:val="32"/>
          <w:szCs w:val="32"/>
          <w:lang w:val="en-US" w:eastAsia="zh-CN"/>
        </w:rPr>
        <w:t>2024年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val="en-US" w:eastAsia="zh-CN"/>
        </w:rPr>
        <w:t>2024年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34.34</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265.04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87.88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75.30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占22.12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75.30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城乡社区支出和农林水支出预算支出增加。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12月31日，</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 w:hAnsi="仿宋" w:eastAsia="仿宋" w:cs="仿宋_GB2312"/>
          <w:sz w:val="32"/>
          <w:szCs w:val="32"/>
        </w:rPr>
        <w:t>琼海市</w:t>
      </w:r>
      <w:r>
        <w:rPr>
          <w:rFonts w:hint="eastAsia" w:ascii="仿宋" w:hAnsi="仿宋" w:eastAsia="仿宋" w:cs="仿宋_GB2312"/>
          <w:sz w:val="32"/>
          <w:szCs w:val="32"/>
          <w:lang w:eastAsia="zh-CN"/>
        </w:rPr>
        <w:t>阳江</w:t>
      </w:r>
      <w:r>
        <w:rPr>
          <w:rFonts w:hint="eastAsia" w:ascii="仿宋" w:hAnsi="仿宋" w:eastAsia="仿宋" w:cs="仿宋_GB2312"/>
          <w:sz w:val="32"/>
          <w:szCs w:val="32"/>
        </w:rPr>
        <w:t>镇农业服务中心</w:t>
      </w:r>
      <w:r>
        <w:rPr>
          <w:rFonts w:hint="eastAsia" w:ascii="仿宋" w:hAnsi="仿宋" w:eastAsia="仿宋"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340.34</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A4CD"/>
    <w:multiLevelType w:val="singleLevel"/>
    <w:tmpl w:val="70D5A4CD"/>
    <w:lvl w:ilvl="0" w:tentative="0">
      <w:start w:val="1"/>
      <w:numFmt w:val="decimal"/>
      <w:suff w:val="nothing"/>
      <w:lvlText w:val="%1、"/>
      <w:lvlJc w:val="left"/>
    </w:lvl>
  </w:abstractNum>
  <w:abstractNum w:abstractNumId="7">
    <w:nsid w:val="7EFB5ADF"/>
    <w:multiLevelType w:val="singleLevel"/>
    <w:tmpl w:val="7EFB5ADF"/>
    <w:lvl w:ilvl="0" w:tentative="0">
      <w:start w:val="3"/>
      <w:numFmt w:val="chineseCounting"/>
      <w:suff w:val="nothing"/>
      <w:lvlText w:val="（%1）"/>
      <w:lvlJc w:val="left"/>
      <w:rPr>
        <w:rFonts w:hint="eastAsia"/>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NTE5ZDVhMDA1YzYzNmU4YjA4OWU5OTU1NTc0NTcifQ=="/>
  </w:docVars>
  <w:rsids>
    <w:rsidRoot w:val="00000000"/>
    <w:rsid w:val="01607D8A"/>
    <w:rsid w:val="111B091F"/>
    <w:rsid w:val="148973A0"/>
    <w:rsid w:val="1AC45552"/>
    <w:rsid w:val="1FE85350"/>
    <w:rsid w:val="211521F3"/>
    <w:rsid w:val="33C61EE3"/>
    <w:rsid w:val="351B630B"/>
    <w:rsid w:val="37133EAA"/>
    <w:rsid w:val="41345CAB"/>
    <w:rsid w:val="445D1208"/>
    <w:rsid w:val="48667D31"/>
    <w:rsid w:val="4D6B411C"/>
    <w:rsid w:val="4FE87012"/>
    <w:rsid w:val="543E4EDA"/>
    <w:rsid w:val="581666E6"/>
    <w:rsid w:val="5C196A9B"/>
    <w:rsid w:val="64627C12"/>
    <w:rsid w:val="698378FF"/>
    <w:rsid w:val="760C31AA"/>
    <w:rsid w:val="7C7B6272"/>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sz w:val="24"/>
      <w:szCs w:val="24"/>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3377</Words>
  <Characters>3666</Characters>
  <Lines>27</Lines>
  <Paragraphs>7</Paragraphs>
  <TotalTime>28</TotalTime>
  <ScaleCrop>false</ScaleCrop>
  <LinksUpToDate>false</LinksUpToDate>
  <CharactersWithSpaces>3709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醣丝</cp:lastModifiedBy>
  <dcterms:modified xsi:type="dcterms:W3CDTF">2024-03-26T07:59:18Z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49543994C62C42D693556E9278F45D41_13</vt:lpwstr>
  </property>
</Properties>
</file>