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ˎ̥" w:eastAsia="楷体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一般公共预算财政拨款“三公”经费支出决算情况说明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sz w:val="32"/>
          <w:szCs w:val="32"/>
          <w:highlight w:val="none"/>
          <w:lang w:val="en-US" w:eastAsia="zh-CN"/>
        </w:rPr>
        <w:t>一、一般公共预算</w:t>
      </w:r>
      <w:r>
        <w:rPr>
          <w:rFonts w:hint="eastAsia" w:ascii="楷体" w:hAnsi="楷体" w:eastAsia="楷体" w:cs="楷体"/>
          <w:b/>
          <w:sz w:val="32"/>
          <w:szCs w:val="32"/>
          <w:highlight w:val="none"/>
        </w:rPr>
        <w:t>财政拨款“三公”经费支出决算总体情况说明。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  <w:lang w:eastAsia="zh-CN"/>
        </w:rPr>
        <w:t>2019年度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一般公共预算财政拨款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“三公”经费支出预算为12.52万元，支出决算为11.46万元，完成预算的55.60%</w:t>
      </w:r>
      <w:r>
        <w:rPr>
          <w:rFonts w:hint="eastAsia" w:ascii="仿宋_GB2312" w:hAnsi="ˎ̥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“三公”经费财政拨款支出决算具体情况说明。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  <w:lang w:eastAsia="zh-CN"/>
        </w:rPr>
        <w:t>2019年度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一般公共预算财政拨款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“三公”经费支出决算中，因公出国（境）费支出决算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万元，占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%；公务用车购置及运行费支出决算11.46万元，占100.00%；公务接待费支出决算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万元，占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ˎ̥" w:eastAsia="仿宋_GB2312"/>
          <w:b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ˎ̥" w:eastAsia="仿宋_GB2312"/>
          <w:b/>
          <w:sz w:val="32"/>
          <w:szCs w:val="32"/>
          <w:highlight w:val="none"/>
        </w:rPr>
        <w:t>因公出国（境）费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支出[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,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]万元。全年安排因公出国（境）团组[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,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]个，因公出国（境）[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,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]人次。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b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ˎ̥" w:eastAsia="仿宋_GB2312"/>
          <w:b/>
          <w:sz w:val="32"/>
          <w:szCs w:val="32"/>
          <w:highlight w:val="none"/>
        </w:rPr>
        <w:t>公务用车购置及运行费支出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11.46万元。其中：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b/>
          <w:sz w:val="32"/>
          <w:szCs w:val="32"/>
          <w:highlight w:val="none"/>
        </w:rPr>
        <w:t>公务用车购置支</w:t>
      </w:r>
      <w:r>
        <w:rPr>
          <w:rFonts w:hint="eastAsia" w:ascii="仿宋_GB2312" w:hAnsi="ˎ̥" w:eastAsia="仿宋_GB2312"/>
          <w:b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万元，全年购置公务用车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辆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，年末公务用车保有量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b/>
          <w:sz w:val="32"/>
          <w:szCs w:val="32"/>
          <w:highlight w:val="none"/>
        </w:rPr>
        <w:t>公务用车运行</w:t>
      </w:r>
      <w:r>
        <w:rPr>
          <w:rFonts w:hint="eastAsia" w:ascii="仿宋_GB2312" w:hAnsi="ˎ̥" w:eastAsia="仿宋_GB2312"/>
          <w:b/>
          <w:sz w:val="32"/>
          <w:szCs w:val="32"/>
          <w:highlight w:val="none"/>
          <w:lang w:eastAsia="zh-CN"/>
        </w:rPr>
        <w:t>维护费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支出11.46万</w:t>
      </w:r>
      <w:bookmarkStart w:id="0" w:name="_GoBack"/>
      <w:bookmarkEnd w:id="0"/>
      <w:r>
        <w:rPr>
          <w:rFonts w:hint="eastAsia" w:ascii="仿宋_GB2312" w:hAnsi="ˎ̥" w:eastAsia="仿宋_GB2312"/>
          <w:sz w:val="32"/>
          <w:szCs w:val="32"/>
          <w:highlight w:val="none"/>
        </w:rPr>
        <w:t>元，主要用于油料费及日常运行维护。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ˎ̥" w:eastAsia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ˎ̥" w:eastAsia="仿宋_GB2312"/>
          <w:b w:val="0"/>
          <w:bCs/>
          <w:sz w:val="32"/>
          <w:szCs w:val="32"/>
          <w:highlight w:val="none"/>
        </w:rPr>
        <w:t>公务用车购置及运行费支出</w:t>
      </w:r>
      <w:r>
        <w:rPr>
          <w:rFonts w:hint="eastAsia" w:ascii="仿宋_GB2312" w:hAnsi="ˎ̥" w:eastAsia="仿宋_GB2312"/>
          <w:b w:val="0"/>
          <w:bCs/>
          <w:sz w:val="32"/>
          <w:szCs w:val="32"/>
          <w:highlight w:val="none"/>
          <w:lang w:val="en-US" w:eastAsia="zh-CN"/>
        </w:rPr>
        <w:t>决算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比预算数减少1.06万元，下降8.47%。主要原因是严格控制三公支出。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left"/>
        <w:textAlignment w:val="auto"/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ˎ̥" w:eastAsia="仿宋_GB2312"/>
          <w:b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ˎ̥" w:eastAsia="仿宋_GB2312"/>
          <w:b/>
          <w:sz w:val="32"/>
          <w:szCs w:val="32"/>
          <w:highlight w:val="none"/>
        </w:rPr>
        <w:t>公务接待费支出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sz w:val="32"/>
          <w:szCs w:val="32"/>
          <w:highlight w:val="none"/>
        </w:rPr>
        <w:t>万元</w:t>
      </w:r>
      <w:r>
        <w:rPr>
          <w:rFonts w:hint="eastAsia" w:ascii="仿宋_GB2312" w:hAnsi="ˎ̥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307DA"/>
    <w:rsid w:val="307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2020-09-14T02:10:00Z</dcterms:created>
  <dc:creator>Amber  Q</dc:creator>
  <cp:lastModifiedBy>Amber  Q</cp:lastModifiedBy>
  <dcterms:modified xsi:type="dcterms:W3CDTF">2020-09-14T02:12:29Z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