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napToGrid w:val="0"/>
          <w:kern w:val="0"/>
          <w:sz w:val="44"/>
          <w:szCs w:val="44"/>
        </w:rPr>
      </w:pPr>
      <w:r>
        <w:rPr>
          <w:rFonts w:hint="eastAsia" w:ascii="仿宋" w:hAnsi="仿宋" w:eastAsia="仿宋"/>
          <w:b/>
          <w:snapToGrid w:val="0"/>
          <w:kern w:val="0"/>
          <w:sz w:val="44"/>
          <w:szCs w:val="44"/>
        </w:rPr>
        <w:t>琼海市扶持小微企业助保金管理暂行办法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2019年12月4日修订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）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jc w:val="center"/>
        <w:rPr>
          <w:rFonts w:hint="default" w:ascii="仿宋" w:hAnsi="仿宋" w:eastAsia="仿宋"/>
          <w:b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第一章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val="en-US" w:eastAsia="zh-CN"/>
        </w:rPr>
        <w:t xml:space="preserve">  总则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第一条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　为加强对琼海市小微企业的扶持，促进小微企业快速健康发展，鼓励金融机构为小微企业提供贷款，根据</w:t>
      </w:r>
      <w:r>
        <w:rPr>
          <w:rFonts w:hint="eastAsia" w:ascii="仿宋" w:hAnsi="仿宋" w:eastAsia="仿宋"/>
          <w:kern w:val="0"/>
          <w:sz w:val="32"/>
          <w:szCs w:val="32"/>
        </w:rPr>
        <w:t>省政府《关于进一步支持小微企业健康发展的实施意见》（琼府[2014]10号）精神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，结合我市实际，制定本办法。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第二条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　本办法所称：“小微企业池”由市政府授权的管理机构和合作银行共同认定的优质小微企业组成，主要为成长性好、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环保信用良好、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发展和纳税情况良好的企业以及</w:t>
      </w:r>
      <w:r>
        <w:rPr>
          <w:rFonts w:hint="eastAsia" w:ascii="仿宋" w:hAnsi="仿宋" w:eastAsia="仿宋"/>
          <w:kern w:val="0"/>
          <w:sz w:val="32"/>
          <w:szCs w:val="32"/>
        </w:rPr>
        <w:t>省政府《关于进一步支持小微企业健康发展的实施意见》（琼府[2014]10号）中鼓励和支持的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创新性、创业型和劳动密集型小微企业。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本办法所称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小微企业必须是符合工业和信息化部、国家统计局、国家发展和改革委员会、财政部《关于印发中小企业划型标准规定的通知》（工信部联企业[2011]300号）中关于企业规模的认定标准。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482" w:firstLineChars="150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val="en-US" w:eastAsia="zh-CN"/>
        </w:rPr>
        <w:t xml:space="preserve"> 第四条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本办法所称：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“助保金”指财政预算安排，专项用于合作金融机构对企业发放政府扶持小微企业助保金贷款（以下简称助保贷）的增信和小微企业贷款风险损失补偿的专项资金（也称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“政府风险补偿金”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482" w:firstLineChars="150"/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助保贷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发放贷款对象为在琼海市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市场监督管理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部门登记的小微企业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482" w:firstLineChars="150"/>
        <w:jc w:val="center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  <w:t>第二章</w:t>
      </w: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val="en-US" w:eastAsia="zh-CN"/>
        </w:rPr>
        <w:t xml:space="preserve">  政策支持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  <w:t>第六条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前期安排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1000人民币万元，其中市级财政预算安排“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”为500万元，省级安排500万元，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由琼海市科学技术工业信息化局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代表市政府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根据小微企业贷款实际需求投入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  <w:t>第七条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助保贷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合作金融机构按政府财政投入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资金放大10倍办理助保贷业务，发放优惠利率贷款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发放贷款额度为每家企业不超过200万元。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482" w:firstLineChars="150"/>
        <w:jc w:val="center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  <w:t>第三章</w:t>
      </w: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  <w:t>管理监督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　琼海市科学技术工业信息化局是琼海市政府授权的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管理机构，代表市政府和合作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金融机构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开展助保贷业务，负责与合作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金融机构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签订合作协议，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按协议要求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开设“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专户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，协助市政府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投放和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对合作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金融机构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认定的入池企业进行备案登记；对贷款执行效率和扶持效果进行绩效评价；协助合作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对企业的信用调查、索偿等事项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；合作金融机构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根据自己的操作规程审批并将《“助保贷”业务推荐函》及其它相关资料报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备案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　小微企业、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管理机构、合作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金融机构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可就下列内容进行协商并签订相关协议：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（一）“小微企业池”中的企业在签订借款合同前应先提供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不低于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0%的抵质押担保。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（二）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管理机构与合作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签订助保贷业务合作协议后，负责办理“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金”的缴纳存放手续。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（三）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助保金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管理机构在合作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开立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助保金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专户存放“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</w:rPr>
        <w:t>”，账户性质为政府专项</w:t>
      </w:r>
      <w:r>
        <w:rPr>
          <w:rFonts w:hint="eastAsia" w:ascii="仿宋" w:hAnsi="仿宋" w:eastAsia="仿宋"/>
          <w:sz w:val="32"/>
          <w:szCs w:val="32"/>
          <w:lang w:eastAsia="zh-CN"/>
        </w:rPr>
        <w:t>风险补偿</w:t>
      </w:r>
      <w:r>
        <w:rPr>
          <w:rFonts w:hint="eastAsia" w:ascii="仿宋" w:hAnsi="仿宋" w:eastAsia="仿宋"/>
          <w:sz w:val="32"/>
          <w:szCs w:val="32"/>
        </w:rPr>
        <w:t>保证金账户，仅作为“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</w:rPr>
        <w:t>”存放、管理及“助保贷”业务代偿支用专用账户，封闭运行，专户管理。账户内资金仅限于合作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向琼海市小微企业池中企业办理助保贷业务中发生危及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z w:val="32"/>
          <w:szCs w:val="32"/>
        </w:rPr>
        <w:t>债权情形时，用于偿还助保贷债务本金、利息、罚息及追偿费用。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当助保贷借款企业发生危及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债权情形时，经合作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认定其已无法按时归还贷款本息，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可启动代偿、追偿程序。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将认定结果及代偿申请提交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管理机构，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管理机构收到申请之日起15个工作日内履行“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金”代偿责任。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（五）“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金”代偿责任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按发生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逾期贷款本息，由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和“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金”按40%、60%比例分担。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当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管理机构未及时履行代偿责任时，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有权从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专户中直接扣款清偿借款企业欠款。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（七）在实施“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金”代偿后，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直接执行债务追偿程序。追索回的资金或借款企业恢复还款收回的资金在冲抵追索费用、违约金后，优先清偿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债权，剩余部分补回“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金”所承担的损失。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（八）“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金”代偿率如达到50%，助保贷业务将暂时中止，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停止发放贷款。待追偿程序弥补一定损失后，视情况重新启动助保贷业务，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管理机构将追加资金，补足“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（九）助保贷业务合作期三年为限。“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金”的代偿责任至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助保贷贷款债权全部清偿之日止。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　合作期内，如受不可预见因素影响，助保贷业务合作机制经“助保金”管理机构和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双方协商可提前终止。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金”代偿责任履行完毕后，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助保金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管理机构撤回剩余的“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金”部分转入国库。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市发改委、市农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业农村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局、市商务局、市旅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文局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、市财政局和市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资规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局等中小企业各行业主管部门是助保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贷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管理业务合作协作机构，负责根据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海南省十二个重点产业发展要求，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向各行业企业宣传助保贷贷款政策，向合作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金融机构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推荐优秀企业办理助保贷业务；对助保贷业务进行跟踪；协助合作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金融机构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对企业信用调查、索偿等。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十三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　市财政局定期对“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金”的使用情况进行监督。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jc w:val="center"/>
        <w:rPr>
          <w:rFonts w:hint="default" w:ascii="仿宋" w:hAnsi="仿宋" w:eastAsia="仿宋"/>
          <w:b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第四章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val="en-US" w:eastAsia="zh-CN"/>
        </w:rPr>
        <w:t xml:space="preserve">  法律责任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十四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　对违反财经纪律、提供虚假信息、骗取助保贷贷款、恶意逃避债务导致“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eastAsia="zh-CN"/>
        </w:rPr>
        <w:t>助保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金”和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贷款损失的企业，市政府和</w:t>
      </w:r>
      <w:r>
        <w:rPr>
          <w:rFonts w:hint="eastAsia" w:ascii="仿宋" w:hAnsi="仿宋" w:eastAsia="仿宋"/>
          <w:sz w:val="32"/>
          <w:szCs w:val="32"/>
          <w:lang w:eastAsia="zh-CN"/>
        </w:rPr>
        <w:t>合作机构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根据实际情况将企业及企业责任人列入诚信黑名单予以公布，并按有关法律法规处理。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jc w:val="center"/>
        <w:rPr>
          <w:rFonts w:hint="default" w:ascii="仿宋" w:hAnsi="仿宋" w:eastAsia="仿宋"/>
          <w:b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第四章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val="en-US" w:eastAsia="zh-CN"/>
        </w:rPr>
        <w:t xml:space="preserve"> 附则</w:t>
      </w:r>
    </w:p>
    <w:p>
      <w:pPr>
        <w:pStyle w:val="6"/>
        <w:adjustRightInd w:val="0"/>
        <w:snapToGrid w:val="0"/>
        <w:spacing w:after="0" w:line="600" w:lineRule="exact"/>
        <w:ind w:left="0" w:leftChars="0" w:firstLine="643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第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  <w:lang w:eastAsia="zh-CN"/>
        </w:rPr>
        <w:t>十五</w:t>
      </w:r>
      <w:r>
        <w:rPr>
          <w:rFonts w:hint="eastAsia" w:ascii="仿宋" w:hAnsi="仿宋" w:eastAsia="仿宋"/>
          <w:b/>
          <w:snapToGrid w:val="0"/>
          <w:kern w:val="0"/>
          <w:sz w:val="32"/>
          <w:szCs w:val="32"/>
        </w:rPr>
        <w:t>条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　本办法由琼海市科学技术工业信息化局负责解释。</w:t>
      </w:r>
    </w:p>
    <w:p>
      <w:pPr>
        <w:ind w:firstLine="643" w:firstLineChars="200"/>
        <w:rPr>
          <w:rFonts w:hint="eastAsia" w:ascii="仿宋" w:hAnsi="仿宋" w:eastAsia="仿宋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snapToGrid w:val="0"/>
          <w:kern w:val="0"/>
          <w:sz w:val="32"/>
          <w:szCs w:val="32"/>
          <w:lang w:val="en-US" w:eastAsia="zh-CN" w:bidi="ar-SA"/>
        </w:rPr>
        <w:t xml:space="preserve">第十六条  </w:t>
      </w:r>
      <w:r>
        <w:rPr>
          <w:rFonts w:hint="eastAsia" w:ascii="仿宋" w:hAnsi="仿宋" w:eastAsia="仿宋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本办法自发布之日起30日后施行，本办法有效期3年，2016年12月20琼海市人民政府办公室印发的《琼海市扶持小微企业助保金管理暂行办法》同时废止。</w:t>
      </w:r>
    </w:p>
    <w:p>
      <w:pPr>
        <w:pStyle w:val="6"/>
        <w:adjustRightInd w:val="0"/>
        <w:snapToGrid w:val="0"/>
        <w:spacing w:after="0" w:line="600" w:lineRule="exact"/>
        <w:ind w:left="0" w:leftChars="0" w:firstLine="640" w:firstLineChars="200"/>
        <w:rPr>
          <w:rFonts w:hint="eastAsia" w:ascii="仿宋" w:hAnsi="仿宋" w:eastAsia="仿宋"/>
          <w:snapToGrid w:val="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B3"/>
    <w:rsid w:val="00004732"/>
    <w:rsid w:val="00023256"/>
    <w:rsid w:val="00036573"/>
    <w:rsid w:val="000528B5"/>
    <w:rsid w:val="000A2ECA"/>
    <w:rsid w:val="000C0CCA"/>
    <w:rsid w:val="000C146A"/>
    <w:rsid w:val="000C4F71"/>
    <w:rsid w:val="000F7DEE"/>
    <w:rsid w:val="001016A6"/>
    <w:rsid w:val="001237DD"/>
    <w:rsid w:val="00125865"/>
    <w:rsid w:val="00172D05"/>
    <w:rsid w:val="001748B9"/>
    <w:rsid w:val="001914B5"/>
    <w:rsid w:val="001C3369"/>
    <w:rsid w:val="001E118E"/>
    <w:rsid w:val="001E5D76"/>
    <w:rsid w:val="00234879"/>
    <w:rsid w:val="00241C4E"/>
    <w:rsid w:val="002777A5"/>
    <w:rsid w:val="00281C15"/>
    <w:rsid w:val="00300415"/>
    <w:rsid w:val="003223F7"/>
    <w:rsid w:val="003306F5"/>
    <w:rsid w:val="00392FC6"/>
    <w:rsid w:val="003A2C45"/>
    <w:rsid w:val="003C7363"/>
    <w:rsid w:val="004126DF"/>
    <w:rsid w:val="00421A6C"/>
    <w:rsid w:val="00432E0B"/>
    <w:rsid w:val="004421C3"/>
    <w:rsid w:val="00443493"/>
    <w:rsid w:val="00443EAD"/>
    <w:rsid w:val="00452534"/>
    <w:rsid w:val="004A699B"/>
    <w:rsid w:val="004F7848"/>
    <w:rsid w:val="005353B1"/>
    <w:rsid w:val="0055568F"/>
    <w:rsid w:val="00581421"/>
    <w:rsid w:val="005A1FDB"/>
    <w:rsid w:val="005A3267"/>
    <w:rsid w:val="005C6DD7"/>
    <w:rsid w:val="005C7D56"/>
    <w:rsid w:val="005D5BD3"/>
    <w:rsid w:val="0064542D"/>
    <w:rsid w:val="0064645F"/>
    <w:rsid w:val="00692E72"/>
    <w:rsid w:val="006B30CB"/>
    <w:rsid w:val="006E0FA4"/>
    <w:rsid w:val="006F5DCE"/>
    <w:rsid w:val="00736FF0"/>
    <w:rsid w:val="00746545"/>
    <w:rsid w:val="00774186"/>
    <w:rsid w:val="00792833"/>
    <w:rsid w:val="007A6567"/>
    <w:rsid w:val="007A6F6F"/>
    <w:rsid w:val="007D639B"/>
    <w:rsid w:val="007D6CF5"/>
    <w:rsid w:val="00820F06"/>
    <w:rsid w:val="008826F3"/>
    <w:rsid w:val="009243FA"/>
    <w:rsid w:val="00967720"/>
    <w:rsid w:val="009A1D5D"/>
    <w:rsid w:val="009B5640"/>
    <w:rsid w:val="009B70B3"/>
    <w:rsid w:val="009C65BB"/>
    <w:rsid w:val="009F0156"/>
    <w:rsid w:val="00A1402D"/>
    <w:rsid w:val="00A66FE5"/>
    <w:rsid w:val="00A70B93"/>
    <w:rsid w:val="00A720EE"/>
    <w:rsid w:val="00AA030D"/>
    <w:rsid w:val="00AC65A5"/>
    <w:rsid w:val="00BD0433"/>
    <w:rsid w:val="00BE05D5"/>
    <w:rsid w:val="00CE543E"/>
    <w:rsid w:val="00D03CCB"/>
    <w:rsid w:val="00D244DE"/>
    <w:rsid w:val="00D362A7"/>
    <w:rsid w:val="00DA79A9"/>
    <w:rsid w:val="00E27F66"/>
    <w:rsid w:val="00F04F1B"/>
    <w:rsid w:val="00F1108D"/>
    <w:rsid w:val="00F47B6B"/>
    <w:rsid w:val="00F72B2D"/>
    <w:rsid w:val="00F97EA3"/>
    <w:rsid w:val="00FC45AD"/>
    <w:rsid w:val="00FC7D7A"/>
    <w:rsid w:val="00FD08F4"/>
    <w:rsid w:val="00FD6162"/>
    <w:rsid w:val="01444E06"/>
    <w:rsid w:val="02A24944"/>
    <w:rsid w:val="09EF0DE8"/>
    <w:rsid w:val="0A9F4FF7"/>
    <w:rsid w:val="15D87AD3"/>
    <w:rsid w:val="1CC0728D"/>
    <w:rsid w:val="20046286"/>
    <w:rsid w:val="25FC64EE"/>
    <w:rsid w:val="27A149EC"/>
    <w:rsid w:val="29C41EED"/>
    <w:rsid w:val="29D32B4F"/>
    <w:rsid w:val="2A3D5809"/>
    <w:rsid w:val="2C471C16"/>
    <w:rsid w:val="2E966EA8"/>
    <w:rsid w:val="326879B1"/>
    <w:rsid w:val="3EFC5F65"/>
    <w:rsid w:val="40337869"/>
    <w:rsid w:val="41E2640C"/>
    <w:rsid w:val="43DE3C0D"/>
    <w:rsid w:val="45483F79"/>
    <w:rsid w:val="46417347"/>
    <w:rsid w:val="49AA20C7"/>
    <w:rsid w:val="49D5635A"/>
    <w:rsid w:val="4C4769E8"/>
    <w:rsid w:val="51011A9E"/>
    <w:rsid w:val="5A5D49E1"/>
    <w:rsid w:val="5AA45D7E"/>
    <w:rsid w:val="5C4116F3"/>
    <w:rsid w:val="5DCE6C6A"/>
    <w:rsid w:val="62CB632A"/>
    <w:rsid w:val="63EA0C52"/>
    <w:rsid w:val="6402026C"/>
    <w:rsid w:val="65A22A5C"/>
    <w:rsid w:val="6A381EC0"/>
    <w:rsid w:val="6BFB3F73"/>
    <w:rsid w:val="6CCB508F"/>
    <w:rsid w:val="726F582A"/>
    <w:rsid w:val="72A660D1"/>
    <w:rsid w:val="72AB3A02"/>
    <w:rsid w:val="77186A4F"/>
    <w:rsid w:val="77C50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352</Words>
  <Characters>2013</Characters>
  <Lines>16</Lines>
  <Paragraphs>4</Paragraphs>
  <TotalTime>12</TotalTime>
  <ScaleCrop>false</ScaleCrop>
  <LinksUpToDate>false</LinksUpToDate>
  <CharactersWithSpaces>2361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2016-11-24T02:24:00Z</dcterms:created>
  <dc:creator>微软用户</dc:creator>
  <cp:lastModifiedBy>zcx</cp:lastModifiedBy>
  <cp:lastPrinted>2016-08-04T07:10:00Z</cp:lastPrinted>
  <dcterms:modified xsi:type="dcterms:W3CDTF">2019-12-23T07:18:39Z</dcterms:modified>
  <dc:title>儋州市人民政府扶持小微企业助保金管理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