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lang w:val="en-US" w:eastAsia="zh-CN"/>
        </w:rPr>
        <w:t>2021</w:t>
      </w:r>
      <w:r>
        <w:rPr>
          <w:rFonts w:hint="eastAsia" w:ascii="方正小标宋简体" w:hAnsi="方正小标宋简体" w:eastAsia="方正小标宋简体" w:cs="方正小标宋简体"/>
          <w:sz w:val="84"/>
          <w:szCs w:val="84"/>
        </w:rPr>
        <w:t>年</w:t>
      </w:r>
      <w:r>
        <w:rPr>
          <w:rFonts w:hint="eastAsia" w:ascii="方正小标宋简体" w:hAnsi="方正小标宋简体" w:eastAsia="方正小标宋简体" w:cs="方正小标宋简体"/>
          <w:sz w:val="84"/>
          <w:szCs w:val="84"/>
          <w:lang w:eastAsia="zh-CN"/>
        </w:rPr>
        <w:t>琼海市商务局单位</w:t>
      </w:r>
      <w:r>
        <w:rPr>
          <w:rFonts w:hint="eastAsia" w:ascii="方正小标宋简体" w:hAnsi="方正小标宋简体" w:eastAsia="方正小标宋简体" w:cs="方正小标宋简体"/>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lang w:eastAsia="zh-CN"/>
        </w:rPr>
        <w:t>年单位预算</w:t>
      </w:r>
      <w:r>
        <w:rPr>
          <w:rFonts w:hint="eastAsia" w:ascii="黑体" w:hAnsi="黑体" w:eastAsia="黑体"/>
          <w:sz w:val="32"/>
          <w:szCs w:val="32"/>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（一）</w:t>
      </w:r>
      <w:r>
        <w:rPr>
          <w:rFonts w:hint="eastAsia" w:ascii="仿宋" w:hAnsi="仿宋" w:eastAsia="仿宋" w:cs="仿宋"/>
          <w:color w:val="000000"/>
          <w:sz w:val="32"/>
          <w:szCs w:val="32"/>
          <w:lang w:eastAsia="zh-CN"/>
        </w:rPr>
        <w:t>贯彻执行党和国家、省委省政府</w:t>
      </w:r>
      <w:r>
        <w:rPr>
          <w:rFonts w:hint="eastAsia" w:ascii="仿宋" w:hAnsi="仿宋" w:eastAsia="仿宋" w:cs="仿宋"/>
          <w:bCs/>
          <w:sz w:val="32"/>
          <w:szCs w:val="32"/>
          <w:lang w:eastAsia="zh-CN"/>
        </w:rPr>
        <w:t>关于国内外贸易、国际经济合作、利用外资、会展业发展和口岸工作的方针政策、法律法规、规章制度和发展战略，执行市委市政府决策部署和</w:t>
      </w:r>
      <w:r>
        <w:rPr>
          <w:rFonts w:hint="eastAsia" w:ascii="仿宋" w:hAnsi="仿宋" w:eastAsia="仿宋" w:cs="仿宋"/>
          <w:color w:val="000000"/>
          <w:sz w:val="32"/>
          <w:szCs w:val="32"/>
          <w:lang w:eastAsia="zh-CN"/>
        </w:rPr>
        <w:t>海南自由贸易试验区（自由贸易港）政策措施。</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二）研究拟订并组织实施全市内外贸易、外商投资、对外投资和国际经济合作政策措施、规章制度，编制全市商务事业发展规划和年度计划，研究推进内外贸易、外商投资改革，研究提出海南自由贸易试验区琼海（东部区域中心城市）内外贸易、外商投资、对外投资和对外经济合作工作方面的意见和建议。</w:t>
      </w:r>
    </w:p>
    <w:p>
      <w:pPr>
        <w:pStyle w:val="9"/>
        <w:widowControl/>
        <w:spacing w:line="560" w:lineRule="exact"/>
        <w:rPr>
          <w:rFonts w:hint="eastAsia" w:ascii="仿宋" w:hAnsi="仿宋" w:eastAsia="仿宋" w:cs="仿宋"/>
          <w:bCs/>
          <w:sz w:val="32"/>
          <w:szCs w:val="32"/>
          <w:lang w:val="en-US"/>
        </w:rPr>
      </w:pPr>
      <w:r>
        <w:rPr>
          <w:rFonts w:hint="eastAsia" w:ascii="仿宋" w:hAnsi="仿宋" w:eastAsia="仿宋" w:cs="仿宋"/>
          <w:bCs/>
          <w:sz w:val="32"/>
          <w:szCs w:val="32"/>
          <w:lang w:val="en-US"/>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lang w:eastAsia="zh-CN"/>
        </w:rPr>
        <w:t>（三）负责推进市内流通产业供给侧改革，负责商贸服务业行业管理，推动流通标准化建设和现代流通方式的发展。</w:t>
      </w:r>
    </w:p>
    <w:p>
      <w:pPr>
        <w:pStyle w:val="9"/>
        <w:widowControl/>
        <w:numPr>
          <w:ilvl w:val="0"/>
          <w:numId w:val="6"/>
        </w:numPr>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指导全市批发市场（含现货大宗产品市场）规划和城市商业网点规划、商业体系建设工作，组织实施农村现代流通网络工程。</w:t>
      </w:r>
    </w:p>
    <w:p>
      <w:pPr>
        <w:pStyle w:val="9"/>
        <w:widowControl/>
        <w:numPr>
          <w:ilvl w:val="0"/>
          <w:numId w:val="6"/>
        </w:numPr>
        <w:spacing w:line="560" w:lineRule="exact"/>
        <w:ind w:left="0" w:firstLine="640" w:firstLineChars="200"/>
        <w:rPr>
          <w:rFonts w:hint="eastAsia" w:ascii="仿宋" w:hAnsi="仿宋" w:eastAsia="仿宋" w:cs="仿宋"/>
          <w:bCs/>
          <w:sz w:val="32"/>
          <w:szCs w:val="32"/>
          <w:lang w:val="en-US"/>
        </w:rPr>
      </w:pPr>
      <w:r>
        <w:rPr>
          <w:rFonts w:hint="eastAsia" w:ascii="仿宋_GB2312" w:hAnsi="仿宋_GB2312" w:eastAsia="仿宋_GB2312" w:cs="仿宋_GB2312"/>
          <w:bCs/>
          <w:sz w:val="32"/>
          <w:szCs w:val="32"/>
          <w:lang w:eastAsia="zh-CN"/>
        </w:rPr>
        <w:t>负责组织实施全市重要消费品市场调控和重要生产资料流通管理的责任。</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（六）负责管理进出口贸易，推进进出口贸易标准化和贸易自由化、便利化工作，依法监督市内技术引进、设备进口、国家限制出口技术的工作。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（七）负责中央、省级和市级各类商务业务发展资金、专项资金项目的申报和实施；负责有关统计、信息发布和信息化管理。</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（八）探索内外贸易更加灵活的</w:t>
      </w:r>
      <w:r>
        <w:rPr>
          <w:rFonts w:hint="eastAsia" w:ascii="仿宋" w:hAnsi="仿宋" w:eastAsia="仿宋" w:cs="仿宋"/>
          <w:color w:val="000000"/>
          <w:sz w:val="32"/>
          <w:szCs w:val="32"/>
          <w:lang w:eastAsia="zh-CN"/>
        </w:rPr>
        <w:t>监管模式和管理体制，落实贸易便利化改革措施，协调推进国际贸易单一窗口建设。</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（九）推进服务贸易创新发展，并会同有关部门组织实施，推进服务外包平台建设。</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（十）负责全市对外经济合作和相关对外援助工作。负责全市外商投资企业的管理和服务工作。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（十一）负责全市会展业发展工作。负责全市电子商务发展工作。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（十二）负责综合协调全市海港、空港口岸管理工作。</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（十三）</w:t>
      </w:r>
      <w:r>
        <w:rPr>
          <w:rFonts w:hint="eastAsia" w:ascii="仿宋" w:hAnsi="仿宋" w:eastAsia="仿宋" w:cs="仿宋"/>
          <w:color w:val="000000"/>
          <w:sz w:val="32"/>
          <w:szCs w:val="32"/>
          <w:lang w:eastAsia="zh-CN"/>
        </w:rPr>
        <w:t>集中办理商务领域各项行政审批事项。指导全市内外贸行业工作人员的教育培训，指导进出口商会和有关协会工作。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（十四）完成市委、市政府交办的其他任务。</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（十五）职责分工。</w:t>
      </w:r>
    </w:p>
    <w:p>
      <w:pPr>
        <w:pStyle w:val="9"/>
        <w:widowControl/>
        <w:spacing w:line="56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市商务局和市发展和改革委员会有关职责分工。</w:t>
      </w:r>
    </w:p>
    <w:p>
      <w:pPr>
        <w:pStyle w:val="9"/>
        <w:widowControl/>
        <w:spacing w:line="560" w:lineRule="exact"/>
        <w:ind w:left="0" w:firstLine="640" w:firstLineChars="200"/>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eastAsia="zh-CN"/>
        </w:rPr>
        <w:t>重要商品进出口管理。市发展和改革委员会负责编制重要工业品、原材料和重要农产品的进出口总量计划；市商务局负责在市发展改革委员会确定的总量计划内组织实施。</w:t>
      </w:r>
    </w:p>
    <w:p>
      <w:pPr>
        <w:pStyle w:val="9"/>
        <w:widowControl/>
        <w:adjustRightInd w:val="0"/>
        <w:spacing w:line="560" w:lineRule="exact"/>
        <w:ind w:left="0" w:firstLine="640" w:firstLineChars="200"/>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eastAsia="zh-CN"/>
        </w:rPr>
        <w:t>外商投资管理。按照省相关部门制定的规定执行。</w:t>
      </w:r>
    </w:p>
    <w:p>
      <w:pPr>
        <w:pStyle w:val="9"/>
        <w:widowControl/>
        <w:numPr>
          <w:ilvl w:val="0"/>
          <w:numId w:val="7"/>
        </w:numPr>
        <w:adjustRightInd w:val="0"/>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sz w:val="32"/>
          <w:szCs w:val="32"/>
          <w:lang w:eastAsia="zh-CN"/>
        </w:rPr>
        <w:t>市商务局和市旅游和文化广电体育局有关会展管理的职责分工。市商务局</w:t>
      </w:r>
      <w:r>
        <w:rPr>
          <w:rFonts w:hint="eastAsia" w:ascii="仿宋" w:hAnsi="仿宋" w:eastAsia="仿宋" w:cs="仿宋"/>
          <w:color w:val="000000"/>
          <w:sz w:val="32"/>
          <w:szCs w:val="32"/>
          <w:lang w:eastAsia="zh-CN"/>
        </w:rPr>
        <w:t>负责拟订全市会展业发展规划，并组织实施；负责会展行业的统筹协调、促进与服务工作；承担市推动会展业发展工作联席会议日常工作。市</w:t>
      </w:r>
      <w:r>
        <w:rPr>
          <w:rFonts w:hint="eastAsia" w:ascii="仿宋" w:hAnsi="仿宋" w:eastAsia="仿宋" w:cs="仿宋"/>
          <w:sz w:val="32"/>
          <w:szCs w:val="32"/>
          <w:lang w:eastAsia="zh-CN"/>
        </w:rPr>
        <w:t>旅游和文化广电体育局负责</w:t>
      </w:r>
      <w:r>
        <w:rPr>
          <w:rFonts w:hint="eastAsia" w:ascii="仿宋" w:hAnsi="仿宋" w:eastAsia="仿宋" w:cs="仿宋"/>
          <w:color w:val="000000"/>
          <w:sz w:val="32"/>
          <w:szCs w:val="32"/>
          <w:lang w:eastAsia="zh-CN"/>
        </w:rPr>
        <w:t>与市商务局协调发展会展旅游。</w:t>
      </w:r>
    </w:p>
    <w:p>
      <w:pPr>
        <w:pStyle w:val="9"/>
        <w:widowControl/>
        <w:adjustRightInd w:val="0"/>
        <w:spacing w:line="600" w:lineRule="exact"/>
        <w:rPr>
          <w:rFonts w:hint="eastAsia" w:ascii="仿宋" w:hAnsi="仿宋" w:eastAsia="仿宋" w:cs="仿宋"/>
          <w:color w:val="000000"/>
          <w:sz w:val="32"/>
          <w:szCs w:val="32"/>
          <w:lang w:val="en-US"/>
        </w:rPr>
      </w:pPr>
      <w:r>
        <w:rPr>
          <w:rFonts w:hint="eastAsia" w:ascii="仿宋_GB2312" w:hAnsi="仿宋_GB2312" w:eastAsia="仿宋_GB2312" w:cs="仿宋_GB2312"/>
          <w:color w:val="000000"/>
          <w:sz w:val="32"/>
          <w:szCs w:val="24"/>
          <w:lang w:val="en-US"/>
        </w:rPr>
        <w:t xml:space="preserve">    3.</w:t>
      </w:r>
      <w:r>
        <w:rPr>
          <w:rFonts w:hint="eastAsia" w:ascii="仿宋_GB2312" w:hAnsi="仿宋_GB2312" w:eastAsia="仿宋_GB2312" w:cs="仿宋_GB2312"/>
          <w:color w:val="000000"/>
          <w:sz w:val="32"/>
          <w:szCs w:val="24"/>
          <w:lang w:eastAsia="zh-CN"/>
        </w:rPr>
        <w:t>市商务局和市市场监督管理局有关药品流通管理的职责分工。市商务局配合市市场监督管理局实施国家基本药物制度，协助流通企业应急处理。市市场监督管理局依法负责药品流通企业准入管理和药品流通监管，拟定药品流通过程中涉及质量与安全的相关标准并监督实施，做好配送企业家资质审核。</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商务局</w:t>
      </w:r>
      <w:r>
        <w:rPr>
          <w:rFonts w:hint="eastAsia" w:ascii="黑体" w:hAnsi="黑体" w:eastAsia="黑体" w:cs="仿宋_GB2312"/>
          <w:sz w:val="32"/>
          <w:szCs w:val="32"/>
        </w:rPr>
        <w:t>预算单位构成</w:t>
      </w:r>
    </w:p>
    <w:p>
      <w:pPr>
        <w:pStyle w:val="10"/>
        <w:ind w:firstLine="640"/>
        <w:jc w:val="left"/>
        <w:rPr>
          <w:rFonts w:ascii="仿宋_GB2312" w:hAnsi="黑体" w:eastAsia="仿宋_GB2312" w:cs="仿宋_GB2312"/>
          <w:sz w:val="32"/>
          <w:szCs w:val="32"/>
        </w:rPr>
      </w:pPr>
      <w:r>
        <w:rPr>
          <w:rFonts w:hint="eastAsia" w:ascii="仿宋_GB2312" w:hAnsi="仿宋_GB2312" w:eastAsia="仿宋_GB2312" w:cs="仿宋_GB2312"/>
          <w:sz w:val="32"/>
          <w:szCs w:val="32"/>
        </w:rPr>
        <w:t>纳入琼海市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局20</w:t>
      </w:r>
      <w:r>
        <w:rPr>
          <w:rFonts w:hint="eastAsia" w:ascii="仿宋_GB2312" w:hAnsi="仿宋_GB2312" w:eastAsia="仿宋_GB2312" w:cs="仿宋_GB2312"/>
          <w:color w:val="000000"/>
          <w:kern w:val="0"/>
          <w:sz w:val="32"/>
          <w:szCs w:val="24"/>
          <w:lang w:val="en-US" w:eastAsia="zh-CN" w:bidi="ar"/>
        </w:rPr>
        <w:t>21年单位预算编制</w:t>
      </w:r>
      <w:r>
        <w:rPr>
          <w:rFonts w:hint="eastAsia" w:ascii="仿宋_GB2312" w:hAnsi="仿宋_GB2312" w:eastAsia="仿宋_GB2312" w:cs="仿宋_GB2312"/>
          <w:sz w:val="32"/>
          <w:szCs w:val="32"/>
        </w:rPr>
        <w:t>范围的预算单位</w:t>
      </w:r>
      <w:r>
        <w:rPr>
          <w:rFonts w:hint="eastAsia" w:ascii="仿宋_GB2312" w:hAnsi="黑体" w:eastAsia="仿宋_GB2312" w:cs="仿宋_GB2312"/>
          <w:sz w:val="32"/>
          <w:szCs w:val="32"/>
        </w:rPr>
        <w:t>包括：</w:t>
      </w:r>
      <w:r>
        <w:rPr>
          <w:rFonts w:hint="eastAsia" w:ascii="仿宋_GB2312" w:hAnsi="仿宋_GB2312" w:eastAsia="仿宋_GB2312" w:cs="仿宋_GB2312"/>
          <w:sz w:val="32"/>
          <w:szCs w:val="32"/>
        </w:rPr>
        <w:t>琼海市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局本级。</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万元、政府性基金预算本年收</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258.54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36.54万元、卫生健康支出49.36万元、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15.93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2021年单位</w:t>
      </w:r>
      <w:r>
        <w:rPr>
          <w:rFonts w:hint="eastAsia" w:ascii="黑体" w:hAnsi="黑体" w:eastAsia="黑体"/>
          <w:sz w:val="32"/>
          <w:szCs w:val="32"/>
          <w:lang w:eastAsia="zh-CN"/>
        </w:rPr>
        <w:t>一般公共预</w:t>
      </w:r>
      <w:r>
        <w:rPr>
          <w:rFonts w:hint="eastAsia" w:ascii="黑体" w:hAnsi="黑体" w:eastAsia="黑体"/>
          <w:sz w:val="32"/>
          <w:szCs w:val="32"/>
        </w:rPr>
        <w:t>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314.58</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45.79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原因是项目支出增加</w:t>
      </w:r>
      <w:r>
        <w:rPr>
          <w:rFonts w:hint="eastAsia" w:ascii="仿宋_GB2312" w:hAnsi="黑体" w:eastAsia="仿宋_GB2312"/>
          <w:sz w:val="32"/>
          <w:szCs w:val="32"/>
          <w:lang w:val="en-US" w:eastAsia="zh-CN"/>
        </w:rPr>
        <w:t>45.79万元及人员增加（</w:t>
      </w:r>
      <w:r>
        <w:rPr>
          <w:rFonts w:hint="eastAsia" w:ascii="仿宋_GB2312" w:hAnsi="黑体" w:eastAsia="仿宋_GB2312"/>
          <w:sz w:val="32"/>
          <w:szCs w:val="32"/>
          <w:lang w:eastAsia="zh-CN"/>
        </w:rPr>
        <w:t>我局今年增加部队转业干部两名，未占用单位的编制）。</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258.54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71.74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36.54万元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49.36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13.70</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15.93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4.42</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142.68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150.23</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w:t>
      </w:r>
    </w:p>
    <w:p>
      <w:pPr>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商贸</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其他商贸事务支出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115.86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68.20万元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47.66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，主要原因项目资金预算增加。</w:t>
      </w:r>
      <w:r>
        <w:rPr>
          <w:rFonts w:hint="eastAsia" w:ascii="仿宋_GB2312" w:hAnsi="黑体" w:eastAsia="仿宋_GB2312" w:cs="仿宋_GB2312"/>
          <w:sz w:val="32"/>
          <w:szCs w:val="32"/>
          <w:lang w:val="en-US" w:eastAsia="zh-CN"/>
        </w:rPr>
        <w:t xml:space="preserve"> </w:t>
      </w:r>
    </w:p>
    <w:p>
      <w:pPr>
        <w:numPr>
          <w:ilvl w:val="0"/>
          <w:numId w:val="0"/>
        </w:num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 xml:space="preserve"> 3.社会保障和就</w:t>
      </w:r>
      <w:r>
        <w:rPr>
          <w:rFonts w:hint="eastAsia" w:ascii="仿宋" w:hAnsi="仿宋" w:eastAsia="仿宋" w:cs="仿宋_GB2312"/>
          <w:color w:val="000000" w:themeColor="text1"/>
          <w:kern w:val="2"/>
          <w:sz w:val="32"/>
          <w:szCs w:val="32"/>
          <w:lang w:val="en-US" w:eastAsia="zh-CN" w:bidi="ar"/>
        </w:rPr>
        <w:t>业支出（类）行政事业单位养老支出</w:t>
      </w:r>
      <w:r>
        <w:rPr>
          <w:rFonts w:hint="eastAsia" w:ascii="仿宋" w:hAnsi="仿宋" w:eastAsia="仿宋" w:cs="仿宋_GB2312"/>
          <w:kern w:val="2"/>
          <w:sz w:val="32"/>
          <w:szCs w:val="32"/>
          <w:lang w:val="en-US" w:eastAsia="zh-CN" w:bidi="ar"/>
        </w:rPr>
        <w:t>（款）机关事业单位基本养老保险缴费支出（项）2021年</w:t>
      </w:r>
      <w:r>
        <w:rPr>
          <w:rFonts w:hint="eastAsia" w:ascii="仿宋" w:hAnsi="仿宋" w:eastAsia="仿宋" w:cs="Times New Roman"/>
          <w:kern w:val="2"/>
          <w:sz w:val="32"/>
          <w:szCs w:val="32"/>
          <w:lang w:val="en-US" w:eastAsia="zh-CN" w:bidi="ar"/>
        </w:rPr>
        <w:t>预算数为</w:t>
      </w:r>
      <w:r>
        <w:rPr>
          <w:rFonts w:hint="eastAsia" w:ascii="仿宋" w:hAnsi="仿宋" w:eastAsia="仿宋" w:cs="仿宋_GB2312"/>
          <w:kern w:val="2"/>
          <w:sz w:val="32"/>
          <w:szCs w:val="32"/>
          <w:lang w:val="en-US" w:eastAsia="zh-CN" w:bidi="ar"/>
        </w:rPr>
        <w:t>25.86</w:t>
      </w:r>
      <w:r>
        <w:rPr>
          <w:rFonts w:hint="eastAsia" w:ascii="仿宋" w:hAnsi="仿宋" w:eastAsia="仿宋" w:cs="Times New Roman"/>
          <w:kern w:val="2"/>
          <w:sz w:val="32"/>
          <w:szCs w:val="32"/>
          <w:lang w:val="en-US" w:eastAsia="zh-CN" w:bidi="ar"/>
        </w:rPr>
        <w:t>万元，</w:t>
      </w:r>
      <w:r>
        <w:rPr>
          <w:rFonts w:hint="eastAsia" w:ascii="仿宋_GB2312" w:hAnsi="黑体" w:eastAsia="仿宋_GB2312" w:cs="仿宋_GB2312"/>
          <w:sz w:val="32"/>
          <w:szCs w:val="32"/>
        </w:rPr>
        <w:t>比上年预算数</w:t>
      </w:r>
      <w:r>
        <w:rPr>
          <w:rFonts w:hint="eastAsia" w:ascii="仿宋" w:hAnsi="仿宋" w:eastAsia="仿宋" w:cs="仿宋_GB2312"/>
          <w:kern w:val="2"/>
          <w:sz w:val="32"/>
          <w:szCs w:val="32"/>
          <w:lang w:val="en-US" w:eastAsia="zh-CN" w:bidi="ar"/>
        </w:rPr>
        <w:t>19.91</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5.95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职业年金缴费的增加</w:t>
      </w:r>
      <w:r>
        <w:rPr>
          <w:rFonts w:hint="eastAsia" w:ascii="仿宋_GB2312" w:hAnsi="黑体" w:eastAsia="仿宋_GB2312"/>
          <w:sz w:val="32"/>
          <w:szCs w:val="32"/>
        </w:rPr>
        <w:t>。</w:t>
      </w:r>
    </w:p>
    <w:p>
      <w:pPr>
        <w:numPr>
          <w:ilvl w:val="0"/>
          <w:numId w:val="0"/>
        </w:numPr>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 xml:space="preserve">     4.社会保障和就业支出（类）</w:t>
      </w:r>
      <w:r>
        <w:rPr>
          <w:rFonts w:hint="eastAsia" w:ascii="仿宋" w:hAnsi="仿宋" w:eastAsia="仿宋" w:cs="Times New Roman"/>
          <w:kern w:val="2"/>
          <w:sz w:val="32"/>
          <w:szCs w:val="32"/>
          <w:lang w:val="en-US" w:eastAsia="zh-CN" w:bidi="ar"/>
        </w:rPr>
        <w:t>抚恤</w:t>
      </w:r>
      <w:r>
        <w:rPr>
          <w:rFonts w:hint="eastAsia" w:ascii="仿宋" w:hAnsi="仿宋" w:eastAsia="仿宋" w:cs="仿宋_GB2312"/>
          <w:kern w:val="2"/>
          <w:sz w:val="32"/>
          <w:szCs w:val="32"/>
          <w:lang w:val="en-US" w:eastAsia="zh-CN" w:bidi="ar"/>
        </w:rPr>
        <w:t>（款）其他优抚支出（项）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预算数10.86万元。比上年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5.34万元增加5.52万元，主要原因人员遗属人员金额增加。</w:t>
      </w:r>
    </w:p>
    <w:p>
      <w:pPr>
        <w:numPr>
          <w:ilvl w:val="0"/>
          <w:numId w:val="0"/>
        </w:numPr>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 xml:space="preserve">    5.卫生健康支出（类）行政事业单位医疗（款）行政单位医疗（项）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预算数10.15万元，与上年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10.57万元基本持平。</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6.卫生健康支出（类）行政单位医疗（款）公务员医疗补助（项）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预算数39.21万元。比上年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42.59万元减少3.38万元，主要是</w:t>
      </w:r>
      <w:r>
        <w:rPr>
          <w:rFonts w:hint="eastAsia" w:ascii="仿宋_GB2312" w:hAnsi="黑体" w:eastAsia="仿宋_GB2312"/>
          <w:sz w:val="32"/>
          <w:szCs w:val="32"/>
          <w:lang w:eastAsia="zh-CN"/>
        </w:rPr>
        <w:t>人员调出调入等级结构变化</w:t>
      </w:r>
      <w:r>
        <w:rPr>
          <w:rFonts w:hint="eastAsia" w:ascii="仿宋" w:hAnsi="仿宋" w:eastAsia="仿宋" w:cs="仿宋_GB2312"/>
          <w:kern w:val="2"/>
          <w:sz w:val="32"/>
          <w:szCs w:val="32"/>
          <w:lang w:val="en-US" w:eastAsia="zh-CN" w:bidi="ar"/>
        </w:rPr>
        <w:t>。</w:t>
      </w:r>
    </w:p>
    <w:p>
      <w:pPr>
        <w:keepNext w:val="0"/>
        <w:keepLines w:val="0"/>
        <w:widowControl w:val="0"/>
        <w:suppressLineNumbers w:val="0"/>
        <w:spacing w:before="0" w:beforeAutospacing="0" w:after="0" w:afterAutospacing="0"/>
        <w:ind w:right="0" w:firstLine="640" w:firstLineChars="200"/>
        <w:jc w:val="both"/>
        <w:rPr>
          <w:rFonts w:hint="eastAsia" w:ascii="仿宋_GB2312" w:hAnsi="黑体" w:eastAsia="仿宋_GB2312"/>
          <w:sz w:val="32"/>
          <w:szCs w:val="32"/>
          <w:highlight w:val="yellow"/>
          <w:lang w:val="en-US" w:eastAsia="zh-CN"/>
        </w:rPr>
      </w:pPr>
      <w:r>
        <w:rPr>
          <w:rFonts w:hint="eastAsia" w:ascii="仿宋" w:hAnsi="仿宋" w:eastAsia="仿宋" w:cs="仿宋"/>
          <w:kern w:val="2"/>
          <w:sz w:val="32"/>
          <w:szCs w:val="32"/>
          <w:lang w:val="en-US" w:eastAsia="zh-CN" w:bidi="ar"/>
        </w:rPr>
        <w:t>7.住房保障支出</w:t>
      </w:r>
      <w:r>
        <w:rPr>
          <w:rFonts w:hint="eastAsia" w:ascii="仿宋" w:hAnsi="仿宋" w:eastAsia="仿宋" w:cs="仿宋_GB2312"/>
          <w:kern w:val="2"/>
          <w:sz w:val="32"/>
          <w:szCs w:val="32"/>
          <w:lang w:val="en-US" w:eastAsia="zh-CN" w:bidi="ar"/>
        </w:rPr>
        <w:t>（类）住房改革支出（款）住房公积金（项）2021年预算15.93万元，比上年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17.75万元减少 1.82万元，主要是</w:t>
      </w:r>
      <w:r>
        <w:rPr>
          <w:rFonts w:hint="eastAsia" w:ascii="仿宋_GB2312" w:hAnsi="黑体" w:eastAsia="仿宋_GB2312"/>
          <w:sz w:val="32"/>
          <w:szCs w:val="32"/>
          <w:lang w:eastAsia="zh-CN"/>
        </w:rPr>
        <w:t>人员调出调入等级结构变化</w:t>
      </w:r>
      <w:r>
        <w:rPr>
          <w:rFonts w:hint="eastAsia" w:ascii="仿宋" w:hAnsi="仿宋" w:eastAsia="仿宋" w:cs="仿宋_GB2312"/>
          <w:kern w:val="2"/>
          <w:sz w:val="32"/>
          <w:szCs w:val="32"/>
          <w:lang w:val="en-US" w:eastAsia="zh-CN" w:bidi="ar"/>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2021年单位</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244.52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234.07</w:t>
      </w:r>
      <w:r>
        <w:rPr>
          <w:rFonts w:hint="eastAsia" w:ascii="仿宋_GB2312" w:hAnsi="黑体" w:eastAsia="仿宋_GB2312"/>
          <w:sz w:val="32"/>
          <w:szCs w:val="32"/>
        </w:rPr>
        <w:t>万元，主要包括：基本工资、津贴补贴、奖金、 机关事业单位基本养老保险缴费</w:t>
      </w:r>
      <w:r>
        <w:rPr>
          <w:rFonts w:hint="eastAsia" w:ascii="仿宋_GB2312" w:hAnsi="黑体" w:eastAsia="仿宋_GB2312"/>
          <w:sz w:val="32"/>
          <w:szCs w:val="32"/>
          <w:lang w:eastAsia="zh-CN"/>
        </w:rPr>
        <w:t>、城镇职工基本医疗保险缴费、公务员医疗补助缴费、其他社会保障缴费、</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、生活补助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10.45</w:t>
      </w:r>
      <w:r>
        <w:rPr>
          <w:rFonts w:hint="eastAsia" w:ascii="仿宋_GB2312" w:hAnsi="黑体" w:eastAsia="仿宋_GB2312"/>
          <w:sz w:val="32"/>
          <w:szCs w:val="32"/>
        </w:rPr>
        <w:t>万元，主要包括：办公费、邮电费</w:t>
      </w:r>
      <w:r>
        <w:rPr>
          <w:rFonts w:hint="eastAsia" w:ascii="仿宋_GB2312" w:hAnsi="黑体" w:eastAsia="仿宋_GB2312"/>
          <w:sz w:val="32"/>
          <w:szCs w:val="32"/>
          <w:lang w:eastAsia="zh-CN"/>
        </w:rPr>
        <w:t>、差旅费、维修(护)费、会议费、培训费、工会经费、公务用车运行维护费、 其他交通费用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琼海市商</w:t>
      </w:r>
      <w:r>
        <w:rPr>
          <w:rFonts w:hint="eastAsia" w:ascii="黑体" w:hAnsi="黑体" w:eastAsia="黑体" w:cs="Times New Roman"/>
          <w:sz w:val="32"/>
          <w:shd w:val="clear" w:color="auto" w:fill="FFFFFF"/>
          <w:lang w:eastAsia="zh-CN"/>
        </w:rPr>
        <w:t>务局</w:t>
      </w:r>
      <w:r>
        <w:rPr>
          <w:rFonts w:hint="eastAsia" w:ascii="黑体" w:hAnsi="黑体" w:eastAsia="黑体" w:cs="Times New Roman"/>
          <w:sz w:val="32"/>
          <w:shd w:val="clear" w:color="auto" w:fill="FFFFFF"/>
          <w:lang w:val="en-US" w:eastAsia="zh-CN"/>
        </w:rPr>
        <w:t>2021年单位</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2021年未预算</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本年度没有</w:t>
      </w:r>
      <w:r>
        <w:rPr>
          <w:rFonts w:hint="eastAsia" w:ascii="仿宋_GB2312" w:hAnsi="黑体" w:eastAsia="仿宋_GB2312"/>
          <w:sz w:val="32"/>
          <w:szCs w:val="32"/>
        </w:rPr>
        <w:t>政府性基金预算“三公”经费预算</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w:t>
      </w:r>
      <w:r>
        <w:rPr>
          <w:rFonts w:hint="eastAsia" w:ascii="黑体" w:hAnsi="黑体" w:eastAsia="黑体" w:cs="Times New Roman"/>
          <w:sz w:val="32"/>
          <w:shd w:val="clear" w:color="auto" w:fill="FFFFFF"/>
          <w:lang w:eastAsia="zh-CN"/>
        </w:rPr>
        <w:t>商务局</w:t>
      </w:r>
      <w:r>
        <w:rPr>
          <w:rFonts w:hint="eastAsia" w:ascii="黑体" w:hAnsi="黑体" w:eastAsia="黑体" w:cs="Times New Roman"/>
          <w:sz w:val="32"/>
          <w:shd w:val="clear" w:color="auto" w:fill="FFFFFF"/>
          <w:lang w:val="en-US" w:eastAsia="zh-CN"/>
        </w:rPr>
        <w:t>2021年单位</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887.50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57.50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highlight w:val="none"/>
        </w:rPr>
        <w:t>城乡社区支出（类）</w:t>
      </w:r>
      <w:r>
        <w:rPr>
          <w:rFonts w:hint="eastAsia" w:ascii="仿宋_GB2312" w:hAnsi="黑体" w:eastAsia="仿宋_GB2312" w:cs="仿宋_GB2312"/>
          <w:sz w:val="32"/>
          <w:szCs w:val="32"/>
          <w:highlight w:val="none"/>
          <w:lang w:eastAsia="zh-CN"/>
        </w:rPr>
        <w:t>国有土地使用权出让收入安排的支出</w:t>
      </w:r>
      <w:r>
        <w:rPr>
          <w:rFonts w:hint="eastAsia" w:ascii="仿宋_GB2312" w:hAnsi="黑体" w:eastAsia="仿宋_GB2312" w:cs="仿宋_GB2312"/>
          <w:sz w:val="32"/>
          <w:szCs w:val="32"/>
          <w:highlight w:val="none"/>
        </w:rPr>
        <w:t>（款）其他国有土地使用权出让收入安排的支出（项）</w:t>
      </w:r>
      <w:r>
        <w:rPr>
          <w:rFonts w:hint="eastAsia" w:ascii="仿宋_GB2312" w:hAnsi="黑体" w:eastAsia="仿宋_GB2312" w:cs="仿宋_GB2312"/>
          <w:sz w:val="32"/>
          <w:szCs w:val="32"/>
          <w:highlight w:val="none"/>
          <w:lang w:val="en-US" w:eastAsia="zh-CN"/>
        </w:rPr>
        <w:t>2021年</w:t>
      </w:r>
      <w:r>
        <w:rPr>
          <w:rFonts w:hint="eastAsia" w:ascii="仿宋_GB2312" w:hAnsi="黑体" w:eastAsia="仿宋_GB2312"/>
          <w:sz w:val="32"/>
          <w:szCs w:val="32"/>
          <w:highlight w:val="none"/>
        </w:rPr>
        <w:t>预算数为</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lang w:val="en-US" w:eastAsia="zh-CN"/>
        </w:rPr>
        <w:t>887.50</w:t>
      </w:r>
      <w:r>
        <w:rPr>
          <w:rFonts w:hint="eastAsia" w:ascii="仿宋_GB2312" w:hAnsi="黑体" w:eastAsia="仿宋_GB2312"/>
          <w:sz w:val="32"/>
          <w:szCs w:val="32"/>
          <w:highlight w:val="none"/>
          <w:lang w:val="en-US" w:eastAsia="zh-CN"/>
        </w:rPr>
        <w:t>万元增加</w:t>
      </w:r>
      <w:r>
        <w:rPr>
          <w:rFonts w:hint="eastAsia" w:ascii="仿宋_GB2312" w:hAnsi="黑体" w:eastAsia="仿宋_GB2312" w:cs="仿宋_GB2312"/>
          <w:sz w:val="32"/>
          <w:szCs w:val="32"/>
          <w:highlight w:val="none"/>
          <w:lang w:val="en-US" w:eastAsia="zh-CN"/>
        </w:rPr>
        <w:t>57.5</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w:t>
      </w:r>
      <w:r>
        <w:rPr>
          <w:rFonts w:hint="eastAsia" w:ascii="黑体" w:hAnsi="黑体" w:eastAsia="黑体" w:cs="Times New Roman"/>
          <w:sz w:val="32"/>
          <w:shd w:val="clear" w:color="auto" w:fill="FFFFFF"/>
          <w:lang w:eastAsia="zh-CN"/>
        </w:rPr>
        <w:t>商务局</w:t>
      </w:r>
      <w:r>
        <w:rPr>
          <w:rFonts w:hint="eastAsia" w:ascii="黑体" w:hAnsi="黑体" w:eastAsia="黑体" w:cs="Times New Roman"/>
          <w:sz w:val="32"/>
          <w:shd w:val="clear" w:color="auto" w:fill="FFFFFF"/>
          <w:lang w:val="en-US" w:eastAsia="zh-CN"/>
        </w:rPr>
        <w:t>2021年单位</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lang w:eastAsia="zh-CN"/>
        </w:rPr>
        <w:t>城乡社区支出、住房保障支出。琼海市商务局</w:t>
      </w: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琼海市商务</w:t>
      </w:r>
      <w:r>
        <w:rPr>
          <w:rFonts w:hint="eastAsia" w:ascii="黑体" w:hAnsi="黑体" w:eastAsia="黑体" w:cs="Times New Roman"/>
          <w:sz w:val="32"/>
          <w:shd w:val="clear" w:color="auto" w:fill="FFFFFF"/>
          <w:lang w:eastAsia="zh-CN"/>
        </w:rPr>
        <w:t>局</w:t>
      </w:r>
      <w:r>
        <w:rPr>
          <w:rFonts w:hint="eastAsia" w:ascii="黑体" w:hAnsi="黑体" w:eastAsia="黑体" w:cs="Times New Roman"/>
          <w:sz w:val="32"/>
          <w:shd w:val="clear" w:color="auto" w:fill="FFFFFF"/>
          <w:lang w:val="en-US" w:eastAsia="zh-CN"/>
        </w:rPr>
        <w:t>2021年单位</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27.60</w:t>
      </w:r>
      <w:r>
        <w:rPr>
          <w:rFonts w:hint="eastAsia" w:ascii="仿宋_GB2312" w:hAnsi="黑体" w:eastAsia="仿宋_GB2312"/>
          <w:sz w:val="32"/>
          <w:szCs w:val="32"/>
        </w:rPr>
        <w:t>%；政府性基金收</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72.40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1192.08</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琼海市商</w:t>
      </w:r>
      <w:r>
        <w:rPr>
          <w:rFonts w:hint="eastAsia" w:ascii="黑体" w:hAnsi="黑体" w:eastAsia="黑体" w:cs="Times New Roman"/>
          <w:sz w:val="32"/>
          <w:shd w:val="clear" w:color="auto" w:fill="FFFFFF"/>
          <w:lang w:eastAsia="zh-CN"/>
        </w:rPr>
        <w:t>务局</w:t>
      </w:r>
      <w:r>
        <w:rPr>
          <w:rFonts w:hint="eastAsia" w:ascii="黑体" w:hAnsi="黑体" w:eastAsia="黑体" w:cs="Times New Roman"/>
          <w:sz w:val="32"/>
          <w:shd w:val="clear" w:color="auto" w:fill="FFFFFF"/>
          <w:lang w:val="en-US" w:eastAsia="zh-CN"/>
        </w:rPr>
        <w:t>2021年单位</w:t>
      </w:r>
      <w:bookmarkStart w:id="0" w:name="_GoBack"/>
      <w:bookmarkEnd w:id="0"/>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244.51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18.73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1060.86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1192.08</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142.68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政府采购</w:t>
      </w:r>
      <w:r>
        <w:rPr>
          <w:rFonts w:hint="eastAsia" w:ascii="仿宋_GB2312" w:hAnsi="黑体" w:eastAsia="仿宋_GB2312" w:cs="仿宋_GB2312"/>
          <w:sz w:val="32"/>
          <w:szCs w:val="32"/>
          <w:lang w:eastAsia="zh-CN"/>
        </w:rPr>
        <w:t>没有</w:t>
      </w:r>
      <w:r>
        <w:rPr>
          <w:rFonts w:hint="eastAsia" w:ascii="仿宋_GB2312" w:hAnsi="黑体" w:eastAsia="仿宋_GB2312" w:cs="仿宋_GB2312"/>
          <w:sz w:val="32"/>
          <w:szCs w:val="32"/>
        </w:rPr>
        <w:t>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琼海市商务局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eastAsia="zh-CN"/>
        </w:rPr>
        <w:t>没有</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auto"/>
          <w:kern w:val="0"/>
          <w:sz w:val="32"/>
          <w:szCs w:val="30"/>
          <w:highlight w:val="none"/>
          <w:lang w:eastAsia="zh-CN"/>
        </w:rPr>
        <w:t>政府办公厅（室）及相关机构</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行政单位</w:t>
      </w:r>
      <w:r>
        <w:rPr>
          <w:rFonts w:hint="eastAsia" w:ascii="仿宋_GB2312" w:hAnsi="宋体" w:eastAsia="仿宋_GB2312" w:cs="宋体"/>
          <w:color w:val="000000"/>
          <w:kern w:val="0"/>
          <w:sz w:val="32"/>
          <w:szCs w:val="30"/>
        </w:rPr>
        <w:t>用于保障机构正常运行、开展日常工作的基本支出。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ind w:firstLine="640"/>
        <w:jc w:val="left"/>
        <w:rPr>
          <w:rFonts w:hint="eastAsia" w:ascii="仿宋_GB2312" w:hAnsi="宋体" w:eastAsia="仿宋_GB2312" w:cs="宋体"/>
          <w:color w:val="000000"/>
          <w:kern w:val="0"/>
          <w:sz w:val="32"/>
          <w:szCs w:val="30"/>
        </w:rPr>
      </w:pPr>
      <w:r>
        <w:rPr>
          <w:rFonts w:hint="eastAsia" w:ascii="仿宋_GB2312" w:hAnsi="宋体" w:eastAsia="仿宋_GB2312" w:cs="宋体"/>
          <w:color w:val="auto"/>
          <w:kern w:val="0"/>
          <w:sz w:val="32"/>
          <w:szCs w:val="30"/>
          <w:highlight w:val="none"/>
          <w:lang w:eastAsia="zh-CN"/>
        </w:rPr>
        <w:t>十五、</w:t>
      </w:r>
      <w:r>
        <w:rPr>
          <w:rFonts w:hint="eastAsia" w:ascii="仿宋_GB2312" w:hAnsi="宋体" w:eastAsia="仿宋_GB2312" w:cs="宋体"/>
          <w:color w:val="auto"/>
          <w:kern w:val="0"/>
          <w:sz w:val="32"/>
          <w:szCs w:val="30"/>
          <w:highlight w:val="none"/>
        </w:rPr>
        <w:t>一般公共服务（类）</w:t>
      </w:r>
      <w:r>
        <w:rPr>
          <w:rFonts w:hint="eastAsia" w:ascii="仿宋_GB2312" w:hAnsi="宋体" w:eastAsia="仿宋_GB2312" w:cs="宋体"/>
          <w:color w:val="auto"/>
          <w:kern w:val="0"/>
          <w:sz w:val="32"/>
          <w:szCs w:val="30"/>
          <w:highlight w:val="none"/>
          <w:lang w:eastAsia="zh-CN"/>
        </w:rPr>
        <w:t>商贸</w:t>
      </w:r>
      <w:r>
        <w:rPr>
          <w:rFonts w:hint="eastAsia" w:ascii="仿宋_GB2312" w:hAnsi="宋体" w:eastAsia="仿宋_GB2312" w:cs="宋体"/>
          <w:color w:val="auto"/>
          <w:kern w:val="0"/>
          <w:sz w:val="32"/>
          <w:szCs w:val="30"/>
          <w:highlight w:val="none"/>
        </w:rPr>
        <w:t>事务（款）</w:t>
      </w:r>
      <w:r>
        <w:rPr>
          <w:rFonts w:hint="eastAsia" w:ascii="仿宋_GB2312" w:hAnsi="宋体" w:eastAsia="仿宋_GB2312" w:cs="宋体"/>
          <w:color w:val="auto"/>
          <w:kern w:val="0"/>
          <w:sz w:val="32"/>
          <w:szCs w:val="30"/>
          <w:highlight w:val="none"/>
          <w:lang w:eastAsia="zh-CN"/>
        </w:rPr>
        <w:t>其他商贸事务支出</w:t>
      </w:r>
      <w:r>
        <w:rPr>
          <w:rFonts w:hint="eastAsia" w:ascii="仿宋_GB2312" w:hAnsi="宋体" w:eastAsia="仿宋_GB2312" w:cs="宋体"/>
          <w:color w:val="auto"/>
          <w:kern w:val="0"/>
          <w:sz w:val="32"/>
          <w:szCs w:val="30"/>
          <w:highlight w:val="none"/>
        </w:rPr>
        <w:t>（项）：</w:t>
      </w:r>
      <w:r>
        <w:rPr>
          <w:rFonts w:hint="eastAsia" w:ascii="仿宋_GB2312" w:hAnsi="宋体" w:eastAsia="仿宋_GB2312" w:cs="宋体"/>
          <w:color w:val="auto"/>
          <w:kern w:val="0"/>
          <w:sz w:val="32"/>
          <w:szCs w:val="30"/>
          <w:highlight w:val="none"/>
          <w:lang w:eastAsia="zh-CN"/>
        </w:rPr>
        <w:t>反映项目以外其他用于商贸事务方面的支出。</w:t>
      </w:r>
    </w:p>
    <w:p>
      <w:pPr>
        <w:widowControl/>
        <w:spacing w:line="560" w:lineRule="exact"/>
        <w:ind w:firstLine="640" w:firstLineChars="200"/>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w:t>
      </w:r>
      <w:r>
        <w:rPr>
          <w:rFonts w:hint="eastAsia" w:ascii="仿宋_GB2312" w:hAnsi="宋体" w:eastAsia="仿宋_GB2312" w:cs="宋体"/>
          <w:color w:val="auto"/>
          <w:kern w:val="0"/>
          <w:sz w:val="32"/>
          <w:szCs w:val="30"/>
          <w:highlight w:val="none"/>
          <w:lang w:eastAsia="zh-CN"/>
        </w:rPr>
        <w:t>六</w:t>
      </w:r>
      <w:r>
        <w:rPr>
          <w:rFonts w:hint="eastAsia" w:ascii="仿宋_GB2312" w:hAnsi="宋体" w:eastAsia="仿宋_GB2312" w:cs="宋体"/>
          <w:color w:val="auto"/>
          <w:kern w:val="0"/>
          <w:sz w:val="32"/>
          <w:szCs w:val="30"/>
          <w:highlight w:val="none"/>
        </w:rPr>
        <w:t>、</w:t>
      </w:r>
      <w:r>
        <w:rPr>
          <w:rFonts w:hint="eastAsia" w:ascii="仿宋_GB2312" w:hAnsi="宋体" w:eastAsia="仿宋_GB2312" w:cs="宋体"/>
          <w:color w:val="auto"/>
          <w:kern w:val="0"/>
          <w:sz w:val="32"/>
          <w:szCs w:val="30"/>
          <w:highlight w:val="none"/>
          <w:lang w:val="en-US" w:eastAsia="zh-CN"/>
        </w:rPr>
        <w:t>社会保障和就业支出（类）行政事业单位离退休（款）机关事业单位基本养老保险缴费支出（项）：反映机关事业单位实施养老保险制度由单位缴纳的基本养老保险费支出。</w:t>
      </w:r>
    </w:p>
    <w:p>
      <w:pPr>
        <w:widowControl/>
        <w:spacing w:line="560" w:lineRule="exact"/>
        <w:ind w:firstLine="640" w:firstLineChars="200"/>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lang w:eastAsia="zh-CN"/>
        </w:rPr>
        <w:t>十七、</w:t>
      </w:r>
      <w:r>
        <w:rPr>
          <w:rFonts w:hint="eastAsia" w:ascii="仿宋_GB2312" w:hAnsi="宋体" w:eastAsia="仿宋_GB2312" w:cs="宋体"/>
          <w:color w:val="auto"/>
          <w:kern w:val="0"/>
          <w:sz w:val="32"/>
          <w:szCs w:val="30"/>
          <w:highlight w:val="none"/>
          <w:lang w:val="en-US" w:eastAsia="zh-CN"/>
        </w:rPr>
        <w:t>社会保障和就业支出（类）抚恤（款）其他优抚支出（项）：反映除上述项目以外其他用于优抚方面的支出。</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十八、</w:t>
      </w:r>
      <w:r>
        <w:rPr>
          <w:rFonts w:hint="eastAsia" w:ascii="仿宋" w:hAnsi="仿宋" w:eastAsia="仿宋" w:cs="仿宋_GB2312"/>
          <w:kern w:val="2"/>
          <w:sz w:val="32"/>
          <w:szCs w:val="32"/>
          <w:lang w:val="en-US" w:eastAsia="zh-CN" w:bidi="ar"/>
        </w:rPr>
        <w:t>卫生健康</w:t>
      </w:r>
      <w:r>
        <w:rPr>
          <w:rFonts w:hint="eastAsia" w:ascii="仿宋_GB2312" w:hAnsi="宋体" w:eastAsia="仿宋_GB2312" w:cs="宋体"/>
          <w:color w:val="auto"/>
          <w:kern w:val="0"/>
          <w:sz w:val="32"/>
          <w:szCs w:val="30"/>
          <w:highlight w:val="none"/>
          <w:lang w:val="en-US" w:eastAsia="zh-CN"/>
        </w:rPr>
        <w:t>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十九、</w:t>
      </w:r>
      <w:r>
        <w:rPr>
          <w:rFonts w:hint="eastAsia" w:ascii="仿宋" w:hAnsi="仿宋" w:eastAsia="仿宋" w:cs="仿宋_GB2312"/>
          <w:kern w:val="2"/>
          <w:sz w:val="32"/>
          <w:szCs w:val="32"/>
          <w:lang w:val="en-US" w:eastAsia="zh-CN" w:bidi="ar"/>
        </w:rPr>
        <w:t>卫生健康</w:t>
      </w:r>
      <w:r>
        <w:rPr>
          <w:rFonts w:hint="eastAsia" w:ascii="仿宋_GB2312" w:hAnsi="宋体" w:eastAsia="仿宋_GB2312" w:cs="宋体"/>
          <w:color w:val="auto"/>
          <w:kern w:val="0"/>
          <w:sz w:val="32"/>
          <w:szCs w:val="30"/>
          <w:highlight w:val="none"/>
          <w:lang w:val="en-US" w:eastAsia="zh-CN"/>
        </w:rPr>
        <w:t>支出（类）行政事业单位医疗（款）公务员医疗补助（项）：反映财政部门集中安排的公务员医疗补助经费。</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二十、住房保障支出（类）住房改革支出（款）住房公积金（项）：反映行政事业单位按人力资源和社会保障部、财政部规定的基本工资和津贴补贴以及规定比例为职工缴纳的住房公积金。</w:t>
      </w:r>
    </w:p>
    <w:p>
      <w:pPr>
        <w:ind w:firstLine="64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二十一、城乡社区支出（类） 城市基础设施配套费安排的支出（款）其他城市基础设施配套费安排的支出（项）：反映上述项目以外的城市基础设施配套费支出。</w:t>
      </w:r>
    </w:p>
    <w:p>
      <w:pPr>
        <w:ind w:firstLine="64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二十二、城乡社区支出（类） 国有土地使用权出让收入安排的支出（款）其他国有土地使用权出让收入安排的支出（项）：反映土地出让收入用于其他方面的支出。不包括市县级政府当年按规定用土地出让收入向中央和省级政府缴纳的新增建设用地土地有偿使用的支出。</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5724F9"/>
    <w:multiLevelType w:val="multilevel"/>
    <w:tmpl w:val="5E5724F9"/>
    <w:lvl w:ilvl="0" w:tentative="0">
      <w:start w:val="4"/>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5E572504"/>
    <w:multiLevelType w:val="multilevel"/>
    <w:tmpl w:val="5E572504"/>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1"/>
  </w:num>
  <w:num w:numId="6">
    <w:abstractNumId w:val="4"/>
    <w:lvlOverride w:ilvl="0">
      <w:startOverride w:val="4"/>
    </w:lvlOverride>
  </w:num>
  <w:num w:numId="7">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C5EF4"/>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A11042E"/>
    <w:rsid w:val="0F4527D4"/>
    <w:rsid w:val="0F8034AF"/>
    <w:rsid w:val="10BE0939"/>
    <w:rsid w:val="14004E2F"/>
    <w:rsid w:val="15F46D3B"/>
    <w:rsid w:val="178B7986"/>
    <w:rsid w:val="18286BE2"/>
    <w:rsid w:val="18431A0F"/>
    <w:rsid w:val="1993309F"/>
    <w:rsid w:val="1AAD2DE7"/>
    <w:rsid w:val="1D7114D6"/>
    <w:rsid w:val="1F9E7B25"/>
    <w:rsid w:val="23513494"/>
    <w:rsid w:val="290527C6"/>
    <w:rsid w:val="2A9C3F8D"/>
    <w:rsid w:val="2CCA2C6A"/>
    <w:rsid w:val="2FDF5945"/>
    <w:rsid w:val="397F457C"/>
    <w:rsid w:val="3D325FB2"/>
    <w:rsid w:val="3E0778FC"/>
    <w:rsid w:val="40683EF2"/>
    <w:rsid w:val="43785EF8"/>
    <w:rsid w:val="4EC7342E"/>
    <w:rsid w:val="4FD445E4"/>
    <w:rsid w:val="502F5403"/>
    <w:rsid w:val="50E64B27"/>
    <w:rsid w:val="54854AE9"/>
    <w:rsid w:val="55825340"/>
    <w:rsid w:val="5DBF4CB1"/>
    <w:rsid w:val="60F025FB"/>
    <w:rsid w:val="63702120"/>
    <w:rsid w:val="645D1310"/>
    <w:rsid w:val="66541B72"/>
    <w:rsid w:val="667448F4"/>
    <w:rsid w:val="6B4868F1"/>
    <w:rsid w:val="6BE06B44"/>
    <w:rsid w:val="6CC64446"/>
    <w:rsid w:val="6D556BB3"/>
    <w:rsid w:val="7A987191"/>
    <w:rsid w:val="7DD36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0"/>
    <w:basedOn w:val="1"/>
    <w:qFormat/>
    <w:uiPriority w:val="0"/>
    <w:pPr>
      <w:keepNext w:val="0"/>
      <w:keepLines w:val="0"/>
      <w:widowControl/>
      <w:suppressLineNumbers w:val="0"/>
      <w:snapToGrid w:val="0"/>
      <w:spacing w:before="0" w:beforeAutospacing="0" w:after="0" w:afterAutospacing="0"/>
      <w:ind w:left="0" w:right="0"/>
      <w:jc w:val="both"/>
    </w:pPr>
    <w:rPr>
      <w:rFonts w:hint="default" w:ascii="Times New Roman" w:hAnsi="Times New Roman" w:eastAsia="宋体" w:cs="Times New Roman"/>
      <w:kern w:val="0"/>
      <w:sz w:val="21"/>
      <w:szCs w:val="24"/>
      <w:lang w:val="en-US" w:eastAsia="zh-CN" w:bidi="ar"/>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2</TotalTime>
  <ScaleCrop>false</ScaleCrop>
  <LinksUpToDate>false</LinksUpToDate>
  <CharactersWithSpaces>4087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小政</cp:lastModifiedBy>
  <dcterms:modified xsi:type="dcterms:W3CDTF">2021-02-24T07:04:05Z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