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outlineLvl w:val="0"/>
        <w:rPr>
          <w:rFonts w:hint="eastAsia" w:eastAsia="黑体"/>
          <w:bCs/>
          <w:snapToGrid w:val="0"/>
          <w:sz w:val="32"/>
          <w:szCs w:val="22"/>
        </w:rPr>
      </w:pPr>
      <w:r>
        <w:rPr>
          <w:rFonts w:hint="eastAsia" w:eastAsia="黑体"/>
          <w:bCs/>
          <w:snapToGrid w:val="0"/>
          <w:sz w:val="32"/>
        </w:rPr>
        <w:t>附件</w:t>
      </w:r>
      <w:r>
        <w:rPr>
          <w:rFonts w:eastAsia="黑体"/>
          <w:bCs/>
          <w:snapToGrid w:val="0"/>
          <w:sz w:val="32"/>
        </w:rPr>
        <w:t>2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hint="eastAsia" w:asciiTheme="majorEastAsia" w:hAnsiTheme="majorEastAsia" w:eastAsiaTheme="majorEastAsia" w:cstheme="majorEastAsia"/>
          <w:b/>
          <w:bCs/>
          <w:snapToGrid w:val="0"/>
          <w:sz w:val="44"/>
          <w:szCs w:val="44"/>
        </w:rPr>
      </w:pPr>
      <w:bookmarkStart w:id="1" w:name="_GoBack"/>
      <w:r>
        <w:rPr>
          <w:rFonts w:hint="eastAsia" w:asciiTheme="majorEastAsia" w:hAnsiTheme="majorEastAsia" w:eastAsiaTheme="majorEastAsia" w:cstheme="majorEastAsia"/>
          <w:b/>
          <w:bCs/>
          <w:snapToGrid w:val="0"/>
          <w:sz w:val="44"/>
          <w:szCs w:val="44"/>
        </w:rPr>
        <w:t>琼海市生态环境分区管控方案</w:t>
      </w:r>
      <w:bookmarkEnd w:id="1"/>
    </w:p>
    <w:p>
      <w:pPr>
        <w:spacing w:line="560" w:lineRule="exact"/>
        <w:jc w:val="center"/>
        <w:rPr>
          <w:rFonts w:hint="eastAsia" w:eastAsia="仿宋"/>
          <w:spacing w:val="2"/>
          <w:sz w:val="32"/>
          <w:szCs w:val="22"/>
        </w:rPr>
      </w:pPr>
    </w:p>
    <w:p>
      <w:pPr>
        <w:spacing w:line="560" w:lineRule="exact"/>
        <w:ind w:firstLine="560"/>
        <w:rPr>
          <w:rFonts w:hint="eastAsia" w:ascii="仿宋" w:hAnsi="仿宋" w:eastAsia="仿宋"/>
          <w:spacing w:val="2"/>
          <w:sz w:val="32"/>
        </w:rPr>
      </w:pPr>
      <w:r>
        <w:rPr>
          <w:rFonts w:hint="eastAsia" w:ascii="仿宋" w:hAnsi="仿宋" w:eastAsia="仿宋"/>
          <w:spacing w:val="2"/>
          <w:sz w:val="32"/>
        </w:rPr>
        <w:t>为实现生态环境精细化管理，建立国土空间全覆盖的生态环境保护制度，将琼海市从生态环境保护角度划分为优先保护单元、重点管控单元和一般管控单元等3类环境管控单元，在一张图上落实生态保护与环境质量目标管理、资源利用管控要求，按照环境管控单元编制生态环境准入清单，构建生态环境分区管控体系。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仿宋" w:hAnsi="仿宋" w:eastAsia="仿宋"/>
          <w:bCs/>
          <w:snapToGrid w:val="0"/>
          <w:sz w:val="32"/>
        </w:rPr>
      </w:pPr>
      <w:r>
        <w:rPr>
          <w:rFonts w:hint="eastAsia" w:ascii="仿宋" w:hAnsi="仿宋" w:eastAsia="仿宋"/>
          <w:bCs/>
          <w:snapToGrid w:val="0"/>
          <w:sz w:val="32"/>
        </w:rPr>
        <w:t>一、全市总体生态环境管控要求</w:t>
      </w:r>
    </w:p>
    <w:p>
      <w:pPr>
        <w:spacing w:line="560" w:lineRule="exact"/>
        <w:ind w:firstLine="648" w:firstLineChars="200"/>
        <w:rPr>
          <w:rFonts w:hint="eastAsia" w:ascii="仿宋" w:hAnsi="仿宋" w:eastAsia="仿宋"/>
          <w:spacing w:val="2"/>
          <w:sz w:val="32"/>
        </w:rPr>
      </w:pPr>
      <w:r>
        <w:rPr>
          <w:rFonts w:hint="eastAsia" w:ascii="仿宋" w:hAnsi="仿宋" w:eastAsia="仿宋"/>
          <w:spacing w:val="2"/>
          <w:sz w:val="32"/>
        </w:rPr>
        <w:t>全</w:t>
      </w:r>
      <w:bookmarkStart w:id="0" w:name="_Hlk72152694"/>
      <w:r>
        <w:rPr>
          <w:rFonts w:hint="eastAsia" w:ascii="仿宋" w:hAnsi="仿宋" w:eastAsia="仿宋"/>
          <w:spacing w:val="2"/>
          <w:sz w:val="32"/>
        </w:rPr>
        <w:t>市</w:t>
      </w:r>
      <w:bookmarkEnd w:id="0"/>
      <w:r>
        <w:rPr>
          <w:rFonts w:hint="eastAsia" w:ascii="仿宋" w:hAnsi="仿宋" w:eastAsia="仿宋"/>
          <w:spacing w:val="2"/>
          <w:sz w:val="32"/>
        </w:rPr>
        <w:t>确定优先保护单元、重点管控单元、一般管控单元的总体生态环境管控要求。</w:t>
      </w:r>
    </w:p>
    <w:p>
      <w:pPr>
        <w:jc w:val="center"/>
        <w:rPr>
          <w:rFonts w:ascii="仿宋" w:hAnsi="仿宋" w:eastAsia="仿宋"/>
          <w:bCs/>
          <w:snapToGrid w:val="0"/>
          <w:sz w:val="32"/>
        </w:rPr>
      </w:pPr>
      <w:r>
        <w:rPr>
          <w:rFonts w:hint="eastAsia" w:ascii="仿宋" w:hAnsi="仿宋" w:eastAsia="仿宋"/>
          <w:bCs/>
          <w:snapToGrid w:val="0"/>
          <w:sz w:val="32"/>
        </w:rPr>
        <w:t>表</w:t>
      </w:r>
      <w:r>
        <w:rPr>
          <w:rFonts w:ascii="仿宋" w:hAnsi="仿宋" w:eastAsia="仿宋"/>
          <w:bCs/>
          <w:snapToGrid w:val="0"/>
          <w:sz w:val="32"/>
        </w:rPr>
        <w:t>1</w:t>
      </w:r>
      <w:r>
        <w:rPr>
          <w:rFonts w:ascii="仿宋" w:hAnsi="仿宋" w:eastAsia="仿宋"/>
          <w:bCs/>
          <w:snapToGrid w:val="0"/>
          <w:sz w:val="32"/>
        </w:rPr>
        <w:tab/>
      </w:r>
      <w:r>
        <w:rPr>
          <w:rFonts w:hint="eastAsia" w:ascii="仿宋" w:hAnsi="仿宋" w:eastAsia="仿宋"/>
          <w:bCs/>
          <w:snapToGrid w:val="0"/>
          <w:sz w:val="32"/>
        </w:rPr>
        <w:t>全市总体生态环境管控要求</w:t>
      </w:r>
    </w:p>
    <w:tbl>
      <w:tblPr>
        <w:tblStyle w:val="2"/>
        <w:tblW w:w="90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8"/>
        <w:gridCol w:w="6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pacing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"/>
                <w:sz w:val="28"/>
                <w:szCs w:val="28"/>
              </w:rPr>
              <w:t>环境管控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pacing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"/>
                <w:sz w:val="28"/>
                <w:szCs w:val="28"/>
              </w:rPr>
              <w:t>单元类型</w:t>
            </w:r>
          </w:p>
        </w:tc>
        <w:tc>
          <w:tcPr>
            <w:tcW w:w="6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pacing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"/>
                <w:sz w:val="28"/>
                <w:szCs w:val="28"/>
              </w:rPr>
              <w:t>全市总体生态环境管控要求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pacing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"/>
                <w:sz w:val="28"/>
                <w:szCs w:val="28"/>
              </w:rPr>
              <w:t>优先保护单元</w:t>
            </w:r>
          </w:p>
        </w:tc>
        <w:tc>
          <w:tcPr>
            <w:tcW w:w="6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pacing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"/>
                <w:sz w:val="28"/>
                <w:szCs w:val="28"/>
              </w:rPr>
              <w:t>以生态环境保护优先为原则，严格执行相关法律、法规和文件要求，严守生态环境质量底线，确保生态环境功能不降低。</w:t>
            </w:r>
            <w:r>
              <w:rPr>
                <w:rFonts w:hint="eastAsia" w:eastAsia="仿宋"/>
                <w:spacing w:val="2"/>
                <w:sz w:val="28"/>
                <w:szCs w:val="28"/>
              </w:rPr>
              <w:t>优先开展生态功能受损区域生态修复活动，恢复生态系统服务功能。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pacing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"/>
                <w:sz w:val="28"/>
                <w:szCs w:val="28"/>
              </w:rPr>
              <w:t>重点管控单元</w:t>
            </w:r>
          </w:p>
        </w:tc>
        <w:tc>
          <w:tcPr>
            <w:tcW w:w="6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pacing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"/>
                <w:sz w:val="28"/>
                <w:szCs w:val="28"/>
              </w:rPr>
              <w:t>根据现状环境质量是否达标、区域经济社会发展趋势与需求、可能面临的环境压力等因素，制定差别化的生态环境准入要求，从区域污染物削减</w:t>
            </w:r>
            <w:r>
              <w:rPr>
                <w:rFonts w:ascii="仿宋" w:hAnsi="仿宋" w:eastAsia="仿宋"/>
                <w:spacing w:val="2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/>
                <w:spacing w:val="2"/>
                <w:sz w:val="28"/>
                <w:szCs w:val="28"/>
              </w:rPr>
              <w:t>替代、限制</w:t>
            </w:r>
            <w:r>
              <w:rPr>
                <w:rFonts w:ascii="仿宋" w:hAnsi="仿宋" w:eastAsia="仿宋"/>
                <w:spacing w:val="2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/>
                <w:spacing w:val="2"/>
                <w:sz w:val="28"/>
                <w:szCs w:val="28"/>
              </w:rPr>
              <w:t>禁止开发建设活动、污染源控制、环境风险防控等方面提出要求</w:t>
            </w:r>
            <w:r>
              <w:rPr>
                <w:rFonts w:hint="eastAsia" w:eastAsia="仿宋"/>
                <w:spacing w:val="2"/>
                <w:sz w:val="28"/>
                <w:szCs w:val="28"/>
              </w:rPr>
              <w:t>，解决突出生态环境问题。推进产业布局优化、转型升级，不断提高资源利用效率。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pacing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"/>
                <w:sz w:val="28"/>
                <w:szCs w:val="28"/>
              </w:rPr>
              <w:t>一般管控单元</w:t>
            </w:r>
          </w:p>
        </w:tc>
        <w:tc>
          <w:tcPr>
            <w:tcW w:w="6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pacing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"/>
                <w:sz w:val="28"/>
                <w:szCs w:val="28"/>
              </w:rPr>
              <w:t>执行生态环境保护的基本要求，重点加强农业面源、城镇生活污水等污染治理。</w:t>
            </w:r>
          </w:p>
        </w:tc>
      </w:tr>
    </w:tbl>
    <w:p>
      <w:pPr>
        <w:adjustRightInd w:val="0"/>
        <w:snapToGrid w:val="0"/>
        <w:spacing w:before="156" w:beforeLines="50" w:line="360" w:lineRule="auto"/>
        <w:ind w:firstLine="640" w:firstLineChars="200"/>
        <w:rPr>
          <w:rFonts w:ascii="仿宋" w:hAnsi="仿宋" w:eastAsia="仿宋"/>
          <w:bCs/>
          <w:snapToGrid w:val="0"/>
          <w:sz w:val="32"/>
        </w:rPr>
      </w:pPr>
    </w:p>
    <w:p>
      <w:pPr>
        <w:adjustRightInd w:val="0"/>
        <w:snapToGrid w:val="0"/>
        <w:spacing w:before="156" w:beforeLines="50" w:line="360" w:lineRule="auto"/>
        <w:ind w:firstLine="640" w:firstLineChars="200"/>
        <w:outlineLvl w:val="0"/>
        <w:rPr>
          <w:rFonts w:hint="eastAsia" w:ascii="仿宋" w:hAnsi="仿宋" w:eastAsia="仿宋"/>
          <w:bCs/>
          <w:snapToGrid w:val="0"/>
          <w:sz w:val="32"/>
        </w:rPr>
      </w:pPr>
    </w:p>
    <w:p>
      <w:pPr>
        <w:adjustRightInd w:val="0"/>
        <w:snapToGrid w:val="0"/>
        <w:spacing w:before="156" w:beforeLines="50" w:line="360" w:lineRule="auto"/>
        <w:ind w:firstLine="640" w:firstLineChars="200"/>
        <w:outlineLvl w:val="0"/>
        <w:rPr>
          <w:rFonts w:ascii="仿宋" w:hAnsi="仿宋" w:eastAsia="仿宋"/>
          <w:bCs/>
          <w:snapToGrid w:val="0"/>
          <w:sz w:val="32"/>
          <w:szCs w:val="22"/>
        </w:rPr>
      </w:pPr>
      <w:r>
        <w:rPr>
          <w:rFonts w:hint="eastAsia" w:ascii="仿宋" w:hAnsi="仿宋" w:eastAsia="仿宋"/>
          <w:bCs/>
          <w:snapToGrid w:val="0"/>
          <w:sz w:val="32"/>
        </w:rPr>
        <w:t>二、“三大片区”生态环境管控要求</w:t>
      </w:r>
    </w:p>
    <w:p>
      <w:pPr>
        <w:ind w:firstLine="560"/>
        <w:rPr>
          <w:rFonts w:hint="eastAsia" w:ascii="仿宋" w:hAnsi="仿宋" w:eastAsia="仿宋"/>
          <w:spacing w:val="2"/>
          <w:sz w:val="32"/>
        </w:rPr>
      </w:pPr>
      <w:r>
        <w:rPr>
          <w:rFonts w:hint="eastAsia" w:ascii="仿宋" w:hAnsi="仿宋" w:eastAsia="仿宋"/>
          <w:spacing w:val="2"/>
          <w:sz w:val="32"/>
        </w:rPr>
        <w:t>在全市总体生态环境管控要求的基础上，根据“三大片区”的区域特征、发展定位、生态环境现状、未来环境压力等，确定各片区的生态环境管控要求。</w:t>
      </w:r>
    </w:p>
    <w:p>
      <w:pPr>
        <w:jc w:val="center"/>
        <w:rPr>
          <w:rFonts w:ascii="仿宋" w:hAnsi="仿宋" w:eastAsia="仿宋"/>
          <w:bCs/>
          <w:snapToGrid w:val="0"/>
          <w:sz w:val="32"/>
        </w:rPr>
      </w:pPr>
      <w:r>
        <w:rPr>
          <w:rFonts w:hint="eastAsia" w:ascii="仿宋" w:hAnsi="仿宋" w:eastAsia="仿宋"/>
          <w:bCs/>
          <w:snapToGrid w:val="0"/>
          <w:sz w:val="32"/>
        </w:rPr>
        <w:t>表</w:t>
      </w:r>
      <w:r>
        <w:rPr>
          <w:rFonts w:ascii="仿宋" w:hAnsi="仿宋" w:eastAsia="仿宋"/>
          <w:bCs/>
          <w:snapToGrid w:val="0"/>
          <w:sz w:val="32"/>
        </w:rPr>
        <w:t>2</w:t>
      </w:r>
      <w:r>
        <w:rPr>
          <w:rFonts w:ascii="仿宋" w:hAnsi="仿宋" w:eastAsia="仿宋"/>
          <w:bCs/>
          <w:snapToGrid w:val="0"/>
          <w:sz w:val="32"/>
        </w:rPr>
        <w:tab/>
      </w:r>
      <w:r>
        <w:rPr>
          <w:rFonts w:hint="eastAsia" w:ascii="仿宋" w:hAnsi="仿宋" w:eastAsia="仿宋"/>
          <w:spacing w:val="2"/>
          <w:sz w:val="32"/>
        </w:rPr>
        <w:t>“三大片区”</w:t>
      </w:r>
      <w:r>
        <w:rPr>
          <w:rFonts w:hint="eastAsia" w:ascii="仿宋" w:hAnsi="仿宋" w:eastAsia="仿宋"/>
          <w:bCs/>
          <w:snapToGrid w:val="0"/>
          <w:sz w:val="32"/>
        </w:rPr>
        <w:t>生态环境管控要求</w:t>
      </w:r>
    </w:p>
    <w:tbl>
      <w:tblPr>
        <w:tblStyle w:val="2"/>
        <w:tblW w:w="90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8"/>
        <w:gridCol w:w="6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pacing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"/>
                <w:sz w:val="28"/>
                <w:szCs w:val="28"/>
              </w:rPr>
              <w:t>区域</w:t>
            </w:r>
          </w:p>
        </w:tc>
        <w:tc>
          <w:tcPr>
            <w:tcW w:w="6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pacing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"/>
                <w:sz w:val="28"/>
                <w:szCs w:val="28"/>
              </w:rPr>
              <w:t>片区生态环境管控要求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pacing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"/>
                <w:sz w:val="28"/>
                <w:szCs w:val="28"/>
              </w:rPr>
              <w:t>西南生态保育区（包括会山镇和石壁镇）</w:t>
            </w:r>
          </w:p>
        </w:tc>
        <w:tc>
          <w:tcPr>
            <w:tcW w:w="6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pacing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"/>
                <w:sz w:val="28"/>
                <w:szCs w:val="28"/>
              </w:rPr>
              <w:t>合理控制建设活动，引导发展生态经济，禁止明显破坏生态环境的建设活动。严格控制工业发展，引导槟榔加工产业规模化集聚化发展和绿色转型升级。强化市域西南部生态安全屏障和水源涵养区的保护和管理。对热带天然林进行封山管护，实施退耕还林，对农业面源污染加大控制力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pacing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"/>
                <w:sz w:val="28"/>
                <w:szCs w:val="28"/>
              </w:rPr>
              <w:t>中部城市联动发展区（包括中原、嘉积、博鳌、潭门、塔洋镇）</w:t>
            </w:r>
          </w:p>
        </w:tc>
        <w:tc>
          <w:tcPr>
            <w:tcW w:w="6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pacing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"/>
                <w:sz w:val="28"/>
                <w:szCs w:val="28"/>
              </w:rPr>
              <w:t>做好万泉河周边水土流失防治。加快基础设施建设，完善燃气、污水处理等配套措施。加强农业面源污染治理。城镇新建排水管网实行雨污分流。提高污水收集处理率，推进污水处理厂尾水深度处理净化。禁止明显破坏生态环境的建设活动。实施严格的围填海总量控制制度和规范审批程序，除国家和省重大基础设施建设、重大民生项目和重点海域生态修复治理项目外，严禁围填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pacing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"/>
                <w:sz w:val="28"/>
                <w:szCs w:val="28"/>
              </w:rPr>
              <w:t>生态农业发展区（包括琼海市北部、中部，万泉镇、大路镇）</w:t>
            </w:r>
          </w:p>
        </w:tc>
        <w:tc>
          <w:tcPr>
            <w:tcW w:w="6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pacing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"/>
                <w:sz w:val="28"/>
                <w:szCs w:val="28"/>
              </w:rPr>
              <w:t>合理利用土地，植树造林，推进农业标准化建设和生态农业建设。全面取缔污染环境的土法槟榔加工，推动槟榔产业绿色发展。加强生物多样性保护、赤潮防治、养殖废水和农业面源污染控制。提高污水收集处理率，加强城镇生活污水处理设施建设，推广精准化施肥和水肥一体化等控源减排技术，严格执行禁养区规定，所有规模化畜禽养殖场全部配套建设粪便污水贮存、处理、利用设施。优化城镇供水布局，加强城镇节水，提升农田灌溉水有效利用率，加强非常规水源利用。禁止明显破坏生态环境的建设活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8471D"/>
    <w:rsid w:val="1148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琼海市（嘉积镇） 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2021-06-29T08:25:00Z</dcterms:created>
  <dc:creator>Administrator</dc:creator>
  <cp:lastModifiedBy>Administrator</cp:lastModifiedBy>
  <dcterms:modified xsi:type="dcterms:W3CDTF">2021-06-29T08:26:22Z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