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Hlk53680692"/>
      <w:bookmarkStart w:id="1" w:name="_Hlk58836559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琼海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健</w:t>
      </w:r>
      <w:bookmarkStart w:id="17" w:name="_GoBack"/>
      <w:bookmarkEnd w:id="17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康城市建设主要指标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任务分解表</w:t>
      </w:r>
    </w:p>
    <w:tbl>
      <w:tblPr>
        <w:tblStyle w:val="4"/>
        <w:tblW w:w="85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2716"/>
        <w:gridCol w:w="963"/>
        <w:gridCol w:w="963"/>
        <w:gridCol w:w="1765"/>
        <w:gridCol w:w="1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tblHeader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2019年度数据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2025年度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预期值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牵头单位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环境空气质量优良天数占比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98.9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市生态环境局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生活饮用水水质达标率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地表水水质优良（达到或优于Ⅲ类）比例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集中式饮用水水源地安全保障达标率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生活污水集中处理率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62.13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市水务局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2" w:name="_Hlk56623343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生活垃圾无害化处理率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市综合执法局</w:t>
            </w:r>
          </w:p>
        </w:tc>
      </w:tr>
      <w:bookmarkEnd w:id="2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城区公共厕所设置密度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座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/平方公里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1.62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市综合执法局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无害化卫生厕所普及率(农村)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97.94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市爱卫办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3" w:name="_Hlk5624470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人均公园绿地面积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平方米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9.01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9.62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市综合执法局</w:t>
            </w:r>
          </w:p>
        </w:tc>
      </w:tr>
      <w:bookmarkEnd w:id="3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病媒生物密度控制水平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市爱卫办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国家卫生乡镇占比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16.67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≥5</w:t>
            </w:r>
            <w:r>
              <w:rPr>
                <w:rFonts w:ascii="宋体" w:hAnsi="宋体" w:cs="宋体"/>
                <w:color w:val="000000"/>
                <w:szCs w:val="21"/>
              </w:rPr>
              <w:t>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市爱卫办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基本医保住院费用实际报销比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市社保中心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个人卫生支出占总卫生费用的比重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23.5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23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C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食品抽样检验批次/千人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批次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/千人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3.4 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4 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4" w:name="_Hlk56244711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城市人均体育场地面积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平方米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5.7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市旅文局</w:t>
            </w:r>
          </w:p>
        </w:tc>
      </w:tr>
      <w:bookmarkEnd w:id="4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5" w:name="_Hlk56244741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每千人拥有社会体育指导员人数比例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人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/千人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3.22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市旅文局</w:t>
            </w:r>
          </w:p>
        </w:tc>
      </w:tr>
      <w:bookmarkEnd w:id="5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职业健康检查覆盖率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81.3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接尘工龄不足5年的劳动者新发尘肺病报告例数占年度报告总例数比例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学生体质检测优良率（国家学生体质健康标准达标优良率）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21.7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二级以上综合性医院设老年医学科比例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每千名老年人口拥有养老床位数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张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/千人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0.88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6" w:name="_Hlk56244798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健康社区（村）覆盖率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shd w:val="pct10" w:color="auto" w:fill="FFFFFF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23.04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≥80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市爱卫办</w:t>
            </w:r>
          </w:p>
        </w:tc>
      </w:tr>
      <w:bookmarkEnd w:id="6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7" w:name="_Hlk56244845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健康单位覆盖率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  <w:shd w:val="pct10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33.3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≥80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市爱卫办</w:t>
            </w:r>
          </w:p>
        </w:tc>
      </w:tr>
      <w:bookmarkEnd w:id="7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每万人口全科医生数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人/万人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3.55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每万人口拥有公共卫生人员数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人/千人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0.82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0.9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8" w:name="_Hlk56616805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每千人口医疗卫生机构床位数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张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/千人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5.65 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6.5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bookmarkEnd w:id="8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提供中医药服务的基层医疗卫生机构占比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卫生健康支出占财政支出的比重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12.5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高血压患者规范管理率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74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糖尿病患者规范管理率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74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严重精神障碍患者规范管理率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87.3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88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中小学校配备专兼职保健教师或卫生专业技术人员的比例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32.3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配备专兼职心理健康工作人员的中小学校比例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9" w:name="_Hlk59293475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儿童健康管理率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94.83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继续维持在较高水平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孕产妇系统管理率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89.45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≥90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产前筛查率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92.41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继续维持在较高水平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新生儿遗传代谢性疾病筛查率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99.94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继续维持在较高水平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农村适龄妇女宫颈癌和乳腺癌筛查覆盖率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≥95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以乡（镇、街道）为单位适龄儿童免疫规划疫苗接种率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99.6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继续维持在较高水平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人均预期寿命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78.2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79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10" w:name="_Hlk56617325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11" w:name="_Hlk59283145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婴儿死亡率</w:t>
            </w:r>
            <w:bookmarkEnd w:id="11"/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2.86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bookmarkStart w:id="12" w:name="_Hlk59292109"/>
            <w:r>
              <w:rPr>
                <w:rFonts w:hint="eastAsia" w:ascii="宋体" w:hAnsi="宋体" w:cs="宋体"/>
                <w:color w:val="000000"/>
                <w:szCs w:val="21"/>
              </w:rPr>
              <w:t>继续维持在较低水平</w:t>
            </w:r>
            <w:bookmarkEnd w:id="12"/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bookmarkEnd w:id="1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13" w:name="_Hlk59283167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5岁以下儿童死亡率</w:t>
            </w:r>
            <w:bookmarkEnd w:id="13"/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3.05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继续维持在较低水平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孕产妇死亡率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1/10万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19.07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≤13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孕产妇</w:t>
            </w:r>
            <w:r>
              <w:rPr>
                <w:rFonts w:hint="eastAsia" w:ascii="宋体" w:hAnsi="宋体" w:cs="宋体"/>
                <w:kern w:val="0"/>
                <w:szCs w:val="21"/>
              </w:rPr>
              <w:t>贫血率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26.71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≤14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bookmarkStart w:id="14" w:name="_Hlk59283179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5岁以下儿童生长迟缓率</w:t>
            </w:r>
            <w:bookmarkEnd w:id="14"/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2.79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继续维持在较低水平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bookmarkEnd w:id="9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城乡居民达到《国民体质测定标准》合格以上的人数比例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88.4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≥94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市旅文局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甲乙类传染病发病率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1/10万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251.71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240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bookmarkStart w:id="15" w:name="_Hlk56353149"/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18-50岁人群高血压患病率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18.1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18.1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bookmarkEnd w:id="15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重大慢性病过早死亡率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14.11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≤13.95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16" w:name="_Hlk5635327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肿瘤年龄标化发病率变化幅度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0.12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bookmarkEnd w:id="16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居民健康素养水平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22.5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经常参加体育锻炼人口比例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38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市旅文局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15岁以上人群吸烟率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22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无烟党政机关比例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20.92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市爱卫办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媒体健康科普水平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注册志愿者比例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8.06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13.1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市文明办</w:t>
            </w:r>
          </w:p>
        </w:tc>
      </w:tr>
      <w:bookmarkEnd w:id="0"/>
    </w:tbl>
    <w:p>
      <w:pPr>
        <w:numPr>
          <w:ilvl w:val="255"/>
          <w:numId w:val="0"/>
        </w:numPr>
        <w:spacing w:line="520" w:lineRule="exact"/>
        <w:rPr>
          <w:rFonts w:ascii="黑体" w:hAnsi="黑体" w:eastAsia="黑体" w:cs="黑体"/>
          <w:sz w:val="32"/>
          <w:szCs w:val="32"/>
        </w:rPr>
      </w:pPr>
    </w:p>
    <w:bookmarkEnd w:id="1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40406"/>
    <w:rsid w:val="18890E87"/>
    <w:rsid w:val="2DE050FD"/>
    <w:rsid w:val="508E5C5F"/>
    <w:rsid w:val="5A140406"/>
    <w:rsid w:val="635E748C"/>
    <w:rsid w:val="69895C8A"/>
    <w:rsid w:val="72B96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2021-06-17T01:18:00Z</dcterms:created>
  <dc:creator>6456lkp</dc:creator>
  <cp:lastModifiedBy>风清小洋</cp:lastModifiedBy>
  <dcterms:modified xsi:type="dcterms:W3CDTF">2022-03-08T03:04:58Z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8F2D8C594B49473BA0A553885DAA7F1D</vt:lpwstr>
  </property>
</Properties>
</file>