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color w:val="auto"/>
          <w:sz w:val="84"/>
          <w:szCs w:val="84"/>
          <w:u w:val="single"/>
        </w:rPr>
      </w:pPr>
    </w:p>
    <w:p>
      <w:pPr>
        <w:jc w:val="center"/>
        <w:rPr>
          <w:rFonts w:hint="eastAsia" w:ascii="宋体" w:hAnsi="宋体" w:eastAsia="宋体" w:cs="宋体"/>
          <w:color w:val="auto"/>
          <w:sz w:val="52"/>
          <w:szCs w:val="52"/>
        </w:rPr>
      </w:pPr>
      <w:bookmarkStart w:id="0" w:name="_GoBack"/>
      <w:r>
        <w:rPr>
          <w:rFonts w:hint="eastAsia" w:ascii="宋体" w:hAnsi="宋体" w:eastAsia="宋体" w:cs="宋体"/>
          <w:color w:val="auto"/>
          <w:sz w:val="52"/>
          <w:szCs w:val="52"/>
          <w:lang w:val="en-US" w:eastAsia="zh-CN"/>
        </w:rPr>
        <w:t>2021</w:t>
      </w:r>
      <w:r>
        <w:rPr>
          <w:rFonts w:hint="eastAsia" w:ascii="宋体" w:hAnsi="宋体" w:eastAsia="宋体" w:cs="宋体"/>
          <w:color w:val="auto"/>
          <w:sz w:val="52"/>
          <w:szCs w:val="52"/>
        </w:rPr>
        <w:t>年</w:t>
      </w:r>
      <w:r>
        <w:rPr>
          <w:rFonts w:hint="eastAsia" w:ascii="宋体" w:hAnsi="宋体" w:eastAsia="宋体" w:cs="宋体"/>
          <w:color w:val="auto"/>
          <w:sz w:val="52"/>
          <w:szCs w:val="52"/>
          <w:lang w:eastAsia="zh-CN"/>
        </w:rPr>
        <w:t>琼海市交通运输行政执法大队单位</w:t>
      </w:r>
      <w:r>
        <w:rPr>
          <w:rFonts w:hint="eastAsia" w:ascii="宋体" w:hAnsi="宋体" w:eastAsia="宋体" w:cs="宋体"/>
          <w:color w:val="auto"/>
          <w:sz w:val="52"/>
          <w:szCs w:val="52"/>
        </w:rPr>
        <w:t>预算</w:t>
      </w:r>
    </w:p>
    <w:bookmarkEnd w:id="0"/>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8"/>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rPr>
        <w:t>概况</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8"/>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8"/>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部门收支总表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部门收入总表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部门支出总表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部门支出明细表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8"/>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市（县）级财力安排的专项转移支付预算表</w:t>
      </w:r>
    </w:p>
    <w:p>
      <w:pPr>
        <w:pStyle w:val="8"/>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年部门预算情</w:t>
      </w:r>
    </w:p>
    <w:p>
      <w:pPr>
        <w:pStyle w:val="8"/>
        <w:numPr>
          <w:ilvl w:val="0"/>
          <w:numId w:val="0"/>
        </w:numPr>
        <w:ind w:leftChars="0"/>
        <w:jc w:val="left"/>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况</w:t>
      </w:r>
      <w:r>
        <w:rPr>
          <w:rFonts w:hint="eastAsia" w:ascii="黑体" w:hAnsi="黑体" w:eastAsia="黑体"/>
          <w:color w:val="auto"/>
          <w:sz w:val="32"/>
          <w:szCs w:val="32"/>
          <w:lang w:eastAsia="zh-CN"/>
        </w:rPr>
        <w:t>说</w:t>
      </w:r>
      <w:r>
        <w:rPr>
          <w:rFonts w:hint="eastAsia" w:ascii="黑体" w:hAnsi="黑体" w:eastAsia="黑体"/>
          <w:color w:val="auto"/>
          <w:sz w:val="32"/>
          <w:szCs w:val="32"/>
        </w:rPr>
        <w:t>明</w:t>
      </w:r>
    </w:p>
    <w:p>
      <w:pPr>
        <w:pStyle w:val="8"/>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8"/>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auto"/>
        <w:ind w:left="420" w:leftChars="200" w:right="0" w:rightChars="0" w:firstLine="640"/>
        <w:jc w:val="both"/>
        <w:textAlignment w:val="auto"/>
        <w:outlineLvl w:val="9"/>
        <w:rPr>
          <w:rFonts w:hint="eastAsia" w:ascii="仿宋" w:hAnsi="仿宋" w:eastAsia="仿宋" w:cs="仿宋"/>
          <w:color w:val="auto"/>
          <w:sz w:val="32"/>
          <w:szCs w:val="32"/>
          <w:lang w:val="en-US" w:eastAsia="zh-CN"/>
        </w:rPr>
      </w:pP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主要职能</w:t>
      </w:r>
      <w:r>
        <w:rPr>
          <w:rFonts w:ascii="宋体" w:hAnsi="宋体" w:eastAsia="宋体" w:cs="宋体"/>
          <w:color w:val="auto"/>
          <w:kern w:val="0"/>
          <w:sz w:val="24"/>
          <w:szCs w:val="24"/>
          <w:lang w:val="en-US" w:eastAsia="zh-CN" w:bidi="ar"/>
        </w:rPr>
        <w:br w:type="textWrapping"/>
      </w:r>
      <w:r>
        <w:rPr>
          <w:rFonts w:hint="eastAsia" w:ascii="仿宋_GB2312" w:hAnsi="黑体" w:eastAsia="仿宋_GB2312"/>
          <w:color w:val="auto"/>
          <w:sz w:val="32"/>
          <w:szCs w:val="32"/>
          <w:lang w:val="en-US" w:eastAsia="zh-CN"/>
        </w:rPr>
        <w:t xml:space="preserve">    </w:t>
      </w:r>
      <w:r>
        <w:rPr>
          <w:rFonts w:hint="eastAsia" w:ascii="仿宋" w:hAnsi="仿宋" w:eastAsia="仿宋" w:cs="仿宋"/>
          <w:color w:val="auto"/>
          <w:sz w:val="32"/>
          <w:szCs w:val="32"/>
          <w:lang w:eastAsia="zh-CN"/>
        </w:rPr>
        <w:t>琼海市交通运输行政执法大队，为隶属市综合行政执法局副科级事业单位，编制</w:t>
      </w:r>
      <w:r>
        <w:rPr>
          <w:rFonts w:hint="eastAsia" w:ascii="仿宋" w:hAnsi="仿宋" w:eastAsia="仿宋" w:cs="仿宋"/>
          <w:color w:val="auto"/>
          <w:sz w:val="32"/>
          <w:szCs w:val="32"/>
          <w:lang w:val="en-US" w:eastAsia="zh-CN"/>
        </w:rPr>
        <w:t>30名，其中领导职数1正3副。</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0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（一）贯彻落实党中央和国家、省委省政府、市委市政府有关交通运输行政执法工作的方针政策、法律法规、规章制度，执行海南自由贸易港政策措施和市委市政府决策部署。</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（二）研究拟定全市交通运输方面行政执法活动、专项执法行动工作方案并组织实施。</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lang w:eastAsia="zh-CN"/>
        </w:rPr>
        <w:t>具体承担辖区内交通运输领域公路路政、道路运政、水路运政、国道省道路政、航道行政、港口行政、工程质量监督管理等方面执法工作。</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42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(四）</w:t>
      </w:r>
      <w:r>
        <w:rPr>
          <w:rFonts w:hint="eastAsia" w:ascii="仿宋" w:hAnsi="仿宋" w:eastAsia="仿宋" w:cs="仿宋"/>
          <w:sz w:val="32"/>
          <w:szCs w:val="32"/>
          <w:lang w:eastAsia="zh-CN"/>
        </w:rPr>
        <w:t>负责加强交通运输行政执法日常巡查，及时制止或查处违法从事有关生产、经营或其他活动行为。</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420" w:lineRule="auto"/>
        <w:ind w:leftChars="20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（五）</w:t>
      </w:r>
      <w:r>
        <w:rPr>
          <w:rFonts w:hint="eastAsia" w:ascii="仿宋" w:hAnsi="仿宋" w:eastAsia="仿宋" w:cs="仿宋"/>
          <w:sz w:val="32"/>
          <w:szCs w:val="32"/>
          <w:lang w:eastAsia="zh-CN"/>
        </w:rPr>
        <w:t>负责受理交通运输行政执法方面投诉，并做好调查处理结果回复和纠纷调解工作。</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420" w:lineRule="auto"/>
        <w:ind w:leftChars="20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（六）</w:t>
      </w:r>
      <w:r>
        <w:rPr>
          <w:rFonts w:hint="eastAsia" w:ascii="仿宋" w:hAnsi="仿宋" w:eastAsia="仿宋" w:cs="仿宋"/>
          <w:sz w:val="32"/>
          <w:szCs w:val="32"/>
          <w:lang w:eastAsia="zh-CN"/>
        </w:rPr>
        <w:t>承办市委、市政府、市综合行政执法局及上级部门交办的其他事项。</w:t>
      </w:r>
    </w:p>
    <w:p>
      <w:pPr>
        <w:pStyle w:val="8"/>
        <w:numPr>
          <w:ilvl w:val="0"/>
          <w:numId w:val="0"/>
        </w:numPr>
        <w:ind w:leftChars="200"/>
        <w:jc w:val="left"/>
        <w:rPr>
          <w:rFonts w:hint="eastAsia" w:ascii="黑体" w:hAnsi="黑体" w:eastAsia="黑体" w:cs="仿宋_GB2312"/>
          <w:color w:val="auto"/>
          <w:sz w:val="32"/>
          <w:szCs w:val="32"/>
          <w:lang w:val="en-US" w:eastAsia="zh-CN"/>
        </w:rPr>
      </w:pPr>
    </w:p>
    <w:p>
      <w:pPr>
        <w:ind w:left="800"/>
        <w:jc w:val="both"/>
        <w:rPr>
          <w:rFonts w:hint="eastAsia" w:ascii="黑体" w:hAnsi="黑体" w:eastAsia="黑体"/>
          <w:color w:val="auto"/>
          <w:sz w:val="32"/>
          <w:szCs w:val="32"/>
          <w:lang w:val="en-US" w:eastAsia="zh-CN"/>
        </w:rPr>
      </w:pPr>
      <w:r>
        <w:rPr>
          <w:rFonts w:hint="eastAsia" w:ascii="黑体" w:hAnsi="黑体" w:eastAsia="黑体"/>
          <w:color w:val="auto"/>
          <w:sz w:val="32"/>
          <w:szCs w:val="32"/>
        </w:rPr>
        <w:t xml:space="preserve">第二部分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w:t>
      </w:r>
      <w:r>
        <w:rPr>
          <w:rFonts w:hint="eastAsia" w:ascii="黑体" w:hAnsi="黑体" w:eastAsia="黑体"/>
          <w:color w:val="auto"/>
          <w:sz w:val="32"/>
          <w:szCs w:val="32"/>
          <w:lang w:val="en-US" w:eastAsia="zh-CN"/>
        </w:rPr>
        <w:t xml:space="preserve"> </w:t>
      </w:r>
    </w:p>
    <w:p>
      <w:pPr>
        <w:ind w:left="800"/>
        <w:jc w:val="both"/>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w:t>
      </w:r>
      <w:r>
        <w:rPr>
          <w:rFonts w:hint="eastAsia" w:ascii="仿宋_GB2312" w:hAnsi="黑体" w:eastAsia="仿宋_GB2312"/>
          <w:b/>
          <w:color w:val="auto"/>
          <w:sz w:val="32"/>
          <w:szCs w:val="32"/>
          <w:lang w:eastAsia="zh-CN"/>
        </w:rPr>
        <w:t>单位</w:t>
      </w:r>
      <w:r>
        <w:rPr>
          <w:rFonts w:hint="eastAsia" w:ascii="仿宋_GB2312" w:hAnsi="黑体" w:eastAsia="仿宋_GB2312"/>
          <w:b/>
          <w:color w:val="auto"/>
          <w:sz w:val="32"/>
          <w:szCs w:val="32"/>
          <w:highlight w:val="none"/>
        </w:rPr>
        <w:t>预算公开表</w:t>
      </w:r>
      <w:r>
        <w:rPr>
          <w:rFonts w:hint="eastAsia" w:ascii="仿宋_GB2312" w:hAnsi="黑体" w:eastAsia="仿宋_GB2312"/>
          <w:b/>
          <w:color w:val="auto"/>
          <w:sz w:val="32"/>
          <w:szCs w:val="32"/>
        </w:rPr>
        <w:t>）</w:t>
      </w:r>
    </w:p>
    <w:p>
      <w:pPr>
        <w:rPr>
          <w:rFonts w:ascii="黑体" w:hAnsi="黑体" w:eastAsia="黑体"/>
          <w:color w:val="auto"/>
          <w:sz w:val="32"/>
          <w:szCs w:val="32"/>
        </w:rPr>
      </w:pPr>
    </w:p>
    <w:p>
      <w:pPr>
        <w:rPr>
          <w:rFonts w:ascii="黑体" w:hAnsi="黑体" w:eastAsia="黑体"/>
          <w:color w:val="auto"/>
          <w:sz w:val="32"/>
          <w:szCs w:val="32"/>
        </w:rPr>
      </w:pPr>
    </w:p>
    <w:p>
      <w:pPr>
        <w:jc w:val="center"/>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640" w:firstLineChars="200"/>
        <w:jc w:val="left"/>
        <w:textAlignment w:val="auto"/>
        <w:outlineLvl w:val="9"/>
        <w:rPr>
          <w:rFonts w:hint="eastAsia" w:ascii="仿宋_GB2312" w:hAnsi="黑体" w:eastAsia="仿宋_GB2312"/>
          <w:color w:val="auto"/>
          <w:sz w:val="32"/>
          <w:szCs w:val="32"/>
          <w:highlight w:val="yellow"/>
          <w:lang w:val="en-US" w:eastAsia="zh-CN"/>
        </w:rPr>
      </w:pPr>
      <w:r>
        <w:rPr>
          <w:rFonts w:hint="eastAsia" w:ascii="仿宋" w:hAnsi="仿宋" w:eastAsia="仿宋" w:cs="仿宋"/>
          <w:color w:val="auto"/>
          <w:sz w:val="32"/>
          <w:szCs w:val="32"/>
          <w:lang w:eastAsia="zh-CN"/>
        </w:rPr>
        <w:t>琼海市交通运输行政执法大队</w:t>
      </w:r>
      <w:r>
        <w:rPr>
          <w:rFonts w:hint="eastAsia" w:ascii="仿宋" w:hAnsi="仿宋" w:eastAsia="仿宋" w:cs="仿宋"/>
          <w:color w:val="auto"/>
          <w:sz w:val="32"/>
          <w:szCs w:val="32"/>
          <w:lang w:val="en-US" w:eastAsia="zh-CN"/>
        </w:rPr>
        <w:t>2021</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highlight w:val="none"/>
          <w:lang w:val="en-US" w:eastAsia="zh-CN"/>
        </w:rPr>
        <w:t>398.96</w:t>
      </w:r>
      <w:r>
        <w:rPr>
          <w:rFonts w:hint="eastAsia" w:ascii="仿宋_GB2312" w:hAnsi="黑体" w:eastAsia="仿宋_GB2312"/>
          <w:color w:val="auto"/>
          <w:sz w:val="32"/>
          <w:szCs w:val="32"/>
          <w:highlight w:val="none"/>
        </w:rPr>
        <w:t>万元。其中，收入总计</w:t>
      </w:r>
      <w:r>
        <w:rPr>
          <w:rFonts w:hint="eastAsia" w:ascii="仿宋_GB2312" w:hAnsi="黑体" w:eastAsia="仿宋_GB2312" w:cs="仿宋_GB2312"/>
          <w:color w:val="auto"/>
          <w:sz w:val="32"/>
          <w:szCs w:val="32"/>
          <w:highlight w:val="none"/>
          <w:lang w:val="en-US" w:eastAsia="zh-CN"/>
        </w:rPr>
        <w:t>398.96</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lang w:val="en-US" w:eastAsia="zh-CN"/>
        </w:rPr>
        <w:t>398.96</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lang w:val="en-US" w:eastAsia="zh-CN"/>
        </w:rPr>
        <w:t>398.96</w:t>
      </w:r>
      <w:r>
        <w:rPr>
          <w:rFonts w:hint="eastAsia" w:ascii="仿宋_GB2312" w:hAnsi="黑体" w:eastAsia="仿宋_GB2312"/>
          <w:color w:val="auto"/>
          <w:sz w:val="32"/>
          <w:szCs w:val="32"/>
          <w:highlight w:val="none"/>
        </w:rPr>
        <w:t>万元，包括社会保障和就业支出</w:t>
      </w:r>
      <w:r>
        <w:rPr>
          <w:rFonts w:hint="eastAsia" w:ascii="仿宋_GB2312" w:hAnsi="黑体" w:eastAsia="仿宋_GB2312" w:cs="仿宋_GB2312"/>
          <w:color w:val="auto"/>
          <w:sz w:val="32"/>
          <w:szCs w:val="32"/>
          <w:highlight w:val="none"/>
          <w:lang w:val="en-US" w:eastAsia="zh-CN"/>
        </w:rPr>
        <w:t>34.16</w:t>
      </w:r>
      <w:r>
        <w:rPr>
          <w:rFonts w:hint="eastAsia" w:ascii="仿宋_GB2312" w:hAnsi="黑体" w:eastAsia="仿宋_GB2312"/>
          <w:color w:val="auto"/>
          <w:sz w:val="32"/>
          <w:szCs w:val="32"/>
          <w:highlight w:val="none"/>
        </w:rPr>
        <w:t>万元、卫生健康支出</w:t>
      </w:r>
      <w:r>
        <w:rPr>
          <w:rFonts w:hint="eastAsia" w:ascii="仿宋_GB2312" w:hAnsi="黑体" w:eastAsia="仿宋_GB2312" w:cs="仿宋_GB2312"/>
          <w:color w:val="auto"/>
          <w:sz w:val="32"/>
          <w:szCs w:val="32"/>
          <w:highlight w:val="none"/>
          <w:lang w:val="en-US" w:eastAsia="zh-CN"/>
        </w:rPr>
        <w:t>43.74</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val="en-US" w:eastAsia="zh-CN"/>
        </w:rPr>
        <w:t>交通运输支出290.94万元，</w:t>
      </w:r>
      <w:r>
        <w:rPr>
          <w:rFonts w:hint="eastAsia" w:ascii="仿宋_GB2312" w:hAnsi="黑体" w:eastAsia="仿宋_GB2312"/>
          <w:color w:val="auto"/>
          <w:sz w:val="32"/>
          <w:szCs w:val="32"/>
          <w:highlight w:val="none"/>
        </w:rPr>
        <w:t>住房保障支出</w:t>
      </w:r>
      <w:r>
        <w:rPr>
          <w:rFonts w:hint="eastAsia" w:ascii="仿宋_GB2312" w:hAnsi="黑体" w:eastAsia="仿宋_GB2312"/>
          <w:color w:val="auto"/>
          <w:sz w:val="32"/>
          <w:szCs w:val="32"/>
          <w:highlight w:val="none"/>
          <w:lang w:val="en-US" w:eastAsia="zh-CN"/>
        </w:rPr>
        <w:t>30.12</w:t>
      </w:r>
      <w:r>
        <w:rPr>
          <w:rFonts w:hint="eastAsia" w:ascii="仿宋_GB2312" w:hAnsi="黑体" w:eastAsia="仿宋_GB2312"/>
          <w:color w:val="auto"/>
          <w:sz w:val="32"/>
          <w:szCs w:val="32"/>
          <w:highlight w:val="none"/>
          <w:lang w:eastAsia="zh-CN"/>
        </w:rPr>
        <w:t>万元。</w:t>
      </w:r>
      <w:r>
        <w:rPr>
          <w:rFonts w:hint="eastAsia" w:ascii="仿宋_GB2312" w:hAnsi="黑体" w:eastAsia="仿宋_GB2312"/>
          <w:color w:val="auto"/>
          <w:sz w:val="32"/>
          <w:szCs w:val="32"/>
          <w:highlight w:val="none"/>
        </w:rPr>
        <w:t>结转下年</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eastAsia="zh-CN"/>
        </w:rPr>
        <w:t>琼海市</w:t>
      </w:r>
      <w:r>
        <w:rPr>
          <w:rFonts w:hint="eastAsia" w:ascii="仿宋" w:hAnsi="仿宋" w:eastAsia="仿宋" w:cs="仿宋"/>
          <w:color w:val="auto"/>
          <w:sz w:val="32"/>
          <w:szCs w:val="32"/>
          <w:highlight w:val="none"/>
          <w:lang w:eastAsia="zh-CN"/>
        </w:rPr>
        <w:t>交通运输行政执法大队</w:t>
      </w:r>
      <w:r>
        <w:rPr>
          <w:rFonts w:hint="eastAsia" w:ascii="仿宋_GB2312" w:hAnsi="黑体" w:eastAsia="仿宋_GB2312"/>
          <w:color w:val="auto"/>
          <w:sz w:val="32"/>
          <w:szCs w:val="32"/>
          <w:highlight w:val="none"/>
          <w:lang w:val="en-US" w:eastAsia="zh-CN"/>
        </w:rPr>
        <w:t>2021</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rPr>
        <w:t xml:space="preserve"> </w:t>
      </w:r>
      <w:r>
        <w:rPr>
          <w:rFonts w:hint="eastAsia" w:ascii="仿宋_GB2312" w:hAnsi="黑体" w:eastAsia="仿宋_GB2312" w:cs="仿宋_GB2312"/>
          <w:color w:val="auto"/>
          <w:sz w:val="32"/>
          <w:szCs w:val="32"/>
          <w:highlight w:val="none"/>
          <w:lang w:val="en-US" w:eastAsia="zh-CN"/>
        </w:rPr>
        <w:t>398.96</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35.48</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（去年</w:t>
      </w:r>
      <w:r>
        <w:rPr>
          <w:rFonts w:hint="eastAsia" w:ascii="仿宋_GB2312" w:hAnsi="黑体" w:eastAsia="仿宋_GB2312"/>
          <w:color w:val="auto"/>
          <w:sz w:val="32"/>
          <w:szCs w:val="32"/>
          <w:highlight w:val="none"/>
          <w:lang w:val="en-US" w:eastAsia="zh-CN"/>
        </w:rPr>
        <w:t>363.48万元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增加人员支出和项目支出。</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社会保障和就业支出（类）</w:t>
      </w:r>
      <w:r>
        <w:rPr>
          <w:rFonts w:hint="eastAsia" w:ascii="仿宋_GB2312" w:hAnsi="黑体" w:eastAsia="仿宋_GB2312" w:cs="仿宋_GB2312"/>
          <w:color w:val="auto"/>
          <w:sz w:val="32"/>
          <w:szCs w:val="32"/>
          <w:highlight w:val="none"/>
        </w:rPr>
        <w:t>支出</w:t>
      </w:r>
      <w:r>
        <w:rPr>
          <w:rFonts w:hint="eastAsia" w:ascii="仿宋_GB2312" w:hAnsi="黑体" w:eastAsia="仿宋_GB2312" w:cs="仿宋_GB2312"/>
          <w:color w:val="auto"/>
          <w:sz w:val="32"/>
          <w:szCs w:val="32"/>
          <w:highlight w:val="none"/>
          <w:lang w:val="en-US" w:eastAsia="zh-CN"/>
        </w:rPr>
        <w:t>34.16</w:t>
      </w:r>
      <w:r>
        <w:rPr>
          <w:rFonts w:hint="eastAsia" w:ascii="仿宋_GB2312" w:hAnsi="黑体" w:eastAsia="仿宋_GB2312"/>
          <w:color w:val="auto"/>
          <w:sz w:val="32"/>
          <w:szCs w:val="32"/>
          <w:highlight w:val="none"/>
        </w:rPr>
        <w:t>万元，占</w:t>
      </w:r>
      <w:r>
        <w:rPr>
          <w:rFonts w:hint="eastAsia" w:ascii="仿宋_GB2312" w:hAnsi="黑体" w:eastAsia="仿宋_GB2312"/>
          <w:color w:val="auto"/>
          <w:sz w:val="32"/>
          <w:szCs w:val="32"/>
          <w:highlight w:val="none"/>
          <w:lang w:val="en-US" w:eastAsia="zh-CN"/>
        </w:rPr>
        <w:t>8.56</w:t>
      </w:r>
      <w:r>
        <w:rPr>
          <w:rFonts w:hint="eastAsia" w:ascii="仿宋_GB2312" w:hAnsi="黑体" w:eastAsia="仿宋_GB2312"/>
          <w:color w:val="auto"/>
          <w:sz w:val="32"/>
          <w:szCs w:val="32"/>
          <w:highlight w:val="none"/>
        </w:rPr>
        <w:t>%；卫生健康支出（类）</w:t>
      </w:r>
      <w:r>
        <w:rPr>
          <w:rFonts w:hint="eastAsia" w:ascii="仿宋_GB2312" w:hAnsi="黑体" w:eastAsia="仿宋_GB2312" w:cs="仿宋_GB2312"/>
          <w:color w:val="auto"/>
          <w:sz w:val="32"/>
          <w:szCs w:val="32"/>
          <w:highlight w:val="none"/>
        </w:rPr>
        <w:t>支出</w:t>
      </w:r>
      <w:r>
        <w:rPr>
          <w:rFonts w:hint="eastAsia" w:ascii="仿宋_GB2312" w:hAnsi="黑体" w:eastAsia="仿宋_GB2312" w:cs="仿宋_GB2312"/>
          <w:color w:val="auto"/>
          <w:sz w:val="32"/>
          <w:szCs w:val="32"/>
          <w:highlight w:val="none"/>
          <w:lang w:val="en-US" w:eastAsia="zh-CN"/>
        </w:rPr>
        <w:t>43.74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10.96</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val="en-US" w:eastAsia="zh-CN"/>
        </w:rPr>
        <w:t>交通运输支出（类）支出290.94万元，占72.92%；</w:t>
      </w:r>
      <w:r>
        <w:rPr>
          <w:rFonts w:hint="eastAsia" w:ascii="仿宋_GB2312" w:hAnsi="黑体" w:eastAsia="仿宋_GB2312"/>
          <w:color w:val="auto"/>
          <w:sz w:val="32"/>
          <w:szCs w:val="32"/>
          <w:highlight w:val="none"/>
        </w:rPr>
        <w:t>住房保障支出（类）</w:t>
      </w:r>
      <w:r>
        <w:rPr>
          <w:rFonts w:hint="eastAsia" w:ascii="仿宋_GB2312" w:hAnsi="黑体" w:eastAsia="仿宋_GB2312"/>
          <w:color w:val="auto"/>
          <w:sz w:val="32"/>
          <w:szCs w:val="32"/>
          <w:highlight w:val="none"/>
          <w:lang w:eastAsia="zh-CN"/>
        </w:rPr>
        <w:t>支出</w:t>
      </w:r>
      <w:r>
        <w:rPr>
          <w:rFonts w:hint="eastAsia" w:ascii="仿宋_GB2312" w:hAnsi="黑体" w:eastAsia="仿宋_GB2312"/>
          <w:color w:val="auto"/>
          <w:sz w:val="32"/>
          <w:szCs w:val="32"/>
          <w:highlight w:val="none"/>
          <w:lang w:val="en-US" w:eastAsia="zh-CN"/>
        </w:rPr>
        <w:t>30.12万元，占7.55</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lang w:eastAsia="zh-CN"/>
        </w:rPr>
        <w:t>社会保障和就业支出</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行政事业单位养老</w:t>
      </w:r>
      <w:r>
        <w:rPr>
          <w:rFonts w:hint="eastAsia" w:ascii="仿宋_GB2312" w:hAnsi="黑体" w:eastAsia="仿宋_GB2312" w:cs="仿宋_GB2312"/>
          <w:color w:val="auto"/>
          <w:sz w:val="32"/>
          <w:szCs w:val="32"/>
          <w:highlight w:val="none"/>
        </w:rPr>
        <w:t>支出（款）</w:t>
      </w:r>
      <w:r>
        <w:rPr>
          <w:rFonts w:hint="eastAsia" w:ascii="仿宋_GB2312" w:hAnsi="黑体" w:eastAsia="仿宋_GB2312" w:cs="仿宋_GB2312"/>
          <w:color w:val="auto"/>
          <w:sz w:val="32"/>
          <w:szCs w:val="32"/>
          <w:highlight w:val="none"/>
          <w:lang w:eastAsia="zh-CN"/>
        </w:rPr>
        <w:t>机关事业单位基本养老保险缴费支出</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和机关事业单位职业年金缴费支出（项）</w:t>
      </w:r>
      <w:r>
        <w:rPr>
          <w:rFonts w:hint="eastAsia" w:ascii="仿宋_GB2312" w:hAnsi="黑体" w:eastAsia="仿宋_GB2312" w:cs="仿宋_GB2312"/>
          <w:color w:val="auto"/>
          <w:sz w:val="32"/>
          <w:szCs w:val="32"/>
          <w:highlight w:val="none"/>
          <w:lang w:val="en-US" w:eastAsia="zh-CN"/>
        </w:rPr>
        <w:t>2021年</w:t>
      </w:r>
      <w:r>
        <w:rPr>
          <w:rFonts w:hint="eastAsia" w:ascii="仿宋_GB2312" w:hAnsi="黑体" w:eastAsia="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34.16</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减少</w:t>
      </w:r>
      <w:r>
        <w:rPr>
          <w:rFonts w:hint="eastAsia" w:ascii="仿宋_GB2312" w:hAnsi="黑体" w:eastAsia="仿宋_GB2312" w:cs="仿宋_GB2312"/>
          <w:color w:val="auto"/>
          <w:sz w:val="32"/>
          <w:szCs w:val="32"/>
          <w:highlight w:val="none"/>
          <w:lang w:val="en-US" w:eastAsia="zh-CN"/>
        </w:rPr>
        <w:t>0.86</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eastAsia="zh-CN"/>
        </w:rPr>
        <w:t>因去年</w:t>
      </w:r>
      <w:r>
        <w:rPr>
          <w:rFonts w:hint="eastAsia" w:ascii="仿宋_GB2312" w:hAnsi="黑体" w:eastAsia="仿宋_GB2312"/>
          <w:color w:val="auto"/>
          <w:sz w:val="32"/>
          <w:szCs w:val="32"/>
          <w:highlight w:val="none"/>
          <w:lang w:val="en-US" w:eastAsia="zh-CN"/>
        </w:rPr>
        <w:t>9月</w:t>
      </w:r>
      <w:r>
        <w:rPr>
          <w:rFonts w:hint="eastAsia" w:ascii="仿宋_GB2312" w:hAnsi="黑体" w:eastAsia="仿宋_GB2312"/>
          <w:color w:val="auto"/>
          <w:sz w:val="32"/>
          <w:szCs w:val="32"/>
          <w:highlight w:val="none"/>
          <w:lang w:eastAsia="zh-CN"/>
        </w:rPr>
        <w:t>增加失业保险险种，经费也相对增加。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2、卫生健康支出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行政事业单位医疗（款）事业单位医疗（项）和公务员医疗补助（项）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43.74万元，比上年预</w:t>
      </w:r>
      <w:r>
        <w:rPr>
          <w:rFonts w:hint="eastAsia" w:ascii="仿宋_GB2312" w:hAnsi="黑体" w:eastAsia="仿宋_GB2312"/>
          <w:color w:val="auto"/>
          <w:sz w:val="32"/>
          <w:szCs w:val="32"/>
          <w:highlight w:val="none"/>
          <w:lang w:val="en-US" w:eastAsia="zh-CN"/>
        </w:rPr>
        <w:t>算数增加7.07万元，主要是因执法体制改革，副职编制空缺，人员调入增加。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3、交通运输支出（类）公路水路运输（款）公路运输管理（项）和其他交通运输支出（项）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290.94万元，</w:t>
      </w:r>
      <w:r>
        <w:rPr>
          <w:rFonts w:hint="eastAsia" w:ascii="仿宋_GB2312" w:hAnsi="黑体" w:eastAsia="仿宋_GB2312"/>
          <w:color w:val="auto"/>
          <w:sz w:val="32"/>
          <w:szCs w:val="32"/>
          <w:lang w:eastAsia="zh-CN"/>
        </w:rPr>
        <w:t>比上年预算数</w:t>
      </w:r>
      <w:r>
        <w:rPr>
          <w:rFonts w:hint="eastAsia" w:ascii="仿宋_GB2312" w:hAnsi="黑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64.98</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highlight w:val="none"/>
          <w:lang w:val="en-US" w:eastAsia="zh-CN"/>
        </w:rPr>
        <w:t>主要是因项目增加。</w:t>
      </w:r>
    </w:p>
    <w:p>
      <w:pPr>
        <w:ind w:firstLine="640" w:firstLineChars="200"/>
        <w:rPr>
          <w:rFonts w:hint="default" w:ascii="仿宋_GB2312" w:hAnsi="黑体" w:eastAsia="仿宋_GB2312"/>
          <w:color w:val="auto"/>
          <w:sz w:val="32"/>
          <w:szCs w:val="32"/>
          <w:lang w:val="en-US" w:eastAsia="zh-CN"/>
        </w:rPr>
      </w:pPr>
    </w:p>
    <w:p>
      <w:pPr>
        <w:numPr>
          <w:ilvl w:val="0"/>
          <w:numId w:val="5"/>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住房保障支出</w:t>
      </w:r>
      <w:r>
        <w:rPr>
          <w:rFonts w:hint="eastAsia" w:ascii="仿宋_GB2312" w:hAnsi="黑体" w:eastAsia="仿宋_GB2312" w:cs="仿宋_GB2312"/>
          <w:color w:val="auto"/>
          <w:sz w:val="32"/>
          <w:szCs w:val="32"/>
          <w:highlight w:val="none"/>
        </w:rPr>
        <w:t xml:space="preserve">（类） </w:t>
      </w:r>
      <w:r>
        <w:rPr>
          <w:rFonts w:hint="eastAsia" w:ascii="仿宋_GB2312" w:hAnsi="黑体" w:eastAsia="仿宋_GB2312" w:cs="仿宋_GB2312"/>
          <w:color w:val="auto"/>
          <w:sz w:val="32"/>
          <w:szCs w:val="32"/>
          <w:highlight w:val="none"/>
          <w:lang w:eastAsia="zh-CN"/>
        </w:rPr>
        <w:t>住房改革支出</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 xml:space="preserve"> 住房公积金</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val="en-US" w:eastAsia="zh-CN"/>
        </w:rPr>
        <w:t>2021</w:t>
      </w:r>
      <w:r>
        <w:rPr>
          <w:rFonts w:hint="eastAsia" w:ascii="仿宋_GB2312" w:hAnsi="黑体" w:eastAsia="仿宋_GB2312"/>
          <w:color w:val="auto"/>
          <w:sz w:val="32"/>
          <w:szCs w:val="32"/>
          <w:highlight w:val="none"/>
        </w:rPr>
        <w:t>年预算数</w:t>
      </w:r>
      <w:r>
        <w:rPr>
          <w:rFonts w:hint="eastAsia" w:ascii="仿宋_GB2312" w:hAnsi="黑体" w:eastAsia="仿宋_GB2312"/>
          <w:color w:val="auto"/>
          <w:sz w:val="32"/>
          <w:szCs w:val="32"/>
          <w:highlight w:val="none"/>
          <w:lang w:val="en-US" w:eastAsia="zh-CN"/>
        </w:rPr>
        <w:t>30.12</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，比上年预算数增加</w:t>
      </w:r>
      <w:r>
        <w:rPr>
          <w:rFonts w:hint="eastAsia" w:ascii="仿宋_GB2312" w:hAnsi="黑体" w:eastAsia="仿宋_GB2312"/>
          <w:color w:val="auto"/>
          <w:sz w:val="32"/>
          <w:szCs w:val="32"/>
          <w:highlight w:val="none"/>
          <w:lang w:val="en-US" w:eastAsia="zh-CN"/>
        </w:rPr>
        <w:t>4.29万元，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因执法体制改革，</w:t>
      </w:r>
      <w:r>
        <w:rPr>
          <w:rFonts w:hint="eastAsia" w:ascii="仿宋_GB2312" w:hAnsi="黑体" w:eastAsia="仿宋_GB2312"/>
          <w:color w:val="auto"/>
          <w:sz w:val="32"/>
          <w:szCs w:val="32"/>
          <w:lang w:val="en-US" w:eastAsia="zh-CN"/>
        </w:rPr>
        <w:t>副职编制空缺，</w:t>
      </w:r>
      <w:r>
        <w:rPr>
          <w:rFonts w:hint="eastAsia" w:ascii="仿宋_GB2312" w:hAnsi="黑体" w:eastAsia="仿宋_GB2312"/>
          <w:color w:val="auto"/>
          <w:sz w:val="32"/>
          <w:szCs w:val="32"/>
          <w:highlight w:val="none"/>
          <w:lang w:eastAsia="zh-CN"/>
        </w:rPr>
        <w:t>人员调入支出增加。</w:t>
      </w:r>
    </w:p>
    <w:p>
      <w:pPr>
        <w:numPr>
          <w:ilvl w:val="0"/>
          <w:numId w:val="5"/>
        </w:numPr>
        <w:ind w:firstLine="640" w:firstLineChars="20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 w:hAnsi="仿宋" w:eastAsia="仿宋" w:cs="仿宋"/>
          <w:color w:val="auto"/>
          <w:sz w:val="32"/>
          <w:szCs w:val="32"/>
          <w:lang w:eastAsia="zh-CN"/>
        </w:rPr>
        <w:t>琼海市交通运输行政执法大队</w:t>
      </w:r>
      <w:r>
        <w:rPr>
          <w:rFonts w:hint="eastAsia" w:ascii="仿宋" w:hAnsi="仿宋" w:eastAsia="仿宋" w:cs="仿宋"/>
          <w:color w:val="auto"/>
          <w:sz w:val="32"/>
          <w:szCs w:val="32"/>
          <w:lang w:val="en-US" w:eastAsia="zh-CN"/>
        </w:rPr>
        <w:t>2021</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398.96</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332.99</w:t>
      </w:r>
      <w:r>
        <w:rPr>
          <w:rFonts w:hint="eastAsia" w:ascii="仿宋_GB2312" w:hAnsi="黑体" w:eastAsia="仿宋_GB2312"/>
          <w:color w:val="auto"/>
          <w:sz w:val="32"/>
          <w:szCs w:val="32"/>
        </w:rPr>
        <w:t>万元，主要包括：基本工资、津贴补贴、奖金、绩效工资</w:t>
      </w:r>
      <w:r>
        <w:rPr>
          <w:rFonts w:hint="eastAsia" w:ascii="仿宋_GB2312" w:hAnsi="黑体" w:eastAsia="仿宋_GB2312"/>
          <w:color w:val="auto"/>
          <w:sz w:val="32"/>
          <w:szCs w:val="32"/>
          <w:lang w:eastAsia="zh-CN"/>
        </w:rPr>
        <w:t>、 机关事业单位基本养老保险缴费、职业年金缴费、城镇职工基本医疗保险缴费、公务员医疗补助缴费、其他社会保障缴费、 其他工资福利支出</w:t>
      </w:r>
      <w:r>
        <w:rPr>
          <w:rFonts w:hint="eastAsia" w:ascii="仿宋_GB2312" w:hAnsi="黑体" w:eastAsia="仿宋_GB2312"/>
          <w:color w:val="auto"/>
          <w:sz w:val="32"/>
          <w:szCs w:val="32"/>
        </w:rPr>
        <w:t>、住房公积金;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16.15</w:t>
      </w:r>
      <w:r>
        <w:rPr>
          <w:rFonts w:hint="eastAsia" w:ascii="仿宋_GB2312" w:hAnsi="黑体" w:eastAsia="仿宋_GB2312"/>
          <w:color w:val="auto"/>
          <w:sz w:val="32"/>
          <w:szCs w:val="32"/>
        </w:rPr>
        <w:t>万元，主要包括：办公费、</w:t>
      </w:r>
      <w:r>
        <w:rPr>
          <w:rFonts w:hint="eastAsia" w:ascii="仿宋_GB2312" w:hAnsi="黑体" w:eastAsia="仿宋_GB2312"/>
          <w:color w:val="auto"/>
          <w:sz w:val="32"/>
          <w:szCs w:val="32"/>
          <w:highlight w:val="none"/>
        </w:rPr>
        <w:t>水费、电费</w:t>
      </w:r>
      <w:r>
        <w:rPr>
          <w:rFonts w:hint="eastAsia" w:ascii="仿宋_GB2312" w:hAnsi="黑体" w:eastAsia="仿宋_GB2312"/>
          <w:color w:val="auto"/>
          <w:sz w:val="32"/>
          <w:szCs w:val="32"/>
        </w:rPr>
        <w:t>、 邮电费</w:t>
      </w:r>
      <w:r>
        <w:rPr>
          <w:rFonts w:hint="eastAsia" w:ascii="仿宋_GB2312" w:hAnsi="黑体" w:eastAsia="仿宋_GB2312"/>
          <w:color w:val="auto"/>
          <w:sz w:val="32"/>
          <w:szCs w:val="32"/>
          <w:lang w:eastAsia="zh-CN"/>
        </w:rPr>
        <w:t>、 物业管理费、差旅费、维修(护)费、会议费、培训费、工会经费。</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lang w:val="en-US" w:eastAsia="zh-CN"/>
        </w:rPr>
        <w:t>2021</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 w:hAnsi="仿宋" w:eastAsia="仿宋" w:cs="仿宋"/>
          <w:color w:val="auto"/>
          <w:sz w:val="32"/>
          <w:szCs w:val="32"/>
          <w:lang w:eastAsia="zh-CN"/>
        </w:rPr>
        <w:t>（一）琼海市交通运输行政执法大队</w:t>
      </w:r>
      <w:r>
        <w:rPr>
          <w:rFonts w:hint="eastAsia" w:ascii="仿宋" w:hAnsi="仿宋" w:eastAsia="仿宋" w:cs="仿宋"/>
          <w:color w:val="auto"/>
          <w:sz w:val="32"/>
          <w:szCs w:val="32"/>
          <w:lang w:val="en-US" w:eastAsia="zh-CN"/>
        </w:rPr>
        <w:t>2021</w:t>
      </w:r>
      <w:r>
        <w:rPr>
          <w:rFonts w:hint="eastAsia" w:ascii="仿宋_GB2312" w:hAnsi="黑体" w:eastAsia="仿宋_GB2312"/>
          <w:color w:val="auto"/>
          <w:sz w:val="32"/>
          <w:szCs w:val="32"/>
        </w:rPr>
        <w:t>年“三公”经费预算数为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ind w:firstLine="640"/>
        <w:rPr>
          <w:rFonts w:hint="eastAsia" w:ascii="仿宋_GB2312" w:hAnsi="黑体" w:eastAsia="仿宋_GB2312"/>
          <w:color w:val="auto"/>
          <w:sz w:val="32"/>
          <w:szCs w:val="32"/>
          <w:lang w:eastAsia="zh-CN"/>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hint="eastAsia" w:ascii="仿宋_GB2312" w:hAnsi="黑体" w:eastAsia="仿宋_GB2312"/>
          <w:color w:val="auto"/>
          <w:sz w:val="32"/>
          <w:szCs w:val="32"/>
          <w:lang w:eastAsia="zh-CN"/>
        </w:rPr>
        <w:t>，</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eastAsia="zh-CN"/>
        </w:rPr>
        <w:t>持平</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：无车编制。</w:t>
      </w:r>
    </w:p>
    <w:p>
      <w:pPr>
        <w:numPr>
          <w:ilvl w:val="0"/>
          <w:numId w:val="6"/>
        </w:numPr>
        <w:ind w:firstLine="640"/>
        <w:rPr>
          <w:rFonts w:hint="eastAsia" w:ascii="仿宋_GB2312" w:hAnsi="黑体" w:eastAsia="仿宋_GB2312"/>
          <w:color w:val="auto"/>
          <w:sz w:val="32"/>
          <w:szCs w:val="32"/>
        </w:rPr>
      </w:pPr>
      <w:r>
        <w:rPr>
          <w:rFonts w:hint="eastAsia" w:ascii="仿宋" w:hAnsi="仿宋" w:eastAsia="仿宋" w:cs="仿宋"/>
          <w:color w:val="auto"/>
          <w:sz w:val="32"/>
          <w:szCs w:val="32"/>
          <w:lang w:eastAsia="zh-CN"/>
        </w:rPr>
        <w:t>琼海市交通运输行政执法大队</w:t>
      </w:r>
      <w:r>
        <w:rPr>
          <w:rFonts w:hint="eastAsia" w:ascii="仿宋" w:hAnsi="仿宋" w:eastAsia="仿宋" w:cs="仿宋"/>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政府性基金预算</w:t>
      </w:r>
      <w:r>
        <w:rPr>
          <w:rFonts w:hint="eastAsia" w:ascii="仿宋_GB2312" w:hAnsi="黑体" w:eastAsia="仿宋_GB2312"/>
          <w:color w:val="auto"/>
          <w:sz w:val="32"/>
          <w:szCs w:val="32"/>
        </w:rPr>
        <w:t>“三公”经费预算数为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numPr>
          <w:ilvl w:val="0"/>
          <w:numId w:val="0"/>
        </w:numPr>
        <w:ind w:firstLine="640" w:firstLineChars="200"/>
        <w:rPr>
          <w:rFonts w:hint="eastAsia" w:ascii="仿宋_GB2312" w:hAnsi="黑体" w:eastAsia="仿宋_GB2312"/>
          <w:color w:val="auto"/>
          <w:sz w:val="32"/>
          <w:szCs w:val="32"/>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hint="eastAsia" w:ascii="仿宋_GB2312" w:hAnsi="黑体" w:eastAsia="仿宋_GB2312"/>
          <w:color w:val="auto"/>
          <w:sz w:val="32"/>
          <w:szCs w:val="32"/>
          <w:lang w:eastAsia="zh-CN"/>
        </w:rPr>
        <w:t>，</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：无车编制。</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lang w:eastAsia="zh-CN"/>
        </w:rPr>
        <w:t>琼海市交通运输行政执法大队</w:t>
      </w:r>
      <w:r>
        <w:rPr>
          <w:rFonts w:hint="eastAsia" w:ascii="黑体" w:hAnsi="黑体" w:eastAsia="黑体"/>
          <w:color w:val="auto"/>
          <w:sz w:val="32"/>
          <w:szCs w:val="32"/>
          <w:highlight w:val="none"/>
          <w:lang w:val="en-US" w:eastAsia="zh-CN"/>
        </w:rPr>
        <w:t>2021</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 w:hAnsi="仿宋" w:eastAsia="仿宋" w:cs="仿宋"/>
          <w:color w:val="auto"/>
          <w:sz w:val="32"/>
          <w:szCs w:val="32"/>
          <w:lang w:eastAsia="zh-CN"/>
        </w:rPr>
        <w:t>琼海市交通运输行政执法大队</w:t>
      </w:r>
      <w:r>
        <w:rPr>
          <w:rFonts w:hint="eastAsia" w:ascii="仿宋" w:hAnsi="仿宋" w:eastAsia="仿宋" w:cs="仿宋"/>
          <w:color w:val="auto"/>
          <w:sz w:val="32"/>
          <w:szCs w:val="32"/>
          <w:lang w:val="en-US" w:eastAsia="zh-CN"/>
        </w:rPr>
        <w:t>2021</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highlight w:val="none"/>
          <w:lang w:val="en-US" w:eastAsia="zh-CN"/>
        </w:rPr>
        <w:t>项目分类转移至一般公共预算类。</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eastAsia="zh-CN"/>
        </w:rPr>
        <w:t>无</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 xml:space="preserve"> </w:t>
      </w:r>
      <w:r>
        <w:rPr>
          <w:rFonts w:hint="eastAsia" w:ascii="仿宋_GB2312" w:hAnsi="黑体" w:eastAsia="仿宋_GB2312" w:cs="仿宋_GB2312"/>
          <w:color w:val="auto"/>
          <w:sz w:val="32"/>
          <w:szCs w:val="32"/>
          <w:lang w:eastAsia="zh-CN"/>
        </w:rPr>
        <w:t>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eastAsia="zh-CN"/>
        </w:rPr>
        <w:t>琼海市</w:t>
      </w:r>
      <w:r>
        <w:rPr>
          <w:rFonts w:hint="eastAsia" w:ascii="黑体" w:hAnsi="黑体" w:eastAsia="黑体"/>
          <w:color w:val="auto"/>
          <w:sz w:val="32"/>
          <w:szCs w:val="32"/>
          <w:lang w:eastAsia="zh-CN"/>
        </w:rPr>
        <w:t>交通运输行政执法大队</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琼海市</w:t>
      </w:r>
      <w:r>
        <w:rPr>
          <w:rFonts w:hint="eastAsia" w:ascii="仿宋" w:hAnsi="仿宋" w:eastAsia="仿宋" w:cs="仿宋"/>
          <w:color w:val="auto"/>
          <w:sz w:val="32"/>
          <w:szCs w:val="32"/>
          <w:lang w:eastAsia="zh-CN"/>
        </w:rPr>
        <w:t>交通运输行政执法大队</w:t>
      </w:r>
      <w:r>
        <w:rPr>
          <w:rFonts w:hint="eastAsia" w:ascii="仿宋_GB2312" w:hAnsi="黑体" w:eastAsia="仿宋_GB2312" w:cs="仿宋_GB2312"/>
          <w:color w:val="auto"/>
          <w:sz w:val="32"/>
          <w:szCs w:val="32"/>
        </w:rPr>
        <w:t>所有收入和支出均纳入部门预算管理。</w:t>
      </w:r>
      <w:r>
        <w:rPr>
          <w:rFonts w:hint="eastAsia" w:ascii="仿宋_GB2312" w:hAnsi="黑体" w:eastAsia="仿宋_GB2312" w:cs="仿宋_GB2312"/>
          <w:color w:val="auto"/>
          <w:sz w:val="32"/>
          <w:szCs w:val="32"/>
          <w:highlight w:val="none"/>
        </w:rPr>
        <w:t>收入包括：一般公共预算</w:t>
      </w:r>
      <w:r>
        <w:rPr>
          <w:rFonts w:hint="eastAsia" w:ascii="仿宋_GB2312" w:hAnsi="黑体" w:eastAsia="仿宋_GB2312" w:cs="仿宋_GB2312"/>
          <w:color w:val="auto"/>
          <w:sz w:val="32"/>
          <w:szCs w:val="32"/>
          <w:highlight w:val="none"/>
          <w:lang w:eastAsia="zh-CN"/>
        </w:rPr>
        <w:t>拨款</w:t>
      </w:r>
      <w:r>
        <w:rPr>
          <w:rFonts w:hint="eastAsia" w:ascii="仿宋_GB2312" w:hAnsi="黑体" w:eastAsia="仿宋_GB2312" w:cs="仿宋_GB2312"/>
          <w:color w:val="auto"/>
          <w:sz w:val="32"/>
          <w:szCs w:val="32"/>
          <w:highlight w:val="none"/>
        </w:rPr>
        <w:t>收入、政府性基金</w:t>
      </w:r>
      <w:r>
        <w:rPr>
          <w:rFonts w:hint="eastAsia" w:ascii="仿宋_GB2312" w:hAnsi="黑体" w:eastAsia="仿宋_GB2312" w:cs="仿宋_GB2312"/>
          <w:color w:val="auto"/>
          <w:sz w:val="32"/>
          <w:szCs w:val="32"/>
          <w:highlight w:val="none"/>
          <w:lang w:eastAsia="zh-CN"/>
        </w:rPr>
        <w:t>预算拨款</w:t>
      </w:r>
      <w:r>
        <w:rPr>
          <w:rFonts w:hint="eastAsia" w:ascii="仿宋_GB2312" w:hAnsi="黑体" w:eastAsia="仿宋_GB2312" w:cs="仿宋_GB2312"/>
          <w:color w:val="auto"/>
          <w:sz w:val="32"/>
          <w:szCs w:val="32"/>
          <w:highlight w:val="none"/>
        </w:rPr>
        <w:t>收入</w:t>
      </w:r>
      <w:r>
        <w:rPr>
          <w:rFonts w:hint="eastAsia" w:ascii="仿宋_GB2312" w:hAnsi="黑体" w:eastAsia="仿宋_GB2312"/>
          <w:color w:val="auto"/>
          <w:sz w:val="32"/>
          <w:szCs w:val="32"/>
          <w:highlight w:val="none"/>
        </w:rPr>
        <w:t>；支出包括：</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highlight w:val="none"/>
          <w:lang w:eastAsia="zh-CN"/>
        </w:rPr>
        <w:t>交通运输支出</w:t>
      </w:r>
      <w:r>
        <w:rPr>
          <w:rFonts w:hint="eastAsia" w:ascii="仿宋_GB2312" w:hAnsi="黑体" w:eastAsia="仿宋_GB2312"/>
          <w:color w:val="auto"/>
          <w:sz w:val="32"/>
          <w:szCs w:val="32"/>
          <w:lang w:eastAsia="zh-CN"/>
        </w:rPr>
        <w:t>、住房保障支出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琼海市</w:t>
      </w:r>
      <w:r>
        <w:rPr>
          <w:rFonts w:hint="eastAsia" w:ascii="仿宋" w:hAnsi="仿宋" w:eastAsia="仿宋" w:cs="仿宋"/>
          <w:color w:val="auto"/>
          <w:sz w:val="32"/>
          <w:szCs w:val="32"/>
          <w:lang w:eastAsia="zh-CN"/>
        </w:rPr>
        <w:t>交通运输行政执法大队</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398.96</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eastAsia="zh-CN"/>
        </w:rPr>
        <w:t>琼海市</w:t>
      </w:r>
      <w:r>
        <w:rPr>
          <w:rFonts w:hint="eastAsia" w:ascii="黑体" w:hAnsi="黑体" w:eastAsia="黑体"/>
          <w:color w:val="auto"/>
          <w:sz w:val="32"/>
          <w:szCs w:val="32"/>
          <w:lang w:eastAsia="zh-CN"/>
        </w:rPr>
        <w:t>交通运输行政执法大队</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color w:val="auto"/>
          <w:sz w:val="32"/>
          <w:szCs w:val="32"/>
          <w:highlight w:val="none"/>
          <w:lang w:eastAsia="zh-CN"/>
        </w:rPr>
      </w:pPr>
      <w:r>
        <w:rPr>
          <w:rFonts w:hint="eastAsia" w:ascii="仿宋" w:hAnsi="仿宋" w:eastAsia="仿宋" w:cs="仿宋"/>
          <w:color w:val="auto"/>
          <w:sz w:val="32"/>
          <w:shd w:val="clear" w:color="auto" w:fill="FFFFFF"/>
          <w:lang w:eastAsia="zh-CN"/>
        </w:rPr>
        <w:t>琼海市</w:t>
      </w:r>
      <w:r>
        <w:rPr>
          <w:rFonts w:hint="eastAsia" w:ascii="仿宋" w:hAnsi="仿宋" w:eastAsia="仿宋" w:cs="仿宋"/>
          <w:color w:val="auto"/>
          <w:sz w:val="32"/>
          <w:szCs w:val="32"/>
          <w:lang w:eastAsia="zh-CN"/>
        </w:rPr>
        <w:t>交通运输行政执法大队</w:t>
      </w:r>
      <w:r>
        <w:rPr>
          <w:rFonts w:hint="eastAsia" w:ascii="仿宋" w:hAnsi="仿宋" w:eastAsia="仿宋" w:cs="仿宋"/>
          <w:color w:val="auto"/>
          <w:sz w:val="32"/>
          <w:shd w:val="clear" w:color="auto" w:fill="FFFFFF"/>
          <w:lang w:val="en-US" w:eastAsia="zh-CN"/>
        </w:rPr>
        <w:t>2021</w:t>
      </w:r>
      <w:r>
        <w:rPr>
          <w:rFonts w:hint="eastAsia" w:ascii="仿宋_GB2312" w:hAnsi="黑体" w:eastAsia="仿宋_GB2312"/>
          <w:color w:val="auto"/>
          <w:sz w:val="32"/>
          <w:szCs w:val="32"/>
        </w:rPr>
        <w:t>年收入预算</w:t>
      </w:r>
      <w:r>
        <w:rPr>
          <w:rFonts w:hint="eastAsia" w:ascii="仿宋_GB2312" w:hAnsi="黑体" w:eastAsia="仿宋_GB2312"/>
          <w:color w:val="auto"/>
          <w:sz w:val="32"/>
          <w:szCs w:val="32"/>
          <w:lang w:val="en-US" w:eastAsia="zh-CN"/>
        </w:rPr>
        <w:t>398.96</w:t>
      </w:r>
      <w:r>
        <w:rPr>
          <w:rFonts w:hint="eastAsia" w:ascii="仿宋_GB2312" w:hAnsi="黑体" w:eastAsia="仿宋_GB2312"/>
          <w:color w:val="auto"/>
          <w:sz w:val="32"/>
          <w:szCs w:val="32"/>
        </w:rPr>
        <w:t>万元，其中：</w:t>
      </w:r>
      <w:r>
        <w:rPr>
          <w:rFonts w:hint="eastAsia" w:ascii="仿宋_GB2312" w:hAnsi="黑体" w:eastAsia="仿宋_GB2312"/>
          <w:color w:val="auto"/>
          <w:sz w:val="32"/>
          <w:szCs w:val="32"/>
          <w:lang w:eastAsia="zh-CN"/>
        </w:rPr>
        <w:t>上年结转</w:t>
      </w:r>
      <w:r>
        <w:rPr>
          <w:rFonts w:hint="eastAsia" w:ascii="仿宋_GB2312" w:hAnsi="黑体" w:eastAsia="仿宋_GB2312"/>
          <w:color w:val="auto"/>
          <w:sz w:val="32"/>
          <w:szCs w:val="32"/>
          <w:lang w:val="en-US" w:eastAsia="zh-CN"/>
        </w:rPr>
        <w:t>0万元，占比0%；</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398.96</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 xml:space="preserve">%；政府性基金收入 </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35.48</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（去年</w:t>
      </w:r>
      <w:r>
        <w:rPr>
          <w:rFonts w:hint="eastAsia" w:ascii="仿宋_GB2312" w:hAnsi="黑体" w:eastAsia="仿宋_GB2312"/>
          <w:color w:val="auto"/>
          <w:sz w:val="32"/>
          <w:szCs w:val="32"/>
          <w:highlight w:val="none"/>
          <w:lang w:val="en-US" w:eastAsia="zh-CN"/>
        </w:rPr>
        <w:t>363.48万元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增加人员支出和项目支出。</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eastAsia="zh-CN"/>
        </w:rPr>
        <w:t>琼海市</w:t>
      </w:r>
      <w:r>
        <w:rPr>
          <w:rFonts w:hint="eastAsia" w:ascii="黑体" w:hAnsi="黑体" w:eastAsia="黑体"/>
          <w:color w:val="auto"/>
          <w:sz w:val="32"/>
          <w:szCs w:val="32"/>
          <w:lang w:eastAsia="zh-CN"/>
        </w:rPr>
        <w:t>交通运输行政执法大队</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_GB2312" w:hAnsi="黑体" w:eastAsia="仿宋_GB2312"/>
          <w:color w:val="auto"/>
          <w:sz w:val="32"/>
          <w:szCs w:val="32"/>
          <w:highlight w:val="none"/>
          <w:lang w:eastAsia="zh-CN"/>
        </w:rPr>
      </w:pPr>
      <w:r>
        <w:rPr>
          <w:rFonts w:hint="eastAsia" w:ascii="仿宋" w:hAnsi="仿宋" w:eastAsia="仿宋" w:cs="仿宋"/>
          <w:color w:val="auto"/>
          <w:sz w:val="32"/>
          <w:shd w:val="clear" w:color="auto" w:fill="FFFFFF"/>
          <w:lang w:eastAsia="zh-CN"/>
        </w:rPr>
        <w:t>琼海市</w:t>
      </w:r>
      <w:r>
        <w:rPr>
          <w:rFonts w:hint="eastAsia" w:ascii="仿宋" w:hAnsi="仿宋" w:eastAsia="仿宋" w:cs="仿宋"/>
          <w:color w:val="auto"/>
          <w:sz w:val="32"/>
          <w:szCs w:val="32"/>
          <w:lang w:eastAsia="zh-CN"/>
        </w:rPr>
        <w:t>交通运输行政执法大队</w:t>
      </w:r>
      <w:r>
        <w:rPr>
          <w:rFonts w:hint="eastAsia" w:ascii="仿宋" w:hAnsi="仿宋" w:eastAsia="仿宋" w:cs="仿宋"/>
          <w:color w:val="auto"/>
          <w:sz w:val="32"/>
          <w:shd w:val="clear" w:color="auto" w:fill="FFFFFF"/>
          <w:lang w:val="en-US" w:eastAsia="zh-CN"/>
        </w:rPr>
        <w:t>2021</w:t>
      </w:r>
      <w:r>
        <w:rPr>
          <w:rFonts w:hint="eastAsia" w:ascii="仿宋" w:hAnsi="仿宋" w:eastAsia="仿宋" w:cs="仿宋"/>
          <w:color w:val="auto"/>
          <w:sz w:val="32"/>
          <w:shd w:val="clear" w:color="auto" w:fill="FFFFFF"/>
        </w:rPr>
        <w:t>年</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398.96</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349.13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87.51</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val="en-US" w:eastAsia="zh-CN"/>
        </w:rPr>
        <w:t>49.82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12.49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35.48</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增加人员支出和项目支出。</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highlight w:val="none"/>
        </w:rPr>
      </w:pPr>
      <w:r>
        <w:rPr>
          <w:rFonts w:hint="eastAsia" w:ascii="仿宋_GB2312" w:eastAsia="仿宋_GB2312"/>
          <w:color w:val="auto"/>
          <w:sz w:val="32"/>
          <w:szCs w:val="32"/>
          <w:highlight w:val="none"/>
          <w:lang w:val="en-US" w:eastAsia="zh-CN"/>
        </w:rPr>
        <w:t>琼海市交通运输行政执法大队</w:t>
      </w:r>
      <w:r>
        <w:rPr>
          <w:rFonts w:hint="eastAsia" w:ascii="仿宋_GB2312" w:hAnsi="黑体" w:eastAsia="仿宋_GB2312" w:cs="仿宋_GB2312"/>
          <w:color w:val="auto"/>
          <w:sz w:val="32"/>
          <w:szCs w:val="32"/>
          <w:highlight w:val="none"/>
        </w:rPr>
        <w:t>机关运行经费预算</w:t>
      </w:r>
      <w:r>
        <w:rPr>
          <w:rFonts w:hint="eastAsia" w:ascii="仿宋_GB2312" w:hAnsi="黑体" w:eastAsia="仿宋_GB2312" w:cs="仿宋_GB2312"/>
          <w:color w:val="auto"/>
          <w:sz w:val="32"/>
          <w:szCs w:val="32"/>
          <w:highlight w:val="none"/>
          <w:lang w:val="en-US" w:eastAsia="zh-CN"/>
        </w:rPr>
        <w:t>16.15</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琼海市</w:t>
      </w:r>
      <w:r>
        <w:rPr>
          <w:rFonts w:hint="eastAsia" w:ascii="仿宋" w:hAnsi="仿宋" w:eastAsia="仿宋" w:cs="仿宋"/>
          <w:color w:val="auto"/>
          <w:sz w:val="32"/>
          <w:szCs w:val="32"/>
          <w:lang w:eastAsia="zh-CN"/>
        </w:rPr>
        <w:t>交通运输行政执法大队</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13.8</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13.8</w:t>
      </w:r>
      <w:r>
        <w:rPr>
          <w:rFonts w:hint="eastAsia" w:ascii="仿宋_GB2312" w:hAnsi="黑体" w:eastAsia="仿宋_GB2312"/>
          <w:color w:val="auto"/>
          <w:sz w:val="32"/>
          <w:szCs w:val="32"/>
        </w:rPr>
        <w:t>万元，政府采购工程预算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（三）国有资产占有使用情况</w:t>
      </w:r>
    </w:p>
    <w:p>
      <w:p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2020</w:t>
      </w:r>
      <w:r>
        <w:rPr>
          <w:rFonts w:hint="eastAsia" w:ascii="仿宋_GB2312" w:hAnsi="黑体" w:eastAsia="仿宋_GB2312" w:cs="仿宋_GB2312"/>
          <w:color w:val="auto"/>
          <w:sz w:val="32"/>
          <w:szCs w:val="32"/>
          <w:highlight w:val="none"/>
        </w:rPr>
        <w:t>年12月31日，</w:t>
      </w:r>
      <w:r>
        <w:rPr>
          <w:rFonts w:hint="eastAsia" w:ascii="仿宋_GB2312" w:hAnsi="黑体" w:eastAsia="仿宋_GB2312" w:cs="仿宋_GB2312"/>
          <w:color w:val="auto"/>
          <w:sz w:val="32"/>
          <w:szCs w:val="32"/>
          <w:highlight w:val="none"/>
          <w:lang w:eastAsia="zh-CN"/>
        </w:rPr>
        <w:t>琼海市</w:t>
      </w:r>
      <w:r>
        <w:rPr>
          <w:rFonts w:hint="eastAsia" w:ascii="仿宋" w:hAnsi="仿宋" w:eastAsia="仿宋" w:cs="仿宋"/>
          <w:color w:val="auto"/>
          <w:sz w:val="32"/>
          <w:szCs w:val="32"/>
          <w:highlight w:val="none"/>
          <w:lang w:eastAsia="zh-CN"/>
        </w:rPr>
        <w:t>交通运输行政执法大队</w:t>
      </w:r>
      <w:r>
        <w:rPr>
          <w:rFonts w:hint="eastAsia" w:ascii="仿宋_GB2312" w:hAnsi="黑体" w:eastAsia="仿宋_GB2312" w:cs="仿宋_GB2312"/>
          <w:color w:val="auto"/>
          <w:sz w:val="32"/>
          <w:szCs w:val="32"/>
          <w:highlight w:val="none"/>
        </w:rPr>
        <w:t>本级及下属各预算单位共有车辆</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一般公务用车</w:t>
      </w:r>
      <w:r>
        <w:rPr>
          <w:rFonts w:hint="eastAsia" w:ascii="仿宋_GB2312" w:hAnsi="黑体" w:eastAsia="仿宋_GB2312" w:cs="仿宋_GB2312"/>
          <w:color w:val="auto"/>
          <w:sz w:val="32"/>
          <w:szCs w:val="32"/>
          <w:highlight w:val="none"/>
          <w:lang w:val="en-US" w:eastAsia="zh-CN"/>
        </w:rPr>
        <w:t>0辆，</w:t>
      </w:r>
      <w:r>
        <w:rPr>
          <w:rFonts w:hint="eastAsia" w:ascii="仿宋_GB2312" w:hAnsi="黑体" w:eastAsia="仿宋_GB2312" w:cs="仿宋_GB2312"/>
          <w:color w:val="auto"/>
          <w:sz w:val="32"/>
          <w:szCs w:val="32"/>
          <w:highlight w:val="none"/>
        </w:rPr>
        <w:t>机要通信应急用车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琼海市</w:t>
      </w:r>
      <w:r>
        <w:rPr>
          <w:rFonts w:hint="eastAsia" w:ascii="仿宋" w:hAnsi="仿宋" w:eastAsia="仿宋" w:cs="仿宋"/>
          <w:color w:val="auto"/>
          <w:sz w:val="32"/>
          <w:szCs w:val="32"/>
          <w:lang w:eastAsia="zh-CN"/>
        </w:rPr>
        <w:t>交通运输行政执法大队</w:t>
      </w:r>
      <w:r>
        <w:rPr>
          <w:rFonts w:hint="eastAsia" w:ascii="仿宋_GB2312" w:hAnsi="黑体" w:eastAsia="仿宋_GB2312" w:cs="仿宋_GB2312"/>
          <w:color w:val="auto"/>
          <w:sz w:val="32"/>
          <w:szCs w:val="32"/>
          <w:highlight w:val="none"/>
          <w:lang w:val="en-US" w:eastAsia="zh-CN"/>
        </w:rPr>
        <w:t>16</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398.96万</w:t>
      </w:r>
      <w:r>
        <w:rPr>
          <w:rFonts w:hint="eastAsia" w:ascii="仿宋_GB2312" w:hAnsi="黑体" w:eastAsia="仿宋_GB2312"/>
          <w:color w:val="auto"/>
          <w:sz w:val="32"/>
          <w:szCs w:val="32"/>
        </w:rPr>
        <w:t>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w:t>
      </w:r>
      <w:r>
        <w:rPr>
          <w:rFonts w:ascii="黑体" w:hAnsi="黑体" w:eastAsia="黑体"/>
          <w:b/>
          <w:color w:val="auto"/>
          <w:sz w:val="32"/>
          <w:szCs w:val="32"/>
        </w:rPr>
        <w:t xml:space="preserve">  </w:t>
      </w:r>
      <w:r>
        <w:rPr>
          <w:rFonts w:hint="eastAsia" w:ascii="黑体" w:hAnsi="黑体" w:eastAsia="黑体"/>
          <w:b/>
          <w:color w:val="auto"/>
          <w:sz w:val="32"/>
          <w:szCs w:val="32"/>
        </w:rPr>
        <w:t>名词解释</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2"/>
        </w:rPr>
        <w:t>三、</w:t>
      </w:r>
      <w:r>
        <w:rPr>
          <w:rFonts w:hint="eastAsia" w:ascii="仿宋_GB2312" w:hAnsi="宋体" w:eastAsia="仿宋_GB2312" w:cs="宋体"/>
          <w:color w:val="auto"/>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四</w:t>
      </w:r>
      <w:r>
        <w:rPr>
          <w:rFonts w:hint="eastAsia" w:ascii="仿宋_GB2312" w:hAnsi="宋体" w:eastAsia="仿宋_GB2312" w:cs="宋体"/>
          <w:color w:val="auto"/>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lang w:eastAsia="zh-CN"/>
        </w:rPr>
        <w:t>五</w:t>
      </w:r>
      <w:r>
        <w:rPr>
          <w:rFonts w:hint="eastAsia" w:ascii="仿宋_GB2312" w:hAnsi="宋体" w:eastAsia="仿宋_GB2312" w:cs="宋体"/>
          <w:color w:val="auto"/>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六</w:t>
      </w:r>
      <w:r>
        <w:rPr>
          <w:rFonts w:hint="eastAsia" w:ascii="仿宋_GB2312" w:hAnsi="宋体" w:eastAsia="仿宋_GB2312" w:cs="宋体"/>
          <w:color w:val="auto"/>
          <w:kern w:val="0"/>
          <w:sz w:val="32"/>
          <w:szCs w:val="30"/>
        </w:rPr>
        <w:t>、社会保障和就业支出（类）行政事业单位离退休（款）机关事业单位基本养老保险缴费支出（项）：指机关事业单位实施养老保险制度由单位缴纳的基本养老保险费支出。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七、卫生与</w:t>
      </w:r>
      <w:r>
        <w:rPr>
          <w:rFonts w:hint="eastAsia" w:ascii="仿宋_GB2312" w:hAnsi="宋体" w:eastAsia="仿宋_GB2312" w:cs="宋体"/>
          <w:color w:val="auto"/>
          <w:kern w:val="0"/>
          <w:sz w:val="32"/>
          <w:szCs w:val="30"/>
          <w:lang w:eastAsia="zh-CN"/>
        </w:rPr>
        <w:t>健康</w:t>
      </w:r>
      <w:r>
        <w:rPr>
          <w:rFonts w:hint="eastAsia" w:ascii="仿宋_GB2312" w:hAnsi="宋体" w:eastAsia="仿宋_GB2312" w:cs="宋体"/>
          <w:color w:val="auto"/>
          <w:kern w:val="0"/>
          <w:sz w:val="32"/>
          <w:szCs w:val="30"/>
        </w:rPr>
        <w:t>支出（类）行政事业单位医疗（款）事业单位医疗（项）：指财政部门集中安排的事业单位基本医疗保险缴费经费，未参加医疗保险的事业单位的公费医疗经费，按照国家规定享受离休人员待遇的医疗经费。</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八、卫生与</w:t>
      </w:r>
      <w:r>
        <w:rPr>
          <w:rFonts w:hint="eastAsia" w:ascii="仿宋_GB2312" w:hAnsi="宋体" w:eastAsia="仿宋_GB2312" w:cs="宋体"/>
          <w:color w:val="auto"/>
          <w:kern w:val="0"/>
          <w:sz w:val="32"/>
          <w:szCs w:val="30"/>
          <w:lang w:eastAsia="zh-CN"/>
        </w:rPr>
        <w:t>健康</w:t>
      </w:r>
      <w:r>
        <w:rPr>
          <w:rFonts w:hint="eastAsia" w:ascii="仿宋_GB2312" w:hAnsi="宋体" w:eastAsia="仿宋_GB2312" w:cs="宋体"/>
          <w:color w:val="auto"/>
          <w:kern w:val="0"/>
          <w:sz w:val="32"/>
          <w:szCs w:val="30"/>
        </w:rPr>
        <w:t>支出（类）行政事业单位医疗（款）公务员医疗补助（项）：指财政部门集中安排的公务员医疗补助经费。</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highlight w:val="none"/>
          <w:shd w:val="clear" w:fill="FFFFFF"/>
          <w:lang w:eastAsia="zh-CN"/>
        </w:rPr>
        <w:t>九、</w:t>
      </w:r>
      <w:r>
        <w:rPr>
          <w:rFonts w:hint="eastAsia" w:ascii="仿宋_GB2312" w:hAnsi="黑体" w:eastAsia="仿宋_GB2312"/>
          <w:color w:val="auto"/>
          <w:sz w:val="32"/>
          <w:szCs w:val="32"/>
          <w:highlight w:val="none"/>
          <w:lang w:val="en-US" w:eastAsia="zh-CN"/>
        </w:rPr>
        <w:t>交通运输支出（类）其他交通运输支出（款）其他交通运输（项）：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w:t>
      </w:r>
      <w:r>
        <w:rPr>
          <w:rFonts w:ascii="仿宋_GB2312" w:hAnsi="微软雅黑" w:eastAsia="仿宋_GB2312" w:cs="仿宋_GB2312"/>
          <w:color w:val="auto"/>
          <w:sz w:val="32"/>
          <w:szCs w:val="32"/>
          <w:highlight w:val="none"/>
          <w:shd w:val="clear" w:fill="FFFFFF"/>
        </w:rPr>
        <w:t>部门</w:t>
      </w:r>
      <w:r>
        <w:rPr>
          <w:rFonts w:hint="eastAsia" w:ascii="仿宋_GB2312" w:hAnsi="微软雅黑" w:eastAsia="仿宋_GB2312" w:cs="仿宋_GB2312"/>
          <w:color w:val="auto"/>
          <w:sz w:val="32"/>
          <w:szCs w:val="32"/>
          <w:highlight w:val="none"/>
          <w:shd w:val="clear" w:fill="FFFFFF"/>
          <w:lang w:eastAsia="zh-CN"/>
        </w:rPr>
        <w:t>治超支出。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十</w:t>
      </w:r>
      <w:r>
        <w:rPr>
          <w:rFonts w:hint="eastAsia" w:ascii="仿宋_GB2312" w:hAnsi="宋体" w:eastAsia="仿宋_GB2312" w:cs="宋体"/>
          <w:color w:val="auto"/>
          <w:kern w:val="0"/>
          <w:sz w:val="32"/>
          <w:szCs w:val="30"/>
        </w:rPr>
        <w:t>、住房保障支出（类）住房改革支出（款）住房公积金（项）：指行政事业单位按人力资源和社会保障部、财政部规定的基本工资和津贴补贴以及规定比例为职工缴纳住房公积金。</w:t>
      </w:r>
    </w:p>
    <w:p>
      <w:pPr>
        <w:widowControl/>
        <w:spacing w:line="560" w:lineRule="exact"/>
        <w:ind w:firstLine="640" w:firstLineChars="200"/>
        <w:rPr>
          <w:rFonts w:ascii="仿宋_GB2312" w:hAnsi="黑体" w:eastAsia="仿宋_GB2312" w:cs="仿宋_GB2312"/>
          <w:sz w:val="32"/>
          <w:szCs w:val="32"/>
        </w:rPr>
      </w:pPr>
      <w:r>
        <w:rPr>
          <w:rFonts w:hint="eastAsia" w:ascii="仿宋" w:hAnsi="仿宋" w:eastAsia="仿宋" w:cs="宋体"/>
          <w:color w:val="000000"/>
          <w:kern w:val="0"/>
          <w:sz w:val="32"/>
          <w:szCs w:val="30"/>
          <w:lang w:eastAsia="zh-CN"/>
        </w:rPr>
        <w:t>十一</w:t>
      </w:r>
      <w:r>
        <w:rPr>
          <w:rFonts w:hint="eastAsia" w:ascii="仿宋" w:hAnsi="仿宋" w:eastAsia="仿宋"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C8998"/>
    <w:multiLevelType w:val="singleLevel"/>
    <w:tmpl w:val="269C8998"/>
    <w:lvl w:ilvl="0" w:tentative="0">
      <w:start w:val="2"/>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36EEE9"/>
    <w:multiLevelType w:val="singleLevel"/>
    <w:tmpl w:val="6036EEE9"/>
    <w:lvl w:ilvl="0" w:tentative="0">
      <w:start w:val="4"/>
      <w:numFmt w:val="decimal"/>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3088"/>
    <w:rsid w:val="001326C1"/>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7757"/>
    <w:rsid w:val="00DC65EF"/>
    <w:rsid w:val="00DD3FD8"/>
    <w:rsid w:val="00DF2835"/>
    <w:rsid w:val="00E3389C"/>
    <w:rsid w:val="00E73A4A"/>
    <w:rsid w:val="00ED50D0"/>
    <w:rsid w:val="00ED6580"/>
    <w:rsid w:val="00F91B44"/>
    <w:rsid w:val="00FB0A31"/>
    <w:rsid w:val="00FF3698"/>
    <w:rsid w:val="01773520"/>
    <w:rsid w:val="01AA6D5A"/>
    <w:rsid w:val="0209457E"/>
    <w:rsid w:val="02C274F3"/>
    <w:rsid w:val="050B5599"/>
    <w:rsid w:val="05185519"/>
    <w:rsid w:val="05315C48"/>
    <w:rsid w:val="05A4524E"/>
    <w:rsid w:val="06A42B6C"/>
    <w:rsid w:val="06E31F92"/>
    <w:rsid w:val="06E80745"/>
    <w:rsid w:val="085714B0"/>
    <w:rsid w:val="090915DE"/>
    <w:rsid w:val="09FF70B0"/>
    <w:rsid w:val="0A0026D1"/>
    <w:rsid w:val="0A57682A"/>
    <w:rsid w:val="0A9F09C3"/>
    <w:rsid w:val="0AF9223B"/>
    <w:rsid w:val="0B252F17"/>
    <w:rsid w:val="0D186BCD"/>
    <w:rsid w:val="0D2B76F2"/>
    <w:rsid w:val="0E6B15F1"/>
    <w:rsid w:val="0F5B4258"/>
    <w:rsid w:val="0F600430"/>
    <w:rsid w:val="0FA94EEE"/>
    <w:rsid w:val="0FCB58ED"/>
    <w:rsid w:val="102833A8"/>
    <w:rsid w:val="106E524A"/>
    <w:rsid w:val="10936C33"/>
    <w:rsid w:val="10E03F21"/>
    <w:rsid w:val="11A4628C"/>
    <w:rsid w:val="11EC0555"/>
    <w:rsid w:val="11F14CD8"/>
    <w:rsid w:val="12271EA6"/>
    <w:rsid w:val="14825D8E"/>
    <w:rsid w:val="153A5389"/>
    <w:rsid w:val="168F201D"/>
    <w:rsid w:val="16BE50DE"/>
    <w:rsid w:val="1ADC1401"/>
    <w:rsid w:val="1BDF7E86"/>
    <w:rsid w:val="1BFC0505"/>
    <w:rsid w:val="1C280F0D"/>
    <w:rsid w:val="1C3B276C"/>
    <w:rsid w:val="1CE34102"/>
    <w:rsid w:val="1DB91B92"/>
    <w:rsid w:val="1DED5E7B"/>
    <w:rsid w:val="1E303017"/>
    <w:rsid w:val="1F230D32"/>
    <w:rsid w:val="23034D8E"/>
    <w:rsid w:val="23146926"/>
    <w:rsid w:val="23BC14F3"/>
    <w:rsid w:val="246024AE"/>
    <w:rsid w:val="259E5B76"/>
    <w:rsid w:val="25A34667"/>
    <w:rsid w:val="26C1178F"/>
    <w:rsid w:val="27C068C1"/>
    <w:rsid w:val="27C31BCB"/>
    <w:rsid w:val="28053D38"/>
    <w:rsid w:val="2A0F60A8"/>
    <w:rsid w:val="2A513E7B"/>
    <w:rsid w:val="2AF1268F"/>
    <w:rsid w:val="2B8B7C96"/>
    <w:rsid w:val="2C703DE1"/>
    <w:rsid w:val="2C785DF9"/>
    <w:rsid w:val="2D1B4AA7"/>
    <w:rsid w:val="2D347BEF"/>
    <w:rsid w:val="2E0C1974"/>
    <w:rsid w:val="2E3D6F8F"/>
    <w:rsid w:val="2E4D34E5"/>
    <w:rsid w:val="301244A2"/>
    <w:rsid w:val="30334D54"/>
    <w:rsid w:val="31453464"/>
    <w:rsid w:val="32263616"/>
    <w:rsid w:val="3277098B"/>
    <w:rsid w:val="340D450E"/>
    <w:rsid w:val="351A3CC9"/>
    <w:rsid w:val="373B1CAB"/>
    <w:rsid w:val="379B74D7"/>
    <w:rsid w:val="38311C05"/>
    <w:rsid w:val="39431ED2"/>
    <w:rsid w:val="3BB93EB1"/>
    <w:rsid w:val="3C73316D"/>
    <w:rsid w:val="3C7F3E94"/>
    <w:rsid w:val="3DE41032"/>
    <w:rsid w:val="401A65F9"/>
    <w:rsid w:val="40254818"/>
    <w:rsid w:val="405402C1"/>
    <w:rsid w:val="41E209F3"/>
    <w:rsid w:val="42110B60"/>
    <w:rsid w:val="4248585F"/>
    <w:rsid w:val="425058FA"/>
    <w:rsid w:val="42FA3F01"/>
    <w:rsid w:val="44271892"/>
    <w:rsid w:val="45BC1164"/>
    <w:rsid w:val="46EF2681"/>
    <w:rsid w:val="48854298"/>
    <w:rsid w:val="48A34E8A"/>
    <w:rsid w:val="4A820949"/>
    <w:rsid w:val="4DEC0173"/>
    <w:rsid w:val="4E663353"/>
    <w:rsid w:val="4F174E67"/>
    <w:rsid w:val="4F4001C5"/>
    <w:rsid w:val="502463A4"/>
    <w:rsid w:val="513D02E5"/>
    <w:rsid w:val="51424C6A"/>
    <w:rsid w:val="5234260B"/>
    <w:rsid w:val="52BC7F80"/>
    <w:rsid w:val="52CD2CE0"/>
    <w:rsid w:val="52D541BF"/>
    <w:rsid w:val="534B27F6"/>
    <w:rsid w:val="54694914"/>
    <w:rsid w:val="555644B4"/>
    <w:rsid w:val="557E27AC"/>
    <w:rsid w:val="558B350F"/>
    <w:rsid w:val="56FF7484"/>
    <w:rsid w:val="58301B90"/>
    <w:rsid w:val="58B20A6B"/>
    <w:rsid w:val="59A27FB0"/>
    <w:rsid w:val="5AC87E82"/>
    <w:rsid w:val="5C9E4BA7"/>
    <w:rsid w:val="5CB65980"/>
    <w:rsid w:val="5CD6691C"/>
    <w:rsid w:val="5DCE13FF"/>
    <w:rsid w:val="5E875B43"/>
    <w:rsid w:val="60224876"/>
    <w:rsid w:val="6039252C"/>
    <w:rsid w:val="610D009E"/>
    <w:rsid w:val="62331FB6"/>
    <w:rsid w:val="62C84426"/>
    <w:rsid w:val="63406C5A"/>
    <w:rsid w:val="639A6865"/>
    <w:rsid w:val="63D0290C"/>
    <w:rsid w:val="64682577"/>
    <w:rsid w:val="66F440AC"/>
    <w:rsid w:val="68BC5E3A"/>
    <w:rsid w:val="69F16434"/>
    <w:rsid w:val="6A5B7318"/>
    <w:rsid w:val="6BAD2FDA"/>
    <w:rsid w:val="6CF85296"/>
    <w:rsid w:val="6D0E1590"/>
    <w:rsid w:val="6F1E7CC0"/>
    <w:rsid w:val="6F72318D"/>
    <w:rsid w:val="6FC4428B"/>
    <w:rsid w:val="705E5AB7"/>
    <w:rsid w:val="71027AAA"/>
    <w:rsid w:val="71150370"/>
    <w:rsid w:val="72081595"/>
    <w:rsid w:val="757610B6"/>
    <w:rsid w:val="757F1382"/>
    <w:rsid w:val="76462906"/>
    <w:rsid w:val="7BE06A71"/>
    <w:rsid w:val="7C3C1CA6"/>
    <w:rsid w:val="7D512DD1"/>
    <w:rsid w:val="7DC57911"/>
    <w:rsid w:val="7E940C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rFonts w:ascii="微软雅黑" w:hAnsi="微软雅黑" w:eastAsia="微软雅黑" w:cs="微软雅黑"/>
      <w:color w:val="3E3E3E"/>
      <w:u w:val="single"/>
    </w:rPr>
  </w:style>
  <w:style w:type="character" w:styleId="7">
    <w:name w:val="Hyperlink"/>
    <w:basedOn w:val="5"/>
    <w:unhideWhenUsed/>
    <w:qFormat/>
    <w:uiPriority w:val="99"/>
    <w:rPr>
      <w:rFonts w:hint="eastAsia" w:ascii="微软雅黑" w:hAnsi="微软雅黑" w:eastAsia="微软雅黑" w:cs="微软雅黑"/>
      <w:color w:val="3E3E3E"/>
      <w:u w:val="single"/>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bsharetext"/>
    <w:basedOn w:val="5"/>
    <w:qFormat/>
    <w:uiPriority w:val="0"/>
  </w:style>
  <w:style w:type="paragraph" w:customStyle="1" w:styleId="1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3</TotalTime>
  <ScaleCrop>false</ScaleCrop>
  <LinksUpToDate>false</LinksUpToDate>
  <CharactersWithSpaces>3625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pC2</cp:lastModifiedBy>
  <dcterms:modified xsi:type="dcterms:W3CDTF">2021-02-26T01:08:01Z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