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琼海市劳动保障应急行政   执法大队</w:t>
      </w:r>
      <w:r>
        <w:rPr>
          <w:rFonts w:hint="eastAsia" w:ascii="方正小标宋简体" w:hAnsi="方正小标宋简体" w:eastAsia="方正小标宋简体" w:cs="方正小标宋简体"/>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sz w:val="52"/>
          <w:szCs w:val="52"/>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5"/>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琼海市劳动保障应急行政执法大队</w:t>
      </w:r>
      <w:r>
        <w:rPr>
          <w:rFonts w:hint="eastAsia" w:ascii="黑体" w:hAnsi="黑体" w:eastAsia="黑体"/>
          <w:sz w:val="32"/>
          <w:szCs w:val="32"/>
        </w:rPr>
        <w:t>概况</w:t>
      </w:r>
    </w:p>
    <w:p>
      <w:pPr>
        <w:pStyle w:val="5"/>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预算单位构成</w:t>
      </w:r>
    </w:p>
    <w:p>
      <w:pPr>
        <w:pStyle w:val="5"/>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仿宋_GB2312" w:hAnsi="黑体" w:eastAsia="仿宋_GB2312" w:cs="仿宋_GB2312"/>
          <w:sz w:val="32"/>
          <w:szCs w:val="32"/>
          <w:lang w:val="en-US" w:eastAsia="zh-CN"/>
        </w:rPr>
        <w:t xml:space="preserve"> </w:t>
      </w:r>
      <w:r>
        <w:rPr>
          <w:rFonts w:hint="eastAsia" w:ascii="黑体" w:hAnsi="黑体" w:eastAsia="黑体"/>
          <w:sz w:val="32"/>
          <w:szCs w:val="32"/>
          <w:lang w:eastAsia="zh-CN"/>
        </w:rPr>
        <w:t>琼海市劳动保障应急行政执法大队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琼海市劳动保障应急行政执法大队</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5"/>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numPr>
          <w:ilvl w:val="0"/>
          <w:numId w:val="0"/>
        </w:numPr>
        <w:spacing w:line="578" w:lineRule="exact"/>
        <w:ind w:leftChars="0"/>
        <w:jc w:val="both"/>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5"/>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琼海市劳动保障应急行政执法大队</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5"/>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贯彻落实党中央和国家、省委省政府、市委市政府有关劳动保障、安全生产、住房建设行政执法工作的方针政策、法律法规、规章制度，执行海南自由贸易港政策措施和市委市政府决策部署。</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研究拟定全市劳动保障、安全生产、住房建设行政执法活动、专项执法行动工作方案并组织实施。</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具体承担辖区内劳动保障、安全生产、住房建设等方面执法工作。</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负责加强劳动保障、安全生产、住房建设行政执法日常巡查，及时制止或查处违法从事有关生产、经营或其他活动行为。</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负责受理劳动保障、安全生产、住房建设违法行为投诉</w:t>
      </w:r>
      <w:r>
        <w:rPr>
          <w:rFonts w:hint="eastAsia" w:ascii="仿宋_GB2312" w:hAnsi="仿宋_GB2312" w:cs="仿宋"/>
          <w:sz w:val="32"/>
          <w:szCs w:val="32"/>
          <w:lang w:eastAsia="zh-CN"/>
        </w:rPr>
        <w:t>，</w:t>
      </w:r>
      <w:r>
        <w:rPr>
          <w:rFonts w:hint="eastAsia" w:ascii="仿宋_GB2312" w:hAnsi="仿宋_GB2312" w:eastAsia="仿宋_GB2312" w:cs="仿宋"/>
          <w:sz w:val="32"/>
          <w:szCs w:val="32"/>
          <w:lang w:eastAsia="zh-CN"/>
        </w:rPr>
        <w:t>并做好调查处理结果回复工作。</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ascii="仿宋_GB2312" w:hAnsi="黑体" w:eastAsia="仿宋_GB2312" w:cs="仿宋_GB2312"/>
          <w:sz w:val="32"/>
          <w:szCs w:val="32"/>
        </w:rPr>
      </w:pPr>
      <w:r>
        <w:rPr>
          <w:rFonts w:hint="eastAsia" w:ascii="仿宋_GB2312" w:hAnsi="仿宋_GB2312" w:eastAsia="仿宋_GB2312" w:cs="仿宋"/>
          <w:sz w:val="32"/>
          <w:szCs w:val="32"/>
          <w:lang w:eastAsia="zh-CN"/>
        </w:rPr>
        <w:t>承办市委、市政府、市综合行政执法局及上级部门交办的其他事项。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300" w:right="0" w:rightChars="0"/>
        <w:textAlignment w:val="auto"/>
        <w:rPr>
          <w:rFonts w:ascii="仿宋_GB2312" w:hAnsi="黑体" w:eastAsia="仿宋_GB2312" w:cs="仿宋_GB2312"/>
          <w:sz w:val="32"/>
          <w:szCs w:val="32"/>
        </w:rPr>
      </w:pPr>
    </w:p>
    <w:p>
      <w:pPr>
        <w:pStyle w:val="5"/>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预算单位构成</w:t>
      </w:r>
    </w:p>
    <w:p>
      <w:pPr>
        <w:spacing w:line="578" w:lineRule="exact"/>
        <w:ind w:firstLine="64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琼海市劳动保障应急行政执法大队设办公室、劳动保障执法中队、安全生产执法中队、住房建设执法中队4个内设机构。</w:t>
      </w:r>
    </w:p>
    <w:p>
      <w:pPr>
        <w:spacing w:line="578" w:lineRule="exact"/>
        <w:ind w:firstLine="640" w:firstLineChars="0"/>
        <w:jc w:val="center"/>
        <w:rPr>
          <w:rFonts w:hint="eastAsia" w:ascii="仿宋_GB2312" w:hAnsi="仿宋_GB2312" w:eastAsia="仿宋_GB2312" w:cs="仿宋_GB2312"/>
          <w:sz w:val="32"/>
          <w:szCs w:val="32"/>
          <w:lang w:val="en-US" w:eastAsia="zh-CN" w:bidi="ar-SA"/>
        </w:rPr>
      </w:pPr>
    </w:p>
    <w:p>
      <w:pPr>
        <w:numPr>
          <w:ilvl w:val="0"/>
          <w:numId w:val="7"/>
        </w:numPr>
        <w:spacing w:line="578" w:lineRule="exact"/>
        <w:ind w:left="502" w:leftChars="0" w:firstLine="0" w:firstLineChars="0"/>
        <w:jc w:val="center"/>
        <w:rPr>
          <w:rFonts w:hint="eastAsia" w:ascii="黑体" w:hAnsi="黑体" w:eastAsia="黑体"/>
          <w:sz w:val="32"/>
          <w:szCs w:val="32"/>
        </w:rPr>
      </w:pPr>
      <w:r>
        <w:rPr>
          <w:rFonts w:hint="eastAsia" w:ascii="黑体" w:hAnsi="黑体" w:eastAsia="黑体"/>
          <w:sz w:val="32"/>
          <w:szCs w:val="32"/>
          <w:lang w:eastAsia="zh-CN"/>
        </w:rPr>
        <w:t>琼海市劳动保障应急行政执法大队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w:t>
      </w:r>
    </w:p>
    <w:p>
      <w:pPr>
        <w:numPr>
          <w:ilvl w:val="0"/>
          <w:numId w:val="0"/>
        </w:numPr>
        <w:spacing w:line="578" w:lineRule="exact"/>
        <w:jc w:val="center"/>
        <w:rPr>
          <w:rFonts w:ascii="黑体" w:hAnsi="黑体" w:eastAsia="黑体"/>
          <w:sz w:val="32"/>
          <w:szCs w:val="32"/>
        </w:rPr>
      </w:pPr>
      <w:r>
        <w:rPr>
          <w:rFonts w:hint="eastAsia" w:ascii="黑体" w:hAnsi="黑体" w:eastAsia="黑体"/>
          <w:sz w:val="32"/>
          <w:szCs w:val="32"/>
        </w:rPr>
        <w:t>预算表</w:t>
      </w: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eastAsia="zh-CN"/>
        </w:rPr>
        <w:t>琼海市劳动保障应急行政执法大队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lang w:eastAsia="zh-CN"/>
        </w:rPr>
        <w:t>年</w:t>
      </w:r>
      <w:r>
        <w:rPr>
          <w:rFonts w:hint="eastAsia" w:ascii="黑体" w:hAnsi="黑体" w:eastAsia="黑体"/>
          <w:sz w:val="32"/>
          <w:szCs w:val="32"/>
        </w:rPr>
        <w:t>单位</w:t>
      </w: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琼海市劳动保障应急行政执法大队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琼海市劳动保障应急行政执法大队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242.27</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242.27</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233.27</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9</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242.27</w:t>
      </w:r>
      <w:r>
        <w:rPr>
          <w:rFonts w:hint="eastAsia" w:ascii="仿宋" w:hAnsi="仿宋" w:eastAsia="仿宋" w:cs="仿宋"/>
          <w:sz w:val="32"/>
          <w:szCs w:val="32"/>
        </w:rPr>
        <w:t>万元，包括社会保障和就业支出</w:t>
      </w:r>
      <w:r>
        <w:rPr>
          <w:rFonts w:hint="eastAsia" w:ascii="仿宋" w:hAnsi="仿宋" w:eastAsia="仿宋" w:cs="仿宋"/>
          <w:sz w:val="32"/>
          <w:szCs w:val="32"/>
          <w:lang w:val="en-US" w:eastAsia="zh-CN"/>
        </w:rPr>
        <w:t>198.27</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20.09</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14.92</w:t>
      </w:r>
      <w:r>
        <w:rPr>
          <w:rFonts w:hint="eastAsia" w:ascii="仿宋" w:hAnsi="仿宋" w:eastAsia="仿宋" w:cs="仿宋"/>
          <w:sz w:val="32"/>
          <w:szCs w:val="32"/>
        </w:rPr>
        <w:t>万元、城乡社区支出</w:t>
      </w:r>
      <w:r>
        <w:rPr>
          <w:rFonts w:hint="eastAsia" w:ascii="仿宋" w:hAnsi="仿宋" w:eastAsia="仿宋" w:cs="仿宋"/>
          <w:sz w:val="32"/>
          <w:szCs w:val="32"/>
          <w:lang w:val="en-US" w:eastAsia="zh-CN"/>
        </w:rPr>
        <w:t>9</w:t>
      </w:r>
      <w:r>
        <w:rPr>
          <w:rFonts w:hint="eastAsia" w:ascii="仿宋" w:hAnsi="仿宋" w:eastAsia="仿宋" w:cs="仿宋"/>
          <w:sz w:val="32"/>
          <w:szCs w:val="32"/>
        </w:rPr>
        <w:t>万元，结转下年0万元。</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琼海市劳动保障应急行政执法大队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琼海市劳动保障应急行政执法大队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233.27</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57.98</w:t>
      </w:r>
      <w:r>
        <w:rPr>
          <w:rFonts w:hint="eastAsia" w:ascii="仿宋" w:hAnsi="仿宋" w:eastAsia="仿宋" w:cs="仿宋"/>
          <w:sz w:val="32"/>
          <w:szCs w:val="32"/>
        </w:rPr>
        <w:t>万元，主要是</w:t>
      </w:r>
      <w:r>
        <w:rPr>
          <w:rFonts w:hint="eastAsia" w:ascii="仿宋" w:hAnsi="仿宋" w:eastAsia="仿宋" w:cs="仿宋"/>
          <w:sz w:val="32"/>
          <w:szCs w:val="32"/>
          <w:lang w:eastAsia="zh-CN"/>
        </w:rPr>
        <w:t>基本支出增加及个别项目由上年度政府性基金预算资金拨款转为一般公共预算资金拨款。</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(类)支出198.27</w:t>
      </w:r>
      <w:r>
        <w:rPr>
          <w:rFonts w:hint="eastAsia" w:ascii="仿宋" w:hAnsi="仿宋" w:eastAsia="仿宋" w:cs="仿宋"/>
          <w:sz w:val="32"/>
          <w:szCs w:val="32"/>
        </w:rPr>
        <w:t>万元，占</w:t>
      </w:r>
      <w:r>
        <w:rPr>
          <w:rFonts w:hint="eastAsia" w:ascii="仿宋" w:hAnsi="仿宋" w:eastAsia="仿宋" w:cs="仿宋"/>
          <w:sz w:val="32"/>
          <w:szCs w:val="32"/>
          <w:lang w:val="en-US" w:eastAsia="zh-CN"/>
        </w:rPr>
        <w:t>85</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(类)支出20.09</w:t>
      </w:r>
      <w:r>
        <w:rPr>
          <w:rFonts w:hint="eastAsia" w:ascii="仿宋" w:hAnsi="仿宋" w:eastAsia="仿宋" w:cs="仿宋"/>
          <w:sz w:val="32"/>
          <w:szCs w:val="32"/>
        </w:rPr>
        <w:t>万元，占</w:t>
      </w:r>
      <w:r>
        <w:rPr>
          <w:rFonts w:hint="eastAsia" w:ascii="仿宋" w:hAnsi="仿宋" w:eastAsia="仿宋" w:cs="仿宋"/>
          <w:sz w:val="32"/>
          <w:szCs w:val="32"/>
          <w:lang w:val="en-US" w:eastAsia="zh-CN"/>
        </w:rPr>
        <w:t>8.61</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(类)支出14.92</w:t>
      </w:r>
      <w:r>
        <w:rPr>
          <w:rFonts w:hint="eastAsia" w:ascii="仿宋" w:hAnsi="仿宋" w:eastAsia="仿宋" w:cs="仿宋"/>
          <w:sz w:val="32"/>
          <w:szCs w:val="32"/>
        </w:rPr>
        <w:t>万元，占</w:t>
      </w:r>
      <w:r>
        <w:rPr>
          <w:rFonts w:hint="eastAsia" w:ascii="仿宋" w:hAnsi="仿宋" w:eastAsia="仿宋" w:cs="仿宋"/>
          <w:sz w:val="32"/>
          <w:szCs w:val="32"/>
          <w:lang w:val="en-US" w:eastAsia="zh-CN"/>
        </w:rPr>
        <w:t>6.39</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1.社会保障和就业支出（类）人力资源和社会保障管理事务（款）劳动保障监察（项）202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166.58</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38.1</w:t>
      </w:r>
      <w:r>
        <w:rPr>
          <w:rFonts w:hint="eastAsia" w:ascii="仿宋" w:hAnsi="仿宋" w:eastAsia="仿宋" w:cs="仿宋"/>
          <w:sz w:val="32"/>
          <w:szCs w:val="32"/>
        </w:rPr>
        <w:t>万元，主要是</w:t>
      </w:r>
      <w:r>
        <w:rPr>
          <w:rFonts w:hint="eastAsia" w:ascii="仿宋" w:hAnsi="仿宋" w:eastAsia="仿宋" w:cs="仿宋"/>
          <w:sz w:val="32"/>
          <w:szCs w:val="32"/>
          <w:lang w:eastAsia="zh-CN"/>
        </w:rPr>
        <w:t>个别项目由</w:t>
      </w:r>
      <w:r>
        <w:rPr>
          <w:rFonts w:hint="eastAsia" w:ascii="仿宋" w:hAnsi="仿宋" w:eastAsia="仿宋" w:cs="仿宋"/>
          <w:sz w:val="32"/>
          <w:szCs w:val="32"/>
        </w:rPr>
        <w:t>上年的</w:t>
      </w:r>
      <w:r>
        <w:rPr>
          <w:rFonts w:hint="eastAsia" w:ascii="仿宋" w:hAnsi="仿宋" w:eastAsia="仿宋" w:cs="仿宋"/>
          <w:sz w:val="32"/>
          <w:szCs w:val="32"/>
          <w:lang w:eastAsia="zh-CN"/>
        </w:rPr>
        <w:t>政府性基金预算资金拨款转为一般公共预算资金拨款</w:t>
      </w:r>
      <w:r>
        <w:rPr>
          <w:rFonts w:hint="eastAsia" w:ascii="仿宋" w:hAnsi="仿宋" w:eastAsia="仿宋" w:cs="仿宋"/>
          <w:sz w:val="32"/>
          <w:szCs w:val="32"/>
        </w:rPr>
        <w:t>；社会保障和就业支出（类）行政事业单位养老支出（款）机关事业单位基本养老保险缴费支出（项）202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16.75</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1.66</w:t>
      </w:r>
      <w:r>
        <w:rPr>
          <w:rFonts w:hint="eastAsia" w:ascii="仿宋" w:hAnsi="仿宋" w:eastAsia="仿宋" w:cs="仿宋"/>
          <w:sz w:val="32"/>
          <w:szCs w:val="32"/>
        </w:rPr>
        <w:t>万元，主要是养老基数调整</w:t>
      </w:r>
      <w:r>
        <w:rPr>
          <w:rFonts w:hint="eastAsia" w:ascii="仿宋" w:hAnsi="仿宋" w:eastAsia="仿宋" w:cs="仿宋"/>
          <w:sz w:val="32"/>
          <w:szCs w:val="32"/>
          <w:lang w:eastAsia="zh-CN"/>
        </w:rPr>
        <w:t>；</w:t>
      </w:r>
      <w:r>
        <w:rPr>
          <w:rFonts w:hint="eastAsia" w:ascii="仿宋" w:hAnsi="仿宋" w:eastAsia="仿宋" w:cs="仿宋"/>
          <w:sz w:val="32"/>
          <w:szCs w:val="32"/>
        </w:rPr>
        <w:t>社会保障和就业支出（类）行政事业单位养老支出（款）机关事业单位职业年金缴费支出（项）202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14.93</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14.93</w:t>
      </w:r>
      <w:r>
        <w:rPr>
          <w:rFonts w:hint="eastAsia" w:ascii="仿宋" w:hAnsi="仿宋" w:eastAsia="仿宋" w:cs="仿宋"/>
          <w:sz w:val="32"/>
          <w:szCs w:val="32"/>
        </w:rPr>
        <w:t>万元，主要是</w:t>
      </w:r>
      <w:r>
        <w:rPr>
          <w:rFonts w:hint="eastAsia" w:ascii="仿宋" w:hAnsi="仿宋" w:eastAsia="仿宋" w:cs="仿宋"/>
          <w:sz w:val="32"/>
          <w:szCs w:val="32"/>
          <w:lang w:eastAsia="zh-CN"/>
        </w:rPr>
        <w:t>职业年金纪实，去年无该项预算。</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卫生健康支出（类）行政事业单位医疗（款）事业单位医疗（项）2024年预算数为7.66万元，比上年预算数增加0.88万元，主要是社保基数调整；卫生健康支出（类）行政事业单位医疗（款）公务员医疗补助（项）2024年预算数为12.43万元，比上年预算数增加1.09万元，主要是人员增资。</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3、住房保障支出（类）住房改革支出（款）住房公积金（项）2024年预算数为14.92万元，比上年预算数增加1.32万元，主要是住房公积金缴交基数调整。</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三、关于琼海市劳动保障应急行政执法大队2024年一般公共预算基本支出情况说明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琼海市劳动保障应急行政执法大队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197.86</w:t>
      </w:r>
      <w:r>
        <w:rPr>
          <w:rFonts w:hint="eastAsia" w:ascii="仿宋" w:hAnsi="仿宋" w:eastAsia="仿宋" w:cs="仿宋"/>
          <w:sz w:val="32"/>
          <w:szCs w:val="32"/>
        </w:rPr>
        <w:t>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184.53</w:t>
      </w:r>
      <w:r>
        <w:rPr>
          <w:rFonts w:hint="eastAsia" w:ascii="仿宋" w:hAnsi="仿宋" w:eastAsia="仿宋" w:cs="仿宋"/>
          <w:sz w:val="32"/>
          <w:szCs w:val="32"/>
        </w:rPr>
        <w:t>万元，主要包括：基本工资、津贴补贴、奖金、绩效工资、机关事业单位基本养老保险缴费、</w:t>
      </w:r>
      <w:r>
        <w:rPr>
          <w:rFonts w:hint="eastAsia" w:ascii="仿宋" w:hAnsi="仿宋" w:eastAsia="仿宋" w:cs="仿宋"/>
          <w:sz w:val="32"/>
          <w:szCs w:val="32"/>
          <w:lang w:eastAsia="zh-CN"/>
        </w:rPr>
        <w:t>职业年金缴费、</w:t>
      </w:r>
      <w:r>
        <w:rPr>
          <w:rFonts w:hint="eastAsia" w:ascii="仿宋" w:hAnsi="仿宋" w:eastAsia="仿宋" w:cs="仿宋"/>
          <w:sz w:val="32"/>
          <w:szCs w:val="32"/>
        </w:rPr>
        <w:t>职工基本医疗保险缴费、公务员医疗补助缴费、其他社会保障缴费、住房公积金、邮电费、其他交通费用。</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13.33</w:t>
      </w:r>
      <w:r>
        <w:rPr>
          <w:rFonts w:hint="eastAsia" w:ascii="仿宋" w:hAnsi="仿宋" w:eastAsia="仿宋" w:cs="仿宋"/>
          <w:sz w:val="32"/>
          <w:szCs w:val="32"/>
        </w:rPr>
        <w:t>万元，主要包括：办公费、水费、电费、邮电费、物业管理费、差旅费、维修（护）费、会议费、培训费、工会经费。</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琼海市劳动保障应急行政执法大队</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（一）琼海市劳动保障应急行政执法大队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spacing w:line="578"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lang w:val="en-US" w:eastAsia="zh-CN"/>
        </w:rPr>
        <w:t>0</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万元，较上年预算下降</w:t>
      </w:r>
      <w:r>
        <w:rPr>
          <w:rFonts w:hint="eastAsia" w:ascii="仿宋" w:hAnsi="仿宋" w:eastAsia="仿宋" w:cs="仿宋"/>
          <w:sz w:val="32"/>
          <w:szCs w:val="32"/>
          <w:lang w:val="en-US" w:eastAsia="zh-CN"/>
        </w:rPr>
        <w:t>100</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eastAsia="zh-CN"/>
        </w:rPr>
        <w:t>减少公务接待</w:t>
      </w:r>
      <w:r>
        <w:rPr>
          <w:rFonts w:hint="eastAsia" w:ascii="仿宋" w:hAnsi="仿宋" w:eastAsia="仿宋" w:cs="仿宋"/>
          <w:sz w:val="32"/>
          <w:shd w:val="clear" w:color="auto" w:fill="FFFFFF"/>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（二）琼海市劳动保障应急行政执法大队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spacing w:line="578" w:lineRule="exact"/>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lang w:val="en-US" w:eastAsia="zh-CN"/>
        </w:rPr>
        <w:t>0</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五、关于琼海市劳动保障应急行政执法大队</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琼海市劳动保障应急行政执法大队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9</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33.2</w:t>
      </w:r>
      <w:r>
        <w:rPr>
          <w:rFonts w:hint="eastAsia" w:ascii="仿宋" w:hAnsi="仿宋" w:eastAsia="仿宋" w:cs="仿宋"/>
          <w:sz w:val="32"/>
          <w:szCs w:val="32"/>
        </w:rPr>
        <w:t>万元，主要是</w:t>
      </w:r>
      <w:r>
        <w:rPr>
          <w:rFonts w:hint="eastAsia" w:ascii="仿宋" w:hAnsi="仿宋" w:eastAsia="仿宋" w:cs="仿宋"/>
          <w:sz w:val="32"/>
          <w:szCs w:val="32"/>
          <w:lang w:eastAsia="zh-CN"/>
        </w:rPr>
        <w:t>项目及项目预算减少，个别项目本年由一般公共预算资金拨款。</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城乡社区支出（类）支出</w:t>
      </w:r>
      <w:r>
        <w:rPr>
          <w:rFonts w:hint="eastAsia" w:ascii="仿宋" w:hAnsi="仿宋" w:eastAsia="仿宋" w:cs="仿宋"/>
          <w:sz w:val="32"/>
          <w:szCs w:val="32"/>
          <w:lang w:val="en-US" w:eastAsia="zh-CN"/>
        </w:rPr>
        <w:t>9</w:t>
      </w:r>
      <w:r>
        <w:rPr>
          <w:rFonts w:hint="eastAsia" w:ascii="仿宋" w:hAnsi="仿宋" w:eastAsia="仿宋" w:cs="仿宋"/>
          <w:sz w:val="32"/>
          <w:szCs w:val="32"/>
        </w:rPr>
        <w:t>万元，占100%。</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城乡社区支出（类）国有土地使用权出让收入安排的支出（款）其他国有土地使用权出让收入安排的支出（项）202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9</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33.2</w:t>
      </w:r>
      <w:r>
        <w:rPr>
          <w:rFonts w:hint="eastAsia" w:ascii="仿宋" w:hAnsi="仿宋" w:eastAsia="仿宋" w:cs="仿宋"/>
          <w:sz w:val="32"/>
          <w:szCs w:val="32"/>
        </w:rPr>
        <w:t>万元，主要是</w:t>
      </w:r>
      <w:r>
        <w:rPr>
          <w:rFonts w:hint="eastAsia" w:ascii="仿宋" w:hAnsi="仿宋" w:eastAsia="仿宋" w:cs="仿宋"/>
          <w:sz w:val="32"/>
          <w:szCs w:val="32"/>
          <w:lang w:eastAsia="zh-CN"/>
        </w:rPr>
        <w:t>项目及项目预算减少，个别项目本年由一般公共预算资金拨款。</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六、关于琼海市劳动保障应急行政执法大队</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琼海市劳动保障应急行政执法大队所有收入和支出均纳入部门预算管理。收入包括：一般公共预算收入、政府性基金收入；支出包括：社会保障和就业支出、卫生健康支出、住房保障支出、城乡社区支出。琼海市劳动保障应急行政执法大队2023年收支总预算</w:t>
      </w:r>
      <w:r>
        <w:rPr>
          <w:rFonts w:hint="eastAsia" w:ascii="仿宋" w:hAnsi="仿宋" w:eastAsia="仿宋" w:cs="仿宋"/>
          <w:sz w:val="32"/>
          <w:szCs w:val="32"/>
          <w:lang w:val="en-US" w:eastAsia="zh-CN"/>
        </w:rPr>
        <w:t>242.27</w:t>
      </w:r>
      <w:r>
        <w:rPr>
          <w:rFonts w:hint="eastAsia" w:ascii="仿宋" w:hAnsi="仿宋" w:eastAsia="仿宋" w:cs="仿宋"/>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七、关于琼海市劳动保障应急行政执法大队</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琼海市劳动保障应急行政执法大队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242.27</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9</w:t>
      </w:r>
      <w:r>
        <w:rPr>
          <w:rFonts w:hint="eastAsia" w:ascii="仿宋" w:hAnsi="仿宋" w:eastAsia="仿宋" w:cs="仿宋"/>
          <w:sz w:val="32"/>
          <w:szCs w:val="32"/>
        </w:rPr>
        <w:t>万元，占</w:t>
      </w:r>
      <w:r>
        <w:rPr>
          <w:rFonts w:hint="eastAsia" w:ascii="仿宋" w:hAnsi="仿宋" w:eastAsia="仿宋" w:cs="仿宋"/>
          <w:sz w:val="32"/>
          <w:szCs w:val="32"/>
          <w:lang w:val="en-US" w:eastAsia="zh-CN"/>
        </w:rPr>
        <w:t>3.71</w:t>
      </w:r>
      <w:r>
        <w:rPr>
          <w:rFonts w:hint="eastAsia" w:ascii="仿宋" w:hAnsi="仿宋" w:eastAsia="仿宋" w:cs="仿宋"/>
          <w:sz w:val="32"/>
          <w:szCs w:val="32"/>
        </w:rPr>
        <w:t>%；</w:t>
      </w:r>
      <w:r>
        <w:rPr>
          <w:rFonts w:hint="eastAsia" w:ascii="仿宋" w:hAnsi="仿宋" w:eastAsia="仿宋" w:cs="仿宋"/>
          <w:sz w:val="32"/>
          <w:szCs w:val="32"/>
          <w:lang w:eastAsia="zh-CN"/>
        </w:rPr>
        <w:t>一般公共预算</w:t>
      </w:r>
      <w:r>
        <w:rPr>
          <w:rFonts w:hint="eastAsia" w:ascii="仿宋" w:hAnsi="仿宋" w:eastAsia="仿宋" w:cs="仿宋"/>
          <w:sz w:val="32"/>
          <w:szCs w:val="32"/>
        </w:rPr>
        <w:t>收入</w:t>
      </w:r>
      <w:r>
        <w:rPr>
          <w:rFonts w:hint="eastAsia" w:ascii="仿宋" w:hAnsi="仿宋" w:eastAsia="仿宋" w:cs="仿宋"/>
          <w:sz w:val="32"/>
          <w:szCs w:val="32"/>
          <w:lang w:val="en-US" w:eastAsia="zh-CN"/>
        </w:rPr>
        <w:t>233.27</w:t>
      </w:r>
      <w:r>
        <w:rPr>
          <w:rFonts w:hint="eastAsia" w:ascii="仿宋" w:hAnsi="仿宋" w:eastAsia="仿宋" w:cs="仿宋"/>
          <w:sz w:val="32"/>
          <w:szCs w:val="32"/>
        </w:rPr>
        <w:t>万元，占</w:t>
      </w:r>
      <w:r>
        <w:rPr>
          <w:rFonts w:hint="eastAsia" w:ascii="仿宋" w:hAnsi="仿宋" w:eastAsia="仿宋" w:cs="仿宋"/>
          <w:sz w:val="32"/>
          <w:szCs w:val="32"/>
          <w:lang w:val="en-US" w:eastAsia="zh-CN"/>
        </w:rPr>
        <w:t>96.29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24.78</w:t>
      </w:r>
      <w:r>
        <w:rPr>
          <w:rFonts w:hint="eastAsia" w:ascii="仿宋" w:hAnsi="仿宋" w:eastAsia="仿宋" w:cs="仿宋"/>
          <w:sz w:val="32"/>
          <w:szCs w:val="32"/>
        </w:rPr>
        <w:t>万元，主要是</w:t>
      </w:r>
      <w:r>
        <w:rPr>
          <w:rFonts w:hint="eastAsia" w:ascii="仿宋" w:hAnsi="仿宋" w:eastAsia="仿宋" w:cs="仿宋"/>
          <w:sz w:val="32"/>
          <w:szCs w:val="32"/>
          <w:lang w:eastAsia="zh-CN"/>
        </w:rPr>
        <w:t>基本支出增加</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八、关于琼海市劳动保障应急行政执法大队</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琼海市劳动保障应急行政执法大队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242.27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197.86</w:t>
      </w:r>
      <w:r>
        <w:rPr>
          <w:rFonts w:hint="eastAsia" w:ascii="仿宋" w:hAnsi="仿宋" w:eastAsia="仿宋" w:cs="仿宋"/>
          <w:sz w:val="32"/>
          <w:szCs w:val="32"/>
        </w:rPr>
        <w:t>万元，占</w:t>
      </w:r>
      <w:r>
        <w:rPr>
          <w:rFonts w:hint="eastAsia" w:ascii="仿宋" w:hAnsi="仿宋" w:eastAsia="仿宋" w:cs="仿宋"/>
          <w:sz w:val="32"/>
          <w:szCs w:val="32"/>
          <w:lang w:val="en-US" w:eastAsia="zh-CN"/>
        </w:rPr>
        <w:t>81.67</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44.41</w:t>
      </w:r>
      <w:r>
        <w:rPr>
          <w:rFonts w:hint="eastAsia" w:ascii="仿宋" w:hAnsi="仿宋" w:eastAsia="仿宋" w:cs="仿宋"/>
          <w:sz w:val="32"/>
          <w:szCs w:val="32"/>
        </w:rPr>
        <w:t>万元，占</w:t>
      </w:r>
      <w:r>
        <w:rPr>
          <w:rFonts w:hint="eastAsia" w:ascii="仿宋" w:hAnsi="仿宋" w:eastAsia="仿宋" w:cs="仿宋"/>
          <w:sz w:val="32"/>
          <w:szCs w:val="32"/>
          <w:lang w:val="en-US" w:eastAsia="zh-CN"/>
        </w:rPr>
        <w:t>18.33</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24.78</w:t>
      </w:r>
      <w:r>
        <w:rPr>
          <w:rFonts w:hint="eastAsia" w:ascii="仿宋" w:hAnsi="仿宋" w:eastAsia="仿宋" w:cs="仿宋"/>
          <w:sz w:val="32"/>
          <w:szCs w:val="32"/>
        </w:rPr>
        <w:t>万元，主要是</w:t>
      </w:r>
      <w:r>
        <w:rPr>
          <w:rFonts w:hint="eastAsia" w:ascii="仿宋" w:hAnsi="仿宋" w:eastAsia="仿宋" w:cs="仿宋"/>
          <w:sz w:val="32"/>
          <w:szCs w:val="32"/>
          <w:lang w:eastAsia="zh-CN"/>
        </w:rPr>
        <w:t>基本支出增加</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w:t>
      </w:r>
      <w:r>
        <w:rPr>
          <w:rFonts w:hint="eastAsia" w:ascii="仿宋" w:hAnsi="仿宋" w:eastAsia="仿宋" w:cs="仿宋"/>
          <w:sz w:val="32"/>
          <w:szCs w:val="32"/>
        </w:rPr>
        <w:t>年琼海市劳动保障应急行政执法大队机关运行经费预算</w:t>
      </w:r>
      <w:r>
        <w:rPr>
          <w:rFonts w:hint="eastAsia" w:ascii="仿宋" w:hAnsi="仿宋" w:eastAsia="仿宋" w:cs="仿宋"/>
          <w:sz w:val="32"/>
          <w:szCs w:val="32"/>
          <w:lang w:val="en-US" w:eastAsia="zh-CN"/>
        </w:rPr>
        <w:t>13.33</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年琼海市劳动保障应急行政执法大队政府采购预算总额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年12月31日，琼海市劳动保障应急行政执法大队共有车辆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color w:val="000000"/>
          <w:kern w:val="0"/>
          <w:sz w:val="32"/>
          <w:szCs w:val="30"/>
        </w:rPr>
      </w:pPr>
      <w:r>
        <w:rPr>
          <w:rFonts w:hint="eastAsia" w:ascii="仿宋" w:hAnsi="仿宋" w:eastAsia="仿宋" w:cs="仿宋"/>
          <w:sz w:val="32"/>
          <w:szCs w:val="32"/>
          <w:lang w:val="en-US" w:eastAsia="zh-CN"/>
        </w:rPr>
        <w:t>2024</w:t>
      </w:r>
      <w:r>
        <w:rPr>
          <w:rFonts w:hint="eastAsia" w:ascii="仿宋" w:hAnsi="仿宋" w:eastAsia="仿宋" w:cs="仿宋"/>
          <w:sz w:val="32"/>
          <w:szCs w:val="32"/>
        </w:rPr>
        <w:t>年琼海市劳动保障应急行政执法大队</w:t>
      </w:r>
      <w:r>
        <w:rPr>
          <w:rFonts w:hint="eastAsia" w:ascii="仿宋" w:hAnsi="仿宋" w:eastAsia="仿宋" w:cs="仿宋"/>
          <w:sz w:val="32"/>
          <w:szCs w:val="32"/>
          <w:lang w:val="en-US" w:eastAsia="zh-CN"/>
        </w:rPr>
        <w:t>13</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233.27</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9</w:t>
      </w:r>
      <w:r>
        <w:rPr>
          <w:rFonts w:hint="eastAsia" w:ascii="仿宋" w:hAnsi="仿宋" w:eastAsia="仿宋" w:cs="仿宋"/>
          <w:sz w:val="32"/>
          <w:szCs w:val="32"/>
        </w:rPr>
        <w:t>万元。</w:t>
      </w:r>
      <w:bookmarkStart w:id="0" w:name="_GoBack"/>
      <w:bookmarkEnd w:id="0"/>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220" w:lineRule="atLeast"/>
      </w:pPr>
    </w:p>
    <w:sectPr>
      <w:footerReference r:id="rId7" w:type="default"/>
      <w:pgSz w:w="11906" w:h="16838"/>
      <w:pgMar w:top="2098" w:right="1474" w:bottom="1984" w:left="1531"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419766"/>
    <w:multiLevelType w:val="singleLevel"/>
    <w:tmpl w:val="0C419766"/>
    <w:lvl w:ilvl="0" w:tentative="0">
      <w:start w:val="2"/>
      <w:numFmt w:val="chineseCounting"/>
      <w:suff w:val="space"/>
      <w:lvlText w:val="第%1部分"/>
      <w:lvlJc w:val="left"/>
      <w:pPr>
        <w:ind w:left="502" w:leftChars="0" w:firstLine="0" w:firstLineChars="0"/>
      </w:pPr>
      <w:rPr>
        <w:rFonts w:hint="eastAsia"/>
      </w:rPr>
    </w:lvl>
  </w:abstractNum>
  <w:abstractNum w:abstractNumId="2">
    <w:nsid w:val="32D730C7"/>
    <w:multiLevelType w:val="singleLevel"/>
    <w:tmpl w:val="32D730C7"/>
    <w:lvl w:ilvl="0" w:tentative="0">
      <w:start w:val="1"/>
      <w:numFmt w:val="chineseCounting"/>
      <w:suff w:val="nothing"/>
      <w:lvlText w:val="（%1）"/>
      <w:lvlJc w:val="left"/>
      <w:rPr>
        <w:rFonts w:hint="eastAsia"/>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MmU3ODZjYzBkNmU4NTI4MmYyY2ExOGJiOTRjMTcifQ=="/>
  </w:docVars>
  <w:rsids>
    <w:rsidRoot w:val="00D31D50"/>
    <w:rsid w:val="0031380D"/>
    <w:rsid w:val="00323B43"/>
    <w:rsid w:val="003D37D8"/>
    <w:rsid w:val="00426133"/>
    <w:rsid w:val="004358AB"/>
    <w:rsid w:val="008B7726"/>
    <w:rsid w:val="00D31D50"/>
    <w:rsid w:val="0351417D"/>
    <w:rsid w:val="088844BD"/>
    <w:rsid w:val="0A4D5F3E"/>
    <w:rsid w:val="0BFB189F"/>
    <w:rsid w:val="117B3BCF"/>
    <w:rsid w:val="15296ED0"/>
    <w:rsid w:val="15506629"/>
    <w:rsid w:val="16FA3452"/>
    <w:rsid w:val="1FB93CE3"/>
    <w:rsid w:val="23C250FA"/>
    <w:rsid w:val="24C8689B"/>
    <w:rsid w:val="2896616C"/>
    <w:rsid w:val="382D1CCD"/>
    <w:rsid w:val="414154DA"/>
    <w:rsid w:val="42B12EA9"/>
    <w:rsid w:val="50C209E2"/>
    <w:rsid w:val="51983176"/>
    <w:rsid w:val="5363126C"/>
    <w:rsid w:val="56997D3A"/>
    <w:rsid w:val="59604634"/>
    <w:rsid w:val="5D491A56"/>
    <w:rsid w:val="5EEC75AD"/>
    <w:rsid w:val="625F22E7"/>
    <w:rsid w:val="63E63410"/>
    <w:rsid w:val="65D05353"/>
    <w:rsid w:val="672C4F5F"/>
    <w:rsid w:val="6DEA2065"/>
    <w:rsid w:val="70FC043C"/>
    <w:rsid w:val="74F77776"/>
    <w:rsid w:val="7508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szCs w:val="18"/>
    </w:rPr>
  </w:style>
  <w:style w:type="paragraph" w:customStyle="1" w:styleId="5">
    <w:name w:val="List Paragraph"/>
    <w:basedOn w:val="1"/>
    <w:autoRedefine/>
    <w:qFormat/>
    <w:uiPriority w:val="34"/>
    <w:pPr>
      <w:ind w:firstLine="420" w:firstLineChars="200"/>
    </w:pPr>
  </w:style>
  <w:style w:type="paragraph" w:customStyle="1" w:styleId="6">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2024-03-05T01:18:41Z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6DC0159D98004CC895FD9799FD47E8D3_13</vt:lpwstr>
  </property>
</Properties>
</file>