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val="en-US" w:eastAsia="zh-CN"/>
        </w:rPr>
        <w:t>琼海市市场监管行政执法大队单位</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5"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6"/>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琼海市市场监管行政执法大队</w:t>
      </w:r>
      <w:r>
        <w:rPr>
          <w:rFonts w:hint="eastAsia" w:ascii="黑体" w:hAnsi="黑体" w:eastAsia="黑体"/>
          <w:sz w:val="32"/>
          <w:szCs w:val="32"/>
        </w:rPr>
        <w:t>概况</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预算单位构成</w:t>
      </w:r>
    </w:p>
    <w:p>
      <w:pPr>
        <w:pStyle w:val="6"/>
        <w:numPr>
          <w:ilvl w:val="0"/>
          <w:numId w:val="1"/>
        </w:numPr>
        <w:spacing w:line="578" w:lineRule="exact"/>
        <w:ind w:firstLineChars="0"/>
        <w:rPr>
          <w:rFonts w:ascii="黑体" w:hAnsi="黑体" w:eastAsia="黑体"/>
          <w:sz w:val="32"/>
          <w:szCs w:val="32"/>
        </w:rPr>
      </w:pPr>
      <w:r>
        <w:rPr>
          <w:rFonts w:hint="eastAsia" w:ascii="黑体" w:hAnsi="黑体" w:eastAsia="黑体"/>
          <w:sz w:val="32"/>
          <w:szCs w:val="32"/>
          <w:lang w:val="en-US" w:eastAsia="zh-CN"/>
        </w:rPr>
        <w:t xml:space="preserve">  2024年琼海市市场监管行政执法大队</w:t>
      </w:r>
      <w:r>
        <w:rPr>
          <w:rFonts w:hint="eastAsia" w:ascii="黑体" w:hAnsi="黑体" w:eastAsia="黑体"/>
          <w:sz w:val="32"/>
          <w:szCs w:val="32"/>
        </w:rPr>
        <w:t>预算表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2024年琼海市市场监管行政执法大队</w:t>
      </w:r>
      <w:r>
        <w:rPr>
          <w:rFonts w:hint="eastAsia" w:ascii="黑体" w:hAnsi="黑体" w:eastAsia="黑体"/>
          <w:sz w:val="32"/>
          <w:szCs w:val="32"/>
        </w:rPr>
        <w:t>预算情况说明</w:t>
      </w:r>
    </w:p>
    <w:p>
      <w:pPr>
        <w:pStyle w:val="6"/>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numPr>
          <w:ilvl w:val="0"/>
          <w:numId w:val="0"/>
        </w:numPr>
        <w:spacing w:line="578" w:lineRule="exact"/>
        <w:ind w:leftChars="0"/>
        <w:jc w:val="both"/>
        <w:rPr>
          <w:rFonts w:ascii="仿宋_GB2312" w:hAnsi="仿宋_GB2312" w:eastAsia="仿宋_GB2312" w:cs="仿宋_GB2312"/>
          <w:sz w:val="32"/>
          <w:szCs w:val="32"/>
        </w:rPr>
        <w:sectPr>
          <w:footerReference r:id="rId6" w:type="default"/>
          <w:pgSz w:w="11906" w:h="16838"/>
          <w:pgMar w:top="1440" w:right="1800" w:bottom="1440" w:left="1800" w:header="851" w:footer="992" w:gutter="0"/>
          <w:pgNumType w:start="1"/>
          <w:cols w:space="720" w:num="1"/>
          <w:docGrid w:type="lines" w:linePitch="312" w:charSpace="0"/>
        </w:sectPr>
      </w:pPr>
    </w:p>
    <w:p>
      <w:pPr>
        <w:pStyle w:val="6"/>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val="en-US" w:eastAsia="zh-CN"/>
        </w:rPr>
        <w:t>琼海市市场监管行政执法大队</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黑体" w:eastAsia="仿宋_GB2312" w:cs="仿宋_GB2312"/>
          <w:sz w:val="32"/>
          <w:szCs w:val="32"/>
          <w:lang w:eastAsia="zh-CN"/>
        </w:rPr>
        <w:t>（一）</w:t>
      </w:r>
      <w:r>
        <w:rPr>
          <w:rFonts w:hint="eastAsia" w:ascii="仿宋_GB2312" w:hAnsi="仿宋_GB2312" w:eastAsia="仿宋_GB2312" w:cs="仿宋"/>
          <w:sz w:val="32"/>
          <w:szCs w:val="32"/>
          <w:lang w:eastAsia="zh-CN"/>
        </w:rPr>
        <w:t>贯彻落实党中央和国家、省委省政府、市委市政府有关市场监管行政执法工作的方针政策、法律法规、规章制度，执行海南自由贸易港政策措施和市委市政府决策部署。</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（二）研究拟定全市市场监管行政执法活动、专项执法行动工作方案并组织实施。</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（三）具体承担辖区内工商、质检、食品、药品、物价、商标、知识产权、专利、商务、</w:t>
      </w:r>
      <w:r>
        <w:rPr>
          <w:rFonts w:hint="eastAsia" w:ascii="仿宋_GB2312" w:hAnsi="仿宋_GB2312" w:eastAsia="仿宋_GB2312" w:cs="仿宋"/>
          <w:color w:val="auto"/>
          <w:sz w:val="32"/>
          <w:szCs w:val="32"/>
          <w:lang w:eastAsia="zh-CN"/>
        </w:rPr>
        <w:t>卫生、计生</w:t>
      </w:r>
      <w:r>
        <w:rPr>
          <w:rFonts w:hint="eastAsia" w:ascii="仿宋_GB2312" w:hAnsi="仿宋_GB2312" w:eastAsia="仿宋_GB2312" w:cs="仿宋"/>
          <w:sz w:val="32"/>
          <w:szCs w:val="32"/>
          <w:lang w:eastAsia="zh-CN"/>
        </w:rPr>
        <w:t>、统计、粮食等方面执法工作。</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（四）负责加强市场监管行政执法日常巡查，及时制止或查处违法从事有关生产、经营或其他活动行为。</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（五）负责受理市场监管行政执法方面投诉，并做好调查处理结果回复工作。</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（六）承办市委、市政府、市综合行政执法局及上级部门交办的其他事项。</w:t>
      </w:r>
    </w:p>
    <w:p>
      <w:pPr>
        <w:pStyle w:val="6"/>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预算单位构成</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0" w:firstLineChars="0"/>
        <w:textAlignment w:val="auto"/>
        <w:rPr>
          <w:rFonts w:hint="default"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 xml:space="preserve">  内设办公室、法制室、第一执法中队、第二执法中队、第三执法中队、第四执法中队等6个室和中队。</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rPr>
        <w:t xml:space="preserve"> 琼海市市场监管行政执法大队</w:t>
      </w:r>
      <w:r>
        <w:rPr>
          <w:rFonts w:hint="eastAsia" w:ascii="黑体" w:hAnsi="黑体" w:eastAsia="黑体"/>
          <w:sz w:val="32"/>
          <w:szCs w:val="32"/>
        </w:rPr>
        <w:t>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color w:val="auto"/>
          <w:sz w:val="32"/>
          <w:szCs w:val="32"/>
        </w:rPr>
      </w:pPr>
      <w:r>
        <w:rPr>
          <w:rFonts w:hint="eastAsia" w:ascii="仿宋" w:hAnsi="仿宋" w:eastAsia="仿宋" w:cs="仿宋"/>
          <w:b/>
          <w:color w:val="auto"/>
          <w:sz w:val="32"/>
          <w:szCs w:val="32"/>
        </w:rPr>
        <w:t>（此部分内容即为部门或单位预算公开表）</w:t>
      </w:r>
    </w:p>
    <w:p>
      <w:pPr>
        <w:spacing w:line="578" w:lineRule="exact"/>
        <w:rPr>
          <w:rFonts w:ascii="黑体" w:hAnsi="黑体" w:eastAsia="黑体"/>
          <w:color w:val="auto"/>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琼海市市场监管行政执法大队2024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265.60</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265.60</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244.60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21.00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265.60</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5</w:t>
      </w:r>
      <w:r>
        <w:rPr>
          <w:rFonts w:hint="eastAsia" w:ascii="仿宋" w:hAnsi="仿宋" w:eastAsia="仿宋" w:cs="仿宋"/>
          <w:sz w:val="32"/>
          <w:szCs w:val="32"/>
        </w:rPr>
        <w:t>万元、社会保障和就业支出3</w:t>
      </w:r>
      <w:r>
        <w:rPr>
          <w:rFonts w:hint="eastAsia" w:ascii="仿宋" w:hAnsi="仿宋" w:eastAsia="仿宋" w:cs="仿宋"/>
          <w:sz w:val="32"/>
          <w:szCs w:val="32"/>
          <w:lang w:val="en-US" w:eastAsia="zh-CN"/>
        </w:rPr>
        <w:t>8</w:t>
      </w:r>
      <w:r>
        <w:rPr>
          <w:rFonts w:hint="eastAsia" w:ascii="仿宋" w:hAnsi="仿宋" w:eastAsia="仿宋" w:cs="仿宋"/>
          <w:sz w:val="32"/>
          <w:szCs w:val="32"/>
        </w:rPr>
        <w:t>万元、卫生健康支出</w:t>
      </w:r>
      <w:r>
        <w:rPr>
          <w:rFonts w:hint="eastAsia" w:ascii="仿宋" w:hAnsi="仿宋" w:eastAsia="仿宋" w:cs="仿宋"/>
          <w:sz w:val="32"/>
          <w:szCs w:val="32"/>
          <w:lang w:val="en-US" w:eastAsia="zh-CN"/>
        </w:rPr>
        <w:t>183.51</w:t>
      </w:r>
      <w:r>
        <w:rPr>
          <w:rFonts w:hint="eastAsia" w:ascii="仿宋" w:hAnsi="仿宋" w:eastAsia="仿宋" w:cs="仿宋"/>
          <w:sz w:val="32"/>
          <w:szCs w:val="32"/>
        </w:rPr>
        <w:t>万元、城乡社区支出</w:t>
      </w:r>
      <w:r>
        <w:rPr>
          <w:rFonts w:hint="eastAsia" w:ascii="仿宋" w:hAnsi="仿宋" w:eastAsia="仿宋" w:cs="仿宋"/>
          <w:sz w:val="32"/>
          <w:szCs w:val="32"/>
          <w:lang w:val="en-US" w:eastAsia="zh-CN"/>
        </w:rPr>
        <w:t>21.00</w:t>
      </w:r>
      <w:r>
        <w:rPr>
          <w:rFonts w:hint="eastAsia" w:ascii="仿宋" w:hAnsi="仿宋" w:eastAsia="仿宋" w:cs="仿宋"/>
          <w:sz w:val="32"/>
          <w:szCs w:val="32"/>
        </w:rPr>
        <w:t>万元、住房保障支出</w:t>
      </w:r>
      <w:r>
        <w:rPr>
          <w:rFonts w:hint="eastAsia" w:ascii="仿宋" w:hAnsi="仿宋" w:eastAsia="仿宋" w:cs="仿宋"/>
          <w:sz w:val="32"/>
          <w:szCs w:val="32"/>
          <w:lang w:val="en-US" w:eastAsia="zh-CN"/>
        </w:rPr>
        <w:t>18.10</w:t>
      </w:r>
      <w:r>
        <w:rPr>
          <w:rFonts w:hint="eastAsia" w:ascii="仿宋" w:hAnsi="仿宋" w:eastAsia="仿宋" w:cs="仿宋"/>
          <w:sz w:val="32"/>
          <w:szCs w:val="32"/>
        </w:rPr>
        <w:t>万元，结转下年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sz w:val="32"/>
          <w:szCs w:val="32"/>
        </w:rPr>
        <w:t>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sz w:val="32"/>
          <w:szCs w:val="32"/>
          <w:lang w:val="en-US" w:eastAsia="zh-CN"/>
        </w:rPr>
        <w:t>琼海市市场监管行政执法大队2024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244.60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112.44</w:t>
      </w:r>
      <w:r>
        <w:rPr>
          <w:rFonts w:hint="eastAsia" w:ascii="仿宋" w:hAnsi="仿宋" w:eastAsia="仿宋" w:cs="仿宋"/>
          <w:sz w:val="32"/>
          <w:szCs w:val="32"/>
        </w:rPr>
        <w:t>万元，</w:t>
      </w:r>
      <w:r>
        <w:rPr>
          <w:rFonts w:hint="eastAsia" w:ascii="仿宋" w:hAnsi="仿宋" w:eastAsia="仿宋" w:cs="仿宋"/>
          <w:color w:val="auto"/>
          <w:sz w:val="32"/>
          <w:szCs w:val="32"/>
        </w:rPr>
        <w:t>主要是</w:t>
      </w:r>
      <w:r>
        <w:rPr>
          <w:rFonts w:hint="eastAsia" w:ascii="仿宋" w:hAnsi="仿宋" w:eastAsia="仿宋" w:cs="仿宋"/>
          <w:color w:val="auto"/>
          <w:sz w:val="32"/>
          <w:szCs w:val="32"/>
          <w:lang w:val="en-US" w:eastAsia="zh-CN"/>
        </w:rPr>
        <w:t>人员减少。</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640"/>
        <w:jc w:val="left"/>
        <w:rPr>
          <w:rFonts w:hint="eastAsia" w:ascii="仿宋" w:hAnsi="仿宋" w:eastAsia="仿宋" w:cs="仿宋"/>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5.00</w:t>
      </w:r>
      <w:r>
        <w:rPr>
          <w:rFonts w:hint="eastAsia" w:ascii="仿宋" w:hAnsi="仿宋" w:eastAsia="仿宋" w:cs="仿宋"/>
          <w:sz w:val="32"/>
          <w:szCs w:val="32"/>
        </w:rPr>
        <w:t>万元，占</w:t>
      </w:r>
      <w:r>
        <w:rPr>
          <w:rFonts w:hint="eastAsia" w:ascii="仿宋" w:hAnsi="仿宋" w:eastAsia="仿宋" w:cs="仿宋"/>
          <w:sz w:val="32"/>
          <w:szCs w:val="32"/>
          <w:lang w:val="en-US" w:eastAsia="zh-CN"/>
        </w:rPr>
        <w:t>2.04</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38</w:t>
      </w:r>
      <w:r>
        <w:rPr>
          <w:rFonts w:hint="eastAsia" w:ascii="仿宋" w:hAnsi="仿宋" w:eastAsia="仿宋" w:cs="仿宋"/>
          <w:sz w:val="32"/>
          <w:szCs w:val="32"/>
        </w:rPr>
        <w:t>万，占</w:t>
      </w:r>
      <w:r>
        <w:rPr>
          <w:rFonts w:hint="eastAsia" w:ascii="仿宋" w:hAnsi="仿宋" w:eastAsia="仿宋" w:cs="仿宋"/>
          <w:sz w:val="32"/>
          <w:szCs w:val="32"/>
          <w:lang w:val="en-US" w:eastAsia="zh-CN"/>
        </w:rPr>
        <w:t>15.54</w:t>
      </w:r>
      <w:r>
        <w:rPr>
          <w:rFonts w:hint="eastAsia" w:ascii="仿宋" w:hAnsi="仿宋" w:eastAsia="仿宋" w:cs="仿宋"/>
          <w:sz w:val="32"/>
          <w:szCs w:val="32"/>
        </w:rPr>
        <w:t>%；卫生健康（类）支出</w:t>
      </w:r>
      <w:r>
        <w:rPr>
          <w:rFonts w:hint="eastAsia" w:ascii="仿宋" w:hAnsi="仿宋" w:eastAsia="仿宋" w:cs="仿宋"/>
          <w:sz w:val="32"/>
          <w:szCs w:val="32"/>
          <w:lang w:val="en-US" w:eastAsia="zh-CN"/>
        </w:rPr>
        <w:t>183.51</w:t>
      </w:r>
      <w:r>
        <w:rPr>
          <w:rFonts w:hint="eastAsia" w:ascii="仿宋" w:hAnsi="仿宋" w:eastAsia="仿宋" w:cs="仿宋"/>
          <w:sz w:val="32"/>
          <w:szCs w:val="32"/>
        </w:rPr>
        <w:t>万元，占</w:t>
      </w:r>
      <w:r>
        <w:rPr>
          <w:rFonts w:hint="eastAsia" w:ascii="仿宋" w:hAnsi="仿宋" w:eastAsia="仿宋" w:cs="仿宋"/>
          <w:sz w:val="32"/>
          <w:szCs w:val="32"/>
          <w:lang w:val="en-US" w:eastAsia="zh-CN"/>
        </w:rPr>
        <w:t>75.02</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18.10</w:t>
      </w:r>
      <w:r>
        <w:rPr>
          <w:rFonts w:hint="eastAsia" w:ascii="仿宋" w:hAnsi="仿宋" w:eastAsia="仿宋" w:cs="仿宋"/>
          <w:sz w:val="32"/>
          <w:szCs w:val="32"/>
        </w:rPr>
        <w:t>万元，占</w:t>
      </w:r>
      <w:r>
        <w:rPr>
          <w:rFonts w:hint="eastAsia" w:ascii="仿宋" w:hAnsi="仿宋" w:eastAsia="仿宋" w:cs="仿宋"/>
          <w:sz w:val="32"/>
          <w:szCs w:val="32"/>
          <w:lang w:val="en-US" w:eastAsia="zh-CN"/>
        </w:rPr>
        <w:t>7.40</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rPr>
        <w:t>1.社会保障和就业支出（类）行政事业单位养老支出（款）机关事业单位基本养老保险缴费支出（项）202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20.07</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减少12.5</w:t>
      </w:r>
      <w:r>
        <w:rPr>
          <w:rFonts w:hint="eastAsia" w:ascii="仿宋" w:hAnsi="仿宋" w:eastAsia="仿宋" w:cs="仿宋"/>
          <w:sz w:val="32"/>
          <w:szCs w:val="32"/>
        </w:rPr>
        <w:t>万元，主要是人员</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pStyle w:val="2"/>
        <w:rPr>
          <w:rFonts w:hint="default" w:eastAsia="仿宋_GB2312"/>
          <w:color w:val="auto"/>
          <w:lang w:val="en-US" w:eastAsia="zh-CN"/>
        </w:rPr>
      </w:pPr>
      <w:r>
        <w:rPr>
          <w:rFonts w:hint="eastAsia"/>
          <w:lang w:val="en-US" w:eastAsia="zh-CN"/>
        </w:rPr>
        <w:t xml:space="preserve">    2.社会保障和就业支出（类）行政事业单位养老支出（款）机关事业单位职业年金缴费支出（项）2024年预算数为17.92万元，比上年预算数增加17.92万元，</w:t>
      </w:r>
      <w:r>
        <w:rPr>
          <w:rFonts w:hint="eastAsia"/>
          <w:color w:val="auto"/>
          <w:lang w:val="en-US" w:eastAsia="zh-CN"/>
        </w:rPr>
        <w:t>主要是缴交人员职业年金费用。</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.卫生健康支出（类）公共卫生（款）卫生监督机构（项）202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155.83</w:t>
      </w:r>
      <w:r>
        <w:rPr>
          <w:rFonts w:hint="eastAsia" w:ascii="仿宋" w:hAnsi="仿宋" w:eastAsia="仿宋" w:cs="仿宋"/>
          <w:sz w:val="32"/>
          <w:szCs w:val="32"/>
        </w:rPr>
        <w:t>万元，比去年</w:t>
      </w:r>
      <w:r>
        <w:rPr>
          <w:rFonts w:hint="eastAsia" w:ascii="仿宋" w:hAnsi="仿宋" w:eastAsia="仿宋" w:cs="仿宋"/>
          <w:sz w:val="32"/>
          <w:szCs w:val="32"/>
          <w:lang w:val="en-US" w:eastAsia="zh-CN"/>
        </w:rPr>
        <w:t>减少90.80</w:t>
      </w:r>
      <w:r>
        <w:rPr>
          <w:rFonts w:hint="eastAsia" w:ascii="仿宋" w:hAnsi="仿宋" w:eastAsia="仿宋" w:cs="仿宋"/>
          <w:sz w:val="32"/>
          <w:szCs w:val="32"/>
        </w:rPr>
        <w:t>万元，主要是人员</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.卫生健康支出（类）行政事业单位医疗（款）事业单位医疗（项）202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9.17</w:t>
      </w:r>
      <w:r>
        <w:rPr>
          <w:rFonts w:hint="eastAsia" w:ascii="仿宋" w:hAnsi="仿宋" w:eastAsia="仿宋" w:cs="仿宋"/>
          <w:sz w:val="32"/>
          <w:szCs w:val="32"/>
        </w:rPr>
        <w:t>万元，比去年减少</w:t>
      </w:r>
      <w:r>
        <w:rPr>
          <w:rFonts w:hint="eastAsia" w:ascii="仿宋" w:hAnsi="仿宋" w:eastAsia="仿宋" w:cs="仿宋"/>
          <w:sz w:val="32"/>
          <w:szCs w:val="32"/>
          <w:lang w:val="en-US" w:eastAsia="zh-CN"/>
        </w:rPr>
        <w:t>5.38</w:t>
      </w:r>
      <w:r>
        <w:rPr>
          <w:rFonts w:hint="eastAsia" w:ascii="仿宋" w:hAnsi="仿宋" w:eastAsia="仿宋" w:cs="仿宋"/>
          <w:sz w:val="32"/>
          <w:szCs w:val="32"/>
        </w:rPr>
        <w:t>万元，主要是人员减少。</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.卫生健康支出（类）行政事业单位医疗（款）公务员医疗补助（项）202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18.51</w:t>
      </w:r>
      <w:r>
        <w:rPr>
          <w:rFonts w:hint="eastAsia" w:ascii="仿宋" w:hAnsi="仿宋" w:eastAsia="仿宋" w:cs="仿宋"/>
          <w:sz w:val="32"/>
          <w:szCs w:val="32"/>
        </w:rPr>
        <w:t>万，比去年</w:t>
      </w:r>
      <w:r>
        <w:rPr>
          <w:rFonts w:hint="eastAsia" w:ascii="仿宋" w:hAnsi="仿宋" w:eastAsia="仿宋" w:cs="仿宋"/>
          <w:sz w:val="32"/>
          <w:szCs w:val="32"/>
          <w:lang w:val="en-US" w:eastAsia="zh-CN"/>
        </w:rPr>
        <w:t>减少10.86</w:t>
      </w:r>
      <w:r>
        <w:rPr>
          <w:rFonts w:hint="eastAsia" w:ascii="仿宋" w:hAnsi="仿宋" w:eastAsia="仿宋" w:cs="仿宋"/>
          <w:sz w:val="32"/>
          <w:szCs w:val="32"/>
        </w:rPr>
        <w:t>万，主要是人员</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.住房保障支出（类）住房改革支出（款）住房公积金（项）202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18.10</w:t>
      </w:r>
      <w:r>
        <w:rPr>
          <w:rFonts w:hint="eastAsia" w:ascii="仿宋" w:hAnsi="仿宋" w:eastAsia="仿宋" w:cs="仿宋"/>
          <w:sz w:val="32"/>
          <w:szCs w:val="32"/>
        </w:rPr>
        <w:t>万，比去年</w:t>
      </w:r>
      <w:r>
        <w:rPr>
          <w:rFonts w:hint="eastAsia" w:ascii="仿宋" w:hAnsi="仿宋" w:eastAsia="仿宋" w:cs="仿宋"/>
          <w:sz w:val="32"/>
          <w:szCs w:val="32"/>
          <w:lang w:val="en-US" w:eastAsia="zh-CN"/>
        </w:rPr>
        <w:t>减少11.93</w:t>
      </w:r>
      <w:r>
        <w:rPr>
          <w:rFonts w:hint="eastAsia" w:ascii="仿宋" w:hAnsi="仿宋" w:eastAsia="仿宋" w:cs="仿宋"/>
          <w:sz w:val="32"/>
          <w:szCs w:val="32"/>
        </w:rPr>
        <w:t>万元，主要是人员</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line="578" w:lineRule="exact"/>
        <w:ind w:firstLine="640"/>
        <w:rPr>
          <w:rFonts w:hint="default" w:eastAsia="仿宋"/>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rPr>
        <w:t>.一般公共服务支出（类）市场监督管理事务（款）市场秩序执法（项）202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5</w:t>
      </w:r>
      <w:r>
        <w:rPr>
          <w:rFonts w:hint="eastAsia" w:ascii="仿宋" w:hAnsi="仿宋" w:eastAsia="仿宋" w:cs="仿宋"/>
          <w:sz w:val="32"/>
          <w:szCs w:val="32"/>
        </w:rPr>
        <w:t>万元，比上年预算数</w:t>
      </w:r>
      <w:r>
        <w:rPr>
          <w:rFonts w:hint="eastAsia" w:ascii="仿宋" w:hAnsi="仿宋" w:eastAsia="仿宋" w:cs="仿宋"/>
          <w:sz w:val="32"/>
          <w:szCs w:val="32"/>
          <w:lang w:val="en-US" w:eastAsia="zh-CN"/>
        </w:rPr>
        <w:t>增加2</w:t>
      </w:r>
      <w:r>
        <w:rPr>
          <w:rFonts w:hint="eastAsia" w:ascii="仿宋" w:hAnsi="仿宋" w:eastAsia="仿宋" w:cs="仿宋"/>
          <w:sz w:val="32"/>
          <w:szCs w:val="32"/>
        </w:rPr>
        <w:t>.3万元，主要是</w:t>
      </w:r>
      <w:r>
        <w:rPr>
          <w:rFonts w:hint="eastAsia" w:ascii="仿宋" w:hAnsi="仿宋" w:eastAsia="仿宋" w:cs="仿宋"/>
          <w:sz w:val="32"/>
          <w:szCs w:val="32"/>
          <w:lang w:val="en-US" w:eastAsia="zh-CN"/>
        </w:rPr>
        <w:t>案件量增加</w:t>
      </w:r>
      <w:r>
        <w:rPr>
          <w:rFonts w:hint="eastAsia" w:ascii="仿宋" w:hAnsi="仿宋" w:eastAsia="仿宋" w:cs="仿宋"/>
          <w:sz w:val="32"/>
          <w:szCs w:val="32"/>
        </w:rPr>
        <w:t>。</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sz w:val="32"/>
          <w:szCs w:val="32"/>
        </w:rPr>
        <w:t>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琼海市市场监管行政执法大队202</w:t>
      </w:r>
      <w:r>
        <w:rPr>
          <w:rFonts w:hint="eastAsia" w:ascii="仿宋" w:hAnsi="仿宋" w:eastAsia="仿宋" w:cs="仿宋"/>
          <w:sz w:val="32"/>
          <w:szCs w:val="32"/>
          <w:lang w:val="en-US" w:eastAsia="zh-CN"/>
        </w:rPr>
        <w:t>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244.60</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221.85</w:t>
      </w:r>
      <w:r>
        <w:rPr>
          <w:rFonts w:hint="eastAsia" w:ascii="仿宋" w:hAnsi="仿宋" w:eastAsia="仿宋" w:cs="仿宋"/>
          <w:sz w:val="32"/>
          <w:szCs w:val="32"/>
        </w:rPr>
        <w:t>万元，主要包括：基本工资、津贴补贴、奖金、绩效工资、 机关事业单位基本养老保险缴费、城镇职工基本医疗保险缴费、公务员医疗补助缴费、其他社会保障缴费、 其他工资福利支出、住房公积金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职业年金缴</w:t>
      </w:r>
      <w:bookmarkStart w:id="0" w:name="_GoBack"/>
      <w:bookmarkEnd w:id="0"/>
      <w:r>
        <w:rPr>
          <w:rFonts w:hint="eastAsia" w:ascii="仿宋" w:hAnsi="仿宋" w:eastAsia="仿宋" w:cs="仿宋"/>
          <w:sz w:val="32"/>
          <w:szCs w:val="32"/>
          <w:lang w:val="en-US" w:eastAsia="zh-CN"/>
        </w:rPr>
        <w:t>费</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17.75</w:t>
      </w:r>
      <w:r>
        <w:rPr>
          <w:rFonts w:hint="eastAsia" w:ascii="仿宋" w:hAnsi="仿宋" w:eastAsia="仿宋" w:cs="仿宋"/>
          <w:sz w:val="32"/>
          <w:szCs w:val="32"/>
        </w:rPr>
        <w:t>万元，主要包括：办公费、水费、电费、邮电费、物业管理费、差旅费、维修（护）费、会议费、培训费、工会经费、公务用车运行维护费。</w:t>
      </w:r>
    </w:p>
    <w:p>
      <w:pPr>
        <w:pStyle w:val="2"/>
        <w:rPr>
          <w:rFonts w:hint="default" w:eastAsia="仿宋"/>
          <w:color w:val="auto"/>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color w:val="auto"/>
          <w:sz w:val="32"/>
          <w:szCs w:val="32"/>
          <w:lang w:val="en-US" w:eastAsia="zh-CN"/>
        </w:rPr>
        <w:t>项目支出5万元，主要包括：职工探亲旅费、办公费、差旅费、专用材料费、其他商品和服务费、其他交通费用、奖励金。</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（一）琼海市市场监管行政执法大队2024年一般公共预算“三公”经费预算数为</w:t>
      </w:r>
      <w:r>
        <w:rPr>
          <w:rFonts w:hint="eastAsia" w:ascii="仿宋" w:hAnsi="仿宋" w:eastAsia="仿宋" w:cs="仿宋"/>
          <w:sz w:val="32"/>
          <w:szCs w:val="32"/>
          <w:lang w:val="en-US" w:eastAsia="zh-CN"/>
        </w:rPr>
        <w:t>1.90</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1.9</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1.9</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，较上年预算下降</w:t>
      </w:r>
      <w:r>
        <w:rPr>
          <w:rFonts w:hint="eastAsia" w:ascii="仿宋" w:hAnsi="仿宋" w:eastAsia="仿宋" w:cs="仿宋"/>
          <w:sz w:val="32"/>
          <w:szCs w:val="32"/>
          <w:lang w:val="en-US" w:eastAsia="zh-CN"/>
        </w:rPr>
        <w:t>66.60</w:t>
      </w:r>
      <w:r>
        <w:rPr>
          <w:rFonts w:hint="eastAsia" w:ascii="仿宋" w:hAnsi="仿宋" w:eastAsia="仿宋" w:cs="仿宋"/>
          <w:sz w:val="32"/>
          <w:shd w:val="clear" w:color="auto" w:fill="FFFFFF"/>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val="en-US" w:eastAsia="zh-CN"/>
        </w:rPr>
        <w:t>公车数量减少</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（二）琼海市市场监管行政执法大队2024年政府性基金预算“三公”经费预算数为</w:t>
      </w:r>
      <w:r>
        <w:rPr>
          <w:rFonts w:hint="eastAsia" w:ascii="仿宋" w:hAnsi="仿宋" w:eastAsia="仿宋" w:cs="仿宋"/>
          <w:sz w:val="32"/>
          <w:szCs w:val="32"/>
          <w:lang w:val="en-US" w:eastAsia="zh-CN"/>
        </w:rPr>
        <w:t>1.5</w:t>
      </w:r>
      <w:r>
        <w:rPr>
          <w:rFonts w:hint="eastAsia" w:ascii="仿宋" w:hAnsi="仿宋" w:eastAsia="仿宋" w:cs="仿宋"/>
          <w:sz w:val="32"/>
          <w:szCs w:val="32"/>
        </w:rPr>
        <w:t>万元，其中：</w:t>
      </w:r>
    </w:p>
    <w:p>
      <w:pPr>
        <w:spacing w:line="578" w:lineRule="exact"/>
        <w:rPr>
          <w:rFonts w:hint="eastAsia" w:ascii="仿宋" w:hAnsi="仿宋" w:eastAsia="仿宋" w:cs="仿宋"/>
          <w:sz w:val="32"/>
          <w:shd w:val="clear" w:color="auto" w:fill="FFFFFF"/>
        </w:rPr>
      </w:pPr>
      <w:r>
        <w:rPr>
          <w:rFonts w:hint="eastAsia" w:ascii="仿宋" w:hAnsi="仿宋" w:eastAsia="仿宋" w:cs="仿宋"/>
          <w:sz w:val="32"/>
          <w:shd w:val="clear" w:color="auto" w:fill="FFFFFF"/>
        </w:rPr>
        <w:t xml:space="preserve">    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1</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hd w:val="clear" w:color="auto" w:fill="FFFFFF"/>
        </w:rPr>
        <w:t>，较上年预算下降</w:t>
      </w:r>
      <w:r>
        <w:rPr>
          <w:rFonts w:hint="eastAsia" w:ascii="仿宋" w:hAnsi="仿宋" w:eastAsia="仿宋" w:cs="仿宋"/>
          <w:sz w:val="32"/>
          <w:szCs w:val="32"/>
          <w:lang w:val="en-US" w:eastAsia="zh-CN"/>
        </w:rPr>
        <w:t>33.33</w:t>
      </w:r>
      <w:r>
        <w:rPr>
          <w:rFonts w:hint="eastAsia" w:ascii="仿宋" w:hAnsi="仿宋" w:eastAsia="仿宋" w:cs="仿宋"/>
          <w:sz w:val="32"/>
          <w:shd w:val="clear" w:color="auto" w:fill="FFFFFF"/>
        </w:rPr>
        <w:t>%</w:t>
      </w:r>
      <w:r>
        <w:rPr>
          <w:rFonts w:hint="eastAsia" w:ascii="仿宋" w:hAnsi="仿宋" w:eastAsia="仿宋" w:cs="仿宋"/>
          <w:sz w:val="32"/>
          <w:shd w:val="clear" w:color="auto" w:fill="FFFFFF"/>
          <w:lang w:eastAsia="zh-CN"/>
        </w:rPr>
        <w:t>。</w:t>
      </w:r>
      <w:r>
        <w:rPr>
          <w:rFonts w:hint="eastAsia" w:ascii="仿宋" w:hAnsi="仿宋" w:eastAsia="仿宋" w:cs="仿宋"/>
          <w:sz w:val="32"/>
        </w:rPr>
        <w:t>下降的</w:t>
      </w:r>
      <w:r>
        <w:rPr>
          <w:rFonts w:hint="eastAsia" w:ascii="仿宋" w:hAnsi="仿宋" w:eastAsia="仿宋" w:cs="仿宋"/>
          <w:sz w:val="32"/>
          <w:shd w:val="clear" w:color="auto" w:fill="FFFFFF"/>
        </w:rPr>
        <w:t>主要原因包括：</w:t>
      </w:r>
      <w:r>
        <w:rPr>
          <w:rFonts w:hint="eastAsia" w:ascii="仿宋" w:hAnsi="仿宋" w:eastAsia="仿宋" w:cs="仿宋"/>
          <w:sz w:val="32"/>
          <w:shd w:val="clear" w:color="auto" w:fill="FFFFFF"/>
          <w:lang w:val="en-US" w:eastAsia="zh-CN"/>
        </w:rPr>
        <w:t>公车数量减少</w:t>
      </w:r>
      <w:r>
        <w:rPr>
          <w:rFonts w:hint="eastAsia" w:ascii="仿宋" w:hAnsi="仿宋" w:eastAsia="仿宋" w:cs="仿宋"/>
          <w:sz w:val="32"/>
          <w:shd w:val="clear" w:color="auto" w:fill="FFFFFF"/>
        </w:rPr>
        <w:t>；公务车保有量</w:t>
      </w:r>
      <w:r>
        <w:rPr>
          <w:rFonts w:hint="eastAsia" w:ascii="仿宋" w:hAnsi="仿宋" w:eastAsia="仿宋" w:cs="仿宋"/>
          <w:sz w:val="32"/>
          <w:szCs w:val="32"/>
          <w:lang w:val="en-US" w:eastAsia="zh-CN"/>
        </w:rPr>
        <w:t>1</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0.5</w:t>
      </w:r>
      <w:r>
        <w:rPr>
          <w:rFonts w:hint="eastAsia" w:ascii="仿宋" w:hAnsi="仿宋" w:eastAsia="仿宋" w:cs="仿宋"/>
          <w:sz w:val="32"/>
          <w:shd w:val="clear" w:color="auto" w:fill="FFFFFF"/>
        </w:rPr>
        <w:t>万元，与上年预算持平。计划接待</w:t>
      </w:r>
      <w:r>
        <w:rPr>
          <w:rFonts w:hint="eastAsia" w:ascii="仿宋" w:hAnsi="仿宋" w:eastAsia="仿宋" w:cs="仿宋"/>
          <w:sz w:val="32"/>
          <w:szCs w:val="32"/>
          <w:lang w:val="en-US" w:eastAsia="zh-CN"/>
        </w:rPr>
        <w:t>4</w:t>
      </w:r>
      <w:r>
        <w:rPr>
          <w:rFonts w:hint="eastAsia" w:ascii="仿宋" w:hAnsi="仿宋" w:eastAsia="仿宋" w:cs="仿宋"/>
          <w:sz w:val="32"/>
          <w:szCs w:val="32"/>
        </w:rPr>
        <w:t>批</w:t>
      </w:r>
      <w:r>
        <w:rPr>
          <w:rFonts w:hint="eastAsia" w:ascii="仿宋" w:hAnsi="仿宋" w:eastAsia="仿宋" w:cs="仿宋"/>
          <w:sz w:val="32"/>
          <w:szCs w:val="32"/>
          <w:lang w:val="en-US" w:eastAsia="zh-CN"/>
        </w:rPr>
        <w:t>40</w:t>
      </w:r>
      <w:r>
        <w:rPr>
          <w:rFonts w:hint="eastAsia" w:ascii="仿宋" w:hAnsi="仿宋" w:eastAsia="仿宋" w:cs="仿宋"/>
          <w:sz w:val="32"/>
          <w:szCs w:val="32"/>
        </w:rPr>
        <w:t>人</w:t>
      </w:r>
      <w:r>
        <w:rPr>
          <w:rFonts w:hint="eastAsia" w:ascii="仿宋" w:hAnsi="仿宋" w:eastAsia="仿宋" w:cs="仿宋"/>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琼海市市场监管行政执法大队2024年政府性基金预算当年拨款</w:t>
      </w:r>
      <w:r>
        <w:rPr>
          <w:rFonts w:hint="eastAsia" w:ascii="仿宋" w:hAnsi="仿宋" w:eastAsia="仿宋" w:cs="仿宋"/>
          <w:sz w:val="32"/>
          <w:szCs w:val="32"/>
          <w:lang w:val="en-US" w:eastAsia="zh-CN"/>
        </w:rPr>
        <w:t>21</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0.2</w:t>
      </w:r>
      <w:r>
        <w:rPr>
          <w:rFonts w:hint="eastAsia" w:ascii="仿宋" w:hAnsi="仿宋" w:eastAsia="仿宋" w:cs="仿宋"/>
          <w:sz w:val="32"/>
          <w:szCs w:val="32"/>
        </w:rPr>
        <w:t>万元，主要是</w:t>
      </w:r>
      <w:r>
        <w:rPr>
          <w:rFonts w:hint="eastAsia" w:ascii="仿宋" w:hAnsi="仿宋" w:eastAsia="仿宋" w:cs="仿宋"/>
          <w:sz w:val="32"/>
          <w:szCs w:val="32"/>
          <w:lang w:val="en-US" w:eastAsia="zh-CN"/>
        </w:rPr>
        <w:t>压减工作经费</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640"/>
        <w:jc w:val="left"/>
        <w:rPr>
          <w:rFonts w:hint="eastAsia" w:ascii="仿宋" w:hAnsi="仿宋" w:eastAsia="仿宋" w:cs="仿宋"/>
          <w:sz w:val="32"/>
          <w:szCs w:val="32"/>
        </w:rPr>
      </w:pPr>
      <w:r>
        <w:rPr>
          <w:rFonts w:hint="eastAsia" w:ascii="仿宋" w:hAnsi="仿宋" w:eastAsia="仿宋" w:cs="仿宋"/>
          <w:sz w:val="32"/>
          <w:szCs w:val="32"/>
        </w:rPr>
        <w:t>城乡社区支出（类）21万元。</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城乡社区支出（类）国有土地使用权出让收入安排的支出（款）其他国有土地使用权出让收入安排的支出（项）202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年预算数为21万元，比上年预算数下降</w:t>
      </w:r>
      <w:r>
        <w:rPr>
          <w:rFonts w:hint="eastAsia" w:ascii="仿宋" w:hAnsi="仿宋" w:eastAsia="仿宋" w:cs="仿宋"/>
          <w:sz w:val="32"/>
          <w:szCs w:val="32"/>
          <w:lang w:val="en-US" w:eastAsia="zh-CN"/>
        </w:rPr>
        <w:t>0.2</w:t>
      </w:r>
      <w:r>
        <w:rPr>
          <w:rFonts w:hint="eastAsia" w:ascii="仿宋" w:hAnsi="仿宋" w:eastAsia="仿宋" w:cs="仿宋"/>
          <w:sz w:val="32"/>
          <w:szCs w:val="32"/>
        </w:rPr>
        <w:t>万元。，主要是压减工作经费。</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按照综合预算原则，琼海市市场监管行政执法大队2024</w:t>
      </w:r>
      <w:r>
        <w:rPr>
          <w:rFonts w:hint="eastAsia" w:ascii="仿宋" w:hAnsi="仿宋" w:eastAsia="仿宋" w:cs="仿宋"/>
          <w:sz w:val="32"/>
          <w:szCs w:val="32"/>
          <w:lang w:val="en-US" w:eastAsia="zh-CN"/>
        </w:rPr>
        <w:t>年</w:t>
      </w:r>
      <w:r>
        <w:rPr>
          <w:rFonts w:hint="eastAsia" w:ascii="仿宋" w:hAnsi="仿宋" w:eastAsia="仿宋" w:cs="仿宋"/>
          <w:sz w:val="32"/>
          <w:szCs w:val="32"/>
        </w:rPr>
        <w:t>所有收入和支出均纳入部门预算管理</w:t>
      </w:r>
      <w:r>
        <w:rPr>
          <w:rFonts w:hint="eastAsia" w:ascii="仿宋" w:hAnsi="仿宋" w:eastAsia="仿宋" w:cs="仿宋"/>
          <w:sz w:val="32"/>
          <w:szCs w:val="32"/>
          <w:lang w:eastAsia="zh-CN"/>
        </w:rPr>
        <w:t>。</w:t>
      </w:r>
      <w:r>
        <w:rPr>
          <w:rFonts w:hint="eastAsia" w:ascii="仿宋" w:hAnsi="仿宋" w:eastAsia="仿宋" w:cs="仿宋"/>
          <w:sz w:val="32"/>
          <w:szCs w:val="32"/>
        </w:rPr>
        <w:t>收入包括：一般公共预算收入、政府性基金收入；支出包括：社会保障和就业支出、卫生健康支出、住房保障支出。琼海市市场监管行政执法大队202</w:t>
      </w:r>
      <w:r>
        <w:rPr>
          <w:rFonts w:hint="eastAsia" w:ascii="仿宋" w:hAnsi="仿宋" w:eastAsia="仿宋" w:cs="仿宋"/>
          <w:sz w:val="32"/>
          <w:szCs w:val="32"/>
          <w:lang w:val="en-US" w:eastAsia="zh-CN"/>
        </w:rPr>
        <w:t>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265.6</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琼海市市场监管行政执法大队202</w:t>
      </w:r>
      <w:r>
        <w:rPr>
          <w:rFonts w:hint="eastAsia" w:ascii="仿宋" w:hAnsi="仿宋" w:eastAsia="仿宋" w:cs="仿宋"/>
          <w:sz w:val="32"/>
          <w:szCs w:val="32"/>
          <w:lang w:val="en-US" w:eastAsia="zh-CN"/>
        </w:rPr>
        <w:t>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265.60</w:t>
      </w:r>
      <w:r>
        <w:rPr>
          <w:rFonts w:hint="eastAsia" w:ascii="仿宋" w:hAnsi="仿宋" w:eastAsia="仿宋" w:cs="仿宋"/>
          <w:sz w:val="32"/>
          <w:szCs w:val="32"/>
        </w:rPr>
        <w:t>万元，其中：上年结转0万元；一般公共预算收入</w:t>
      </w:r>
      <w:r>
        <w:rPr>
          <w:rFonts w:hint="eastAsia" w:ascii="仿宋" w:hAnsi="仿宋" w:eastAsia="仿宋" w:cs="仿宋"/>
          <w:sz w:val="32"/>
          <w:szCs w:val="32"/>
          <w:lang w:val="en-US" w:eastAsia="zh-CN"/>
        </w:rPr>
        <w:t>244.60</w:t>
      </w:r>
      <w:r>
        <w:rPr>
          <w:rFonts w:hint="eastAsia" w:ascii="仿宋" w:hAnsi="仿宋" w:eastAsia="仿宋" w:cs="仿宋"/>
          <w:sz w:val="32"/>
          <w:szCs w:val="32"/>
        </w:rPr>
        <w:t>万元，占</w:t>
      </w:r>
      <w:r>
        <w:rPr>
          <w:rFonts w:hint="eastAsia" w:ascii="仿宋" w:hAnsi="仿宋" w:eastAsia="仿宋" w:cs="仿宋"/>
          <w:sz w:val="32"/>
          <w:szCs w:val="32"/>
          <w:lang w:val="en-US" w:eastAsia="zh-CN"/>
        </w:rPr>
        <w:t>92.09</w:t>
      </w:r>
      <w:r>
        <w:rPr>
          <w:rFonts w:hint="eastAsia" w:ascii="仿宋" w:hAnsi="仿宋" w:eastAsia="仿宋" w:cs="仿宋"/>
          <w:sz w:val="32"/>
          <w:szCs w:val="32"/>
        </w:rPr>
        <w:t>%；政府性基金收入21万元，占</w:t>
      </w:r>
      <w:r>
        <w:rPr>
          <w:rFonts w:hint="eastAsia" w:ascii="仿宋" w:hAnsi="仿宋" w:eastAsia="仿宋" w:cs="仿宋"/>
          <w:sz w:val="32"/>
          <w:szCs w:val="32"/>
          <w:lang w:val="en-US" w:eastAsia="zh-CN"/>
        </w:rPr>
        <w:t>7.91</w:t>
      </w:r>
      <w:r>
        <w:rPr>
          <w:rFonts w:hint="eastAsia" w:ascii="仿宋" w:hAnsi="仿宋" w:eastAsia="仿宋" w:cs="仿宋"/>
          <w:sz w:val="32"/>
          <w:szCs w:val="32"/>
        </w:rPr>
        <w:t>%。比上年预算数</w:t>
      </w:r>
      <w:r>
        <w:rPr>
          <w:rFonts w:hint="eastAsia" w:ascii="仿宋" w:hAnsi="仿宋" w:eastAsia="仿宋" w:cs="仿宋"/>
          <w:sz w:val="32"/>
          <w:szCs w:val="32"/>
          <w:lang w:val="en-US" w:eastAsia="zh-CN"/>
        </w:rPr>
        <w:t>减少112.64</w:t>
      </w:r>
      <w:r>
        <w:rPr>
          <w:rFonts w:hint="eastAsia" w:ascii="仿宋" w:hAnsi="仿宋" w:eastAsia="仿宋" w:cs="仿宋"/>
          <w:sz w:val="32"/>
          <w:szCs w:val="32"/>
        </w:rPr>
        <w:t>万元，主要是人员</w:t>
      </w:r>
      <w:r>
        <w:rPr>
          <w:rFonts w:hint="eastAsia" w:ascii="仿宋" w:hAnsi="仿宋" w:eastAsia="仿宋" w:cs="仿宋"/>
          <w:sz w:val="32"/>
          <w:szCs w:val="32"/>
          <w:lang w:val="en-US" w:eastAsia="zh-CN"/>
        </w:rPr>
        <w:t>减少</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黑体"/>
          <w:sz w:val="32"/>
          <w:szCs w:val="32"/>
        </w:rPr>
        <w:t>琼海市市场监管行政执法大队202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琼海市市场监管行政执法大队202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265.60</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239.60</w:t>
      </w:r>
      <w:r>
        <w:rPr>
          <w:rFonts w:hint="eastAsia" w:ascii="仿宋" w:hAnsi="仿宋" w:eastAsia="仿宋" w:cs="仿宋"/>
          <w:sz w:val="32"/>
          <w:szCs w:val="32"/>
        </w:rPr>
        <w:t>万元，占</w:t>
      </w:r>
      <w:r>
        <w:rPr>
          <w:rFonts w:hint="eastAsia" w:ascii="仿宋" w:hAnsi="仿宋" w:eastAsia="仿宋" w:cs="仿宋"/>
          <w:sz w:val="32"/>
          <w:szCs w:val="32"/>
          <w:lang w:val="en-US" w:eastAsia="zh-CN"/>
        </w:rPr>
        <w:t>90.21</w:t>
      </w:r>
      <w:r>
        <w:rPr>
          <w:rFonts w:hint="eastAsia" w:ascii="仿宋" w:hAnsi="仿宋" w:eastAsia="仿宋" w:cs="仿宋"/>
          <w:sz w:val="32"/>
          <w:szCs w:val="32"/>
        </w:rPr>
        <w:t>%；项目支出</w:t>
      </w:r>
      <w:r>
        <w:rPr>
          <w:rFonts w:hint="eastAsia" w:ascii="仿宋" w:hAnsi="仿宋" w:eastAsia="仿宋" w:cs="仿宋"/>
          <w:sz w:val="32"/>
          <w:szCs w:val="32"/>
          <w:lang w:val="en-US" w:eastAsia="zh-CN"/>
        </w:rPr>
        <w:t>26</w:t>
      </w:r>
      <w:r>
        <w:rPr>
          <w:rFonts w:hint="eastAsia" w:ascii="仿宋" w:hAnsi="仿宋" w:eastAsia="仿宋" w:cs="仿宋"/>
          <w:sz w:val="32"/>
          <w:szCs w:val="32"/>
        </w:rPr>
        <w:t>万元，占</w:t>
      </w:r>
      <w:r>
        <w:rPr>
          <w:rFonts w:hint="eastAsia" w:ascii="仿宋" w:hAnsi="仿宋" w:eastAsia="仿宋" w:cs="仿宋"/>
          <w:sz w:val="32"/>
          <w:szCs w:val="32"/>
          <w:lang w:val="en-US" w:eastAsia="zh-CN"/>
        </w:rPr>
        <w:t>9.79</w:t>
      </w:r>
      <w:r>
        <w:rPr>
          <w:rFonts w:hint="eastAsia" w:ascii="仿宋" w:hAnsi="仿宋" w:eastAsia="仿宋" w:cs="仿宋"/>
          <w:sz w:val="32"/>
          <w:szCs w:val="32"/>
        </w:rPr>
        <w:t>%。比上年预算数减少112.64万元，主要是人员减少。</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spacing w:line="578"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本单位为事业单位，无机关运行经费。</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年琼海市市场监管行政执法大队政府采购预算总额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color w:val="auto"/>
          <w:sz w:val="32"/>
          <w:szCs w:val="32"/>
        </w:rPr>
        <w:t>琼海市市场监管行政执法大队共有车辆3辆，其中，一般执法执勤用车3辆。单位价值100万元以上设备0台（套）。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年琼海市市场监管行政执法大队</w:t>
      </w:r>
      <w:r>
        <w:rPr>
          <w:rFonts w:hint="eastAsia" w:ascii="仿宋" w:hAnsi="仿宋" w:eastAsia="仿宋" w:cs="仿宋"/>
          <w:color w:val="auto"/>
          <w:sz w:val="32"/>
          <w:szCs w:val="32"/>
          <w:lang w:val="en-US" w:eastAsia="zh-CN"/>
        </w:rPr>
        <w:t>12</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244.60</w:t>
      </w:r>
      <w:r>
        <w:rPr>
          <w:rFonts w:hint="eastAsia" w:ascii="仿宋" w:hAnsi="仿宋" w:eastAsia="仿宋" w:cs="仿宋"/>
          <w:sz w:val="32"/>
          <w:szCs w:val="32"/>
        </w:rPr>
        <w:t>万元、政府性基金21万元。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hint="eastAsia" w:ascii="黑体" w:hAnsi="黑体" w:eastAsia="黑体"/>
          <w:b w:val="0"/>
          <w:bCs/>
          <w:sz w:val="32"/>
          <w:szCs w:val="32"/>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一、财政拨款收入：指本级财政当年拨付的资金。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二、事业收入：指事业单位开展专业业务活动及辅助活动取得的收入。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三、经营收入：指事业单位在专业业务活动及其辅助活动之外开展非独立核算经营活动取得的收入。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四、其他收入：指除上述“财政拨款收入”“事业收入”“经营收入”等以外的收入。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五、年初结转和结余：指以前年度尚未完成、结转到本年按有关规定继续使用的资金。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 xml:space="preserve">六、基本支出：指行政事业单位用于为保障其机构正常运转、完成日常工作任务而发生的人员支出和公用支出。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七、工资福利支出：反映单位开支的在职职工和编制外长期聘用人员的各类劳动报酬，以及为上述人员缴纳的各项社会保险费等。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 w:hAnsi="仿宋" w:eastAsia="仿宋" w:cs="仿宋"/>
          <w:color w:val="000000"/>
          <w:kern w:val="0"/>
          <w:sz w:val="32"/>
          <w:szCs w:val="30"/>
          <w:lang w:eastAsia="zh-CN"/>
        </w:rPr>
        <w:t>个人农业生产补贴、代缴社会保险费、</w:t>
      </w:r>
      <w:r>
        <w:rPr>
          <w:rFonts w:hint="eastAsia" w:ascii="仿宋" w:hAnsi="仿宋" w:eastAsia="仿宋" w:cs="仿宋"/>
          <w:color w:val="000000"/>
          <w:kern w:val="0"/>
          <w:sz w:val="32"/>
          <w:szCs w:val="30"/>
        </w:rPr>
        <w:t>其他等。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九、商品和服务支出：反映单位购买商品和服务的支出，包括办公费、</w:t>
      </w:r>
      <w:r>
        <w:rPr>
          <w:rFonts w:hint="eastAsia" w:ascii="仿宋" w:hAnsi="仿宋" w:eastAsia="仿宋" w:cs="仿宋"/>
          <w:color w:val="000000"/>
          <w:kern w:val="0"/>
          <w:sz w:val="32"/>
          <w:szCs w:val="30"/>
          <w:lang w:eastAsia="zh-CN"/>
        </w:rPr>
        <w:t>印刷费、咨询费、手续费、</w:t>
      </w:r>
      <w:r>
        <w:rPr>
          <w:rFonts w:hint="eastAsia" w:ascii="仿宋" w:hAnsi="仿宋" w:eastAsia="仿宋" w:cs="仿宋"/>
          <w:color w:val="000000"/>
          <w:kern w:val="0"/>
          <w:sz w:val="32"/>
          <w:szCs w:val="30"/>
        </w:rPr>
        <w:t>水费、电费、邮电费、</w:t>
      </w:r>
      <w:r>
        <w:rPr>
          <w:rFonts w:hint="eastAsia" w:ascii="仿宋" w:hAnsi="仿宋" w:eastAsia="仿宋" w:cs="仿宋"/>
          <w:color w:val="000000"/>
          <w:kern w:val="0"/>
          <w:sz w:val="32"/>
          <w:szCs w:val="30"/>
          <w:lang w:eastAsia="zh-CN"/>
        </w:rPr>
        <w:t>取暖费、物业管理费、</w:t>
      </w:r>
      <w:r>
        <w:rPr>
          <w:rFonts w:hint="eastAsia" w:ascii="仿宋" w:hAnsi="仿宋" w:eastAsia="仿宋" w:cs="仿宋"/>
          <w:color w:val="000000"/>
          <w:kern w:val="0"/>
          <w:sz w:val="32"/>
          <w:szCs w:val="30"/>
        </w:rPr>
        <w:t>差旅费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因公出国（境）费用</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维修（护）费、</w:t>
      </w:r>
      <w:r>
        <w:rPr>
          <w:rFonts w:hint="eastAsia" w:ascii="仿宋" w:hAnsi="仿宋" w:eastAsia="仿宋" w:cs="仿宋"/>
          <w:color w:val="000000"/>
          <w:kern w:val="0"/>
          <w:sz w:val="32"/>
          <w:szCs w:val="30"/>
          <w:lang w:eastAsia="zh-CN"/>
        </w:rPr>
        <w:t>租赁费、</w:t>
      </w:r>
      <w:r>
        <w:rPr>
          <w:rFonts w:hint="eastAsia" w:ascii="仿宋" w:hAnsi="仿宋" w:eastAsia="仿宋" w:cs="仿宋"/>
          <w:color w:val="000000"/>
          <w:kern w:val="0"/>
          <w:sz w:val="32"/>
          <w:szCs w:val="30"/>
        </w:rPr>
        <w:t>会议费、培训费、公务接待费、</w:t>
      </w:r>
      <w:r>
        <w:rPr>
          <w:rFonts w:hint="eastAsia" w:ascii="仿宋" w:hAnsi="仿宋" w:eastAsia="仿宋" w:cs="仿宋"/>
          <w:color w:val="000000"/>
          <w:kern w:val="0"/>
          <w:sz w:val="32"/>
          <w:szCs w:val="30"/>
          <w:lang w:eastAsia="zh-CN"/>
        </w:rPr>
        <w:t>专用材料费、被装购置费、专用燃料费、劳务费、委托业务费</w:t>
      </w:r>
      <w:r>
        <w:rPr>
          <w:rFonts w:hint="eastAsia" w:ascii="仿宋" w:hAnsi="仿宋" w:eastAsia="仿宋" w:cs="仿宋"/>
          <w:color w:val="000000"/>
          <w:kern w:val="0"/>
          <w:sz w:val="32"/>
          <w:szCs w:val="30"/>
        </w:rPr>
        <w:t>、工会经费</w:t>
      </w:r>
      <w:r>
        <w:rPr>
          <w:rFonts w:hint="eastAsia" w:ascii="仿宋" w:hAnsi="仿宋" w:eastAsia="仿宋" w:cs="仿宋"/>
          <w:color w:val="000000"/>
          <w:kern w:val="0"/>
          <w:sz w:val="32"/>
          <w:szCs w:val="30"/>
          <w:lang w:eastAsia="zh-CN"/>
        </w:rPr>
        <w:t>、</w:t>
      </w:r>
      <w:r>
        <w:rPr>
          <w:rFonts w:hint="eastAsia" w:ascii="仿宋" w:hAnsi="仿宋" w:eastAsia="仿宋" w:cs="仿宋"/>
          <w:color w:val="000000"/>
          <w:kern w:val="0"/>
          <w:sz w:val="32"/>
          <w:szCs w:val="30"/>
        </w:rPr>
        <w:t>福利费、公务用车运行维护费、</w:t>
      </w:r>
      <w:r>
        <w:rPr>
          <w:rFonts w:hint="eastAsia" w:ascii="仿宋" w:hAnsi="仿宋" w:eastAsia="仿宋" w:cs="仿宋"/>
          <w:color w:val="000000"/>
          <w:kern w:val="0"/>
          <w:sz w:val="32"/>
          <w:szCs w:val="30"/>
          <w:lang w:eastAsia="zh-CN"/>
        </w:rPr>
        <w:t>其他交通费用、税金及附加费用、</w:t>
      </w:r>
      <w:r>
        <w:rPr>
          <w:rFonts w:hint="eastAsia" w:ascii="仿宋" w:hAnsi="仿宋" w:eastAsia="仿宋" w:cs="仿宋"/>
          <w:color w:val="000000"/>
          <w:kern w:val="0"/>
          <w:sz w:val="32"/>
          <w:szCs w:val="30"/>
        </w:rPr>
        <w:t>其他</w:t>
      </w:r>
      <w:r>
        <w:rPr>
          <w:rFonts w:hint="eastAsia" w:ascii="仿宋" w:hAnsi="仿宋" w:eastAsia="仿宋" w:cs="仿宋"/>
          <w:color w:val="000000"/>
          <w:kern w:val="0"/>
          <w:sz w:val="32"/>
          <w:szCs w:val="30"/>
          <w:lang w:eastAsia="zh-CN"/>
        </w:rPr>
        <w:t>商品和服务支出</w:t>
      </w:r>
      <w:r>
        <w:rPr>
          <w:rFonts w:hint="eastAsia" w:ascii="仿宋" w:hAnsi="仿宋" w:eastAsia="仿宋" w:cs="仿宋"/>
          <w:color w:val="000000"/>
          <w:kern w:val="0"/>
          <w:sz w:val="32"/>
          <w:szCs w:val="30"/>
        </w:rPr>
        <w:t>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十、项目支出：指各部门、各单位为完成其特定的工作任务和事业发展目标所发生的支出。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 w:hAnsi="仿宋" w:eastAsia="仿宋" w:cs="仿宋"/>
          <w:color w:val="000000"/>
          <w:kern w:val="0"/>
          <w:sz w:val="32"/>
          <w:szCs w:val="30"/>
          <w:lang w:eastAsia="zh-CN"/>
        </w:rPr>
        <w:t>、牌照费</w:t>
      </w:r>
      <w:r>
        <w:rPr>
          <w:rFonts w:hint="eastAsia" w:ascii="仿宋" w:hAnsi="仿宋" w:eastAsia="仿宋" w:cs="仿宋"/>
          <w:color w:val="000000"/>
          <w:kern w:val="0"/>
          <w:sz w:val="32"/>
          <w:szCs w:val="30"/>
        </w:rPr>
        <w:t>）及燃料费、维修费、过路过桥费、保险费、安全奖励费用等支出；公务接待费指单位按规定开支的各类公务接待（含外宾接待）</w:t>
      </w:r>
      <w:r>
        <w:rPr>
          <w:rFonts w:hint="eastAsia" w:ascii="仿宋" w:hAnsi="仿宋" w:eastAsia="仿宋" w:cs="仿宋"/>
          <w:color w:val="000000"/>
          <w:kern w:val="0"/>
          <w:sz w:val="32"/>
          <w:szCs w:val="30"/>
          <w:lang w:eastAsia="zh-CN"/>
        </w:rPr>
        <w:t>费用等支出</w:t>
      </w:r>
      <w:r>
        <w:rPr>
          <w:rFonts w:hint="eastAsia" w:ascii="仿宋" w:hAnsi="仿宋" w:eastAsia="仿宋" w:cs="仿宋"/>
          <w:color w:val="000000"/>
          <w:kern w:val="0"/>
          <w:sz w:val="32"/>
          <w:szCs w:val="30"/>
        </w:rPr>
        <w:t>。</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pStyle w:val="2"/>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 xml:space="preserve">    十三、一般公共预算收入：指用于反映税收收入、专项收入、行政事业性收费收入、罚没收入、国有资源（资产）有偿使用收入、政府住房基金收入、捐赠收入等财政收入。</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十四、政府性基金收入：指是用于反映政府为支持某项事业发展或特定基础设施建设，依法依规向公民、法人和其他组织征收的以及出让土地、发行彩票等方式取得的具有专门用途的资金。</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十五、社会保障和就业支出（类）行政事业单位养老支出（款）机关事业单位基本养老保险缴费支出（项）：指机关事业单位实施养老保险制度由单位缴纳的基本养老保险费支出。</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十六、社会保障和就业支出（类）抚恤（款）其他优抚支出（项）：指机关事业单位用于优抚对象的支出。</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十七、卫生健康支出（类）公共卫生（款）卫生监督机构（项）：指用于市综合行政执法局部门卫生监督执法支出。</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十八、卫生健康支出（类）行政事业单位医疗（款）公务员医疗补助（项）：指财政部门集中安排的公务员医疗补助经费。</w:t>
      </w:r>
    </w:p>
    <w:p>
      <w:pPr>
        <w:pStyle w:val="2"/>
        <w:ind w:firstLine="640" w:firstLineChars="200"/>
        <w:rPr>
          <w:rFonts w:hint="eastAsia" w:ascii="仿宋" w:hAnsi="仿宋" w:eastAsia="仿宋" w:cs="仿宋"/>
          <w:color w:val="000000"/>
          <w:kern w:val="0"/>
          <w:sz w:val="32"/>
          <w:szCs w:val="30"/>
          <w:lang w:val="en-US" w:eastAsia="zh-CN"/>
        </w:rPr>
      </w:pPr>
      <w:r>
        <w:rPr>
          <w:rFonts w:hint="eastAsia" w:ascii="仿宋" w:hAnsi="仿宋" w:eastAsia="仿宋" w:cs="仿宋"/>
          <w:color w:val="000000"/>
          <w:kern w:val="0"/>
          <w:sz w:val="32"/>
          <w:szCs w:val="30"/>
          <w:lang w:val="en-US" w:eastAsia="zh-CN"/>
        </w:rPr>
        <w:t>十九、住房保障支出（类）住房改革支出（款）住房公积金（项）：指行政事业单位按人力资源和社会保障部、财政部规定的基本工资和津贴补贴以及规定比例为职工缴纳住房公积金。</w:t>
      </w:r>
    </w:p>
    <w:p>
      <w:pPr>
        <w:pStyle w:val="2"/>
        <w:rPr>
          <w:rFonts w:hint="eastAsia" w:ascii="仿宋" w:hAnsi="仿宋" w:eastAsia="仿宋" w:cs="仿宋"/>
          <w:color w:val="000000"/>
          <w:kern w:val="0"/>
          <w:sz w:val="32"/>
          <w:szCs w:val="30"/>
          <w:lang w:val="en-US" w:eastAsia="zh-CN"/>
        </w:rPr>
      </w:pPr>
    </w:p>
    <w:p>
      <w:pPr>
        <w:pStyle w:val="2"/>
        <w:rPr>
          <w:rFonts w:hint="eastAsia" w:ascii="仿宋" w:hAnsi="仿宋" w:eastAsia="仿宋" w:cs="仿宋"/>
          <w:color w:val="000000"/>
          <w:kern w:val="0"/>
          <w:sz w:val="32"/>
          <w:szCs w:val="30"/>
          <w:lang w:val="en-US" w:eastAsia="zh-CN"/>
        </w:rPr>
      </w:pPr>
    </w:p>
    <w:p>
      <w:pPr>
        <w:pStyle w:val="2"/>
        <w:rPr>
          <w:rFonts w:hint="eastAsia" w:ascii="仿宋" w:hAnsi="仿宋" w:eastAsia="仿宋" w:cs="仿宋"/>
          <w:color w:val="000000"/>
          <w:kern w:val="0"/>
          <w:sz w:val="32"/>
          <w:szCs w:val="30"/>
          <w:lang w:val="en-US" w:eastAsia="zh-CN"/>
        </w:rPr>
      </w:pPr>
    </w:p>
    <w:p>
      <w:pPr>
        <w:pStyle w:val="2"/>
        <w:rPr>
          <w:rFonts w:hint="eastAsia" w:ascii="仿宋" w:hAnsi="仿宋" w:eastAsia="仿宋" w:cs="仿宋"/>
          <w:color w:val="000000"/>
          <w:kern w:val="0"/>
          <w:sz w:val="32"/>
          <w:szCs w:val="30"/>
          <w:lang w:val="en-US" w:eastAsia="zh-CN"/>
        </w:rPr>
      </w:pPr>
    </w:p>
    <w:p>
      <w:pPr>
        <w:pStyle w:val="2"/>
        <w:rPr>
          <w:rFonts w:hint="eastAsia" w:ascii="仿宋" w:hAnsi="仿宋" w:eastAsia="仿宋" w:cs="仿宋"/>
          <w:color w:val="000000"/>
          <w:kern w:val="0"/>
          <w:sz w:val="32"/>
          <w:szCs w:val="30"/>
          <w:lang w:val="en-US" w:eastAsia="zh-CN"/>
        </w:rPr>
      </w:pPr>
    </w:p>
    <w:p>
      <w:pPr>
        <w:pStyle w:val="2"/>
        <w:rPr>
          <w:rFonts w:hint="default" w:eastAsia="仿宋"/>
          <w:lang w:val="en-US" w:eastAsia="zh-CN"/>
        </w:rPr>
      </w:pPr>
    </w:p>
    <w:p>
      <w:pPr>
        <w:spacing w:line="220" w:lineRule="atLeast"/>
      </w:pPr>
    </w:p>
    <w:sectPr>
      <w:footerReference r:id="rId7" w:type="default"/>
      <w:pgSz w:w="11906" w:h="16838"/>
      <w:pgMar w:top="2098" w:right="1474" w:bottom="1984" w:left="1587" w:header="851" w:footer="1587" w:gutter="0"/>
      <w:pgNumType w:start="1"/>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190E9F-D127-43A7-B5F4-42F27EB3634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CA06411-2DC3-4B2F-97C7-B9F8D6E7D46D}"/>
  </w:font>
  <w:font w:name="微软雅黑">
    <w:panose1 w:val="020B0503020204020204"/>
    <w:charset w:val="86"/>
    <w:family w:val="swiss"/>
    <w:pitch w:val="default"/>
    <w:sig w:usb0="80000287" w:usb1="2ACF3C50" w:usb2="00000016" w:usb3="00000000" w:csb0="0004001F" w:csb1="00000000"/>
    <w:embedRegular r:id="rId3" w:fontKey="{E94C41EC-51DE-4905-A515-8E0F3FD7789E}"/>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embedRegular r:id="rId4" w:fontKey="{0AC4581E-4B1B-4A67-9C1F-D9D0B626621C}"/>
  </w:font>
  <w:font w:name="方正小标宋简体">
    <w:panose1 w:val="02000000000000000000"/>
    <w:charset w:val="86"/>
    <w:family w:val="auto"/>
    <w:pitch w:val="default"/>
    <w:sig w:usb0="00000001" w:usb1="08000000" w:usb2="00000000" w:usb3="00000000" w:csb0="00040000" w:csb1="00000000"/>
    <w:embedRegular r:id="rId5" w:fontKey="{FFF03BF1-4425-4FD6-8044-52F8A2FA88DF}"/>
  </w:font>
  <w:font w:name="仿宋">
    <w:panose1 w:val="02010609060101010101"/>
    <w:charset w:val="86"/>
    <w:family w:val="auto"/>
    <w:pitch w:val="default"/>
    <w:sig w:usb0="800002BF" w:usb1="38CF7CFA" w:usb2="00000016" w:usb3="00000000" w:csb0="00040001" w:csb1="00000000"/>
    <w:embedRegular r:id="rId6" w:fontKey="{05D2E89C-8031-475B-B434-C01FC4468099}"/>
  </w:font>
  <w:font w:name="楷体">
    <w:panose1 w:val="02010609060101010101"/>
    <w:charset w:val="86"/>
    <w:family w:val="auto"/>
    <w:pitch w:val="default"/>
    <w:sig w:usb0="800002BF" w:usb1="38CF7CFA" w:usb2="00000016" w:usb3="00000000" w:csb0="00040001" w:csb1="00000000"/>
    <w:embedRegular r:id="rId7" w:fontKey="{BBD8A053-71A1-46B7-95F3-0489B7BBA7E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3"/>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720"/>
  <w:characterSpacingControl w:val="doNotCompress"/>
  <w:hdrShapeDefaults>
    <o:shapelayout v:ext="edit">
      <o:idmap v:ext="edit" data="3,4"/>
    </o:shapelayout>
  </w:hdrShapeDefaults>
  <w:footnotePr>
    <w:footnote w:id="0"/>
    <w:footnote w:id="1"/>
  </w:footnotePr>
  <w:endnotePr>
    <w:endnote w:id="0"/>
    <w:endnote w:id="1"/>
  </w:endnotePr>
  <w:compat>
    <w:useFELayout/>
    <w:compatSetting w:name="compatibilityMode" w:uri="http://schemas.microsoft.com/office/word" w:val="12"/>
  </w:compat>
  <w:docVars>
    <w:docVar w:name="commondata" w:val="eyJoZGlkIjoiNzI1YzBlNDQ5MGIwZGFiZDViOTY0YzA0YTAwNjMxMWIifQ=="/>
  </w:docVars>
  <w:rsids>
    <w:rsidRoot w:val="00D31D50"/>
    <w:rsid w:val="00323B43"/>
    <w:rsid w:val="003D37D8"/>
    <w:rsid w:val="00426133"/>
    <w:rsid w:val="004358AB"/>
    <w:rsid w:val="00481283"/>
    <w:rsid w:val="008B7726"/>
    <w:rsid w:val="00D31D50"/>
    <w:rsid w:val="02493090"/>
    <w:rsid w:val="028247F4"/>
    <w:rsid w:val="03EE2141"/>
    <w:rsid w:val="04B36EE7"/>
    <w:rsid w:val="05355B4E"/>
    <w:rsid w:val="05486888"/>
    <w:rsid w:val="066E7569"/>
    <w:rsid w:val="076D15CF"/>
    <w:rsid w:val="082A3964"/>
    <w:rsid w:val="0AA479FE"/>
    <w:rsid w:val="0AAB6CB6"/>
    <w:rsid w:val="0AEC6CAF"/>
    <w:rsid w:val="0BF71DAF"/>
    <w:rsid w:val="0C6E3E61"/>
    <w:rsid w:val="0D101598"/>
    <w:rsid w:val="0D352B8F"/>
    <w:rsid w:val="0DC67972"/>
    <w:rsid w:val="0F0071CD"/>
    <w:rsid w:val="0F5C08A7"/>
    <w:rsid w:val="0F6F7F34"/>
    <w:rsid w:val="11183237"/>
    <w:rsid w:val="11A95ECD"/>
    <w:rsid w:val="143F2545"/>
    <w:rsid w:val="14575AE1"/>
    <w:rsid w:val="15F555B1"/>
    <w:rsid w:val="17D336D0"/>
    <w:rsid w:val="180B10BC"/>
    <w:rsid w:val="19EF056A"/>
    <w:rsid w:val="1A0758B3"/>
    <w:rsid w:val="1ACB068F"/>
    <w:rsid w:val="1B067919"/>
    <w:rsid w:val="1B0D4E49"/>
    <w:rsid w:val="1B1C713C"/>
    <w:rsid w:val="1C177904"/>
    <w:rsid w:val="1C2344FA"/>
    <w:rsid w:val="1CAE0268"/>
    <w:rsid w:val="1E3112EC"/>
    <w:rsid w:val="1F157D47"/>
    <w:rsid w:val="1F2111C5"/>
    <w:rsid w:val="1F486752"/>
    <w:rsid w:val="1F9000F9"/>
    <w:rsid w:val="204754AE"/>
    <w:rsid w:val="23D3791A"/>
    <w:rsid w:val="24C8689B"/>
    <w:rsid w:val="263F0183"/>
    <w:rsid w:val="264659B5"/>
    <w:rsid w:val="2658699B"/>
    <w:rsid w:val="27386F7D"/>
    <w:rsid w:val="27A641AF"/>
    <w:rsid w:val="27E45486"/>
    <w:rsid w:val="29C410CB"/>
    <w:rsid w:val="2A473AAA"/>
    <w:rsid w:val="2AE9690F"/>
    <w:rsid w:val="2BDC6B00"/>
    <w:rsid w:val="2D9D235F"/>
    <w:rsid w:val="2F326AD7"/>
    <w:rsid w:val="303D5733"/>
    <w:rsid w:val="3201558E"/>
    <w:rsid w:val="32A001FB"/>
    <w:rsid w:val="32E901E3"/>
    <w:rsid w:val="34727975"/>
    <w:rsid w:val="34B00BC9"/>
    <w:rsid w:val="366C6D72"/>
    <w:rsid w:val="374D74CA"/>
    <w:rsid w:val="3A5F086E"/>
    <w:rsid w:val="3A6A7A6C"/>
    <w:rsid w:val="3B057795"/>
    <w:rsid w:val="3B1672AC"/>
    <w:rsid w:val="3C8C1F1C"/>
    <w:rsid w:val="3D9F17DB"/>
    <w:rsid w:val="3F3E5024"/>
    <w:rsid w:val="3FF51B86"/>
    <w:rsid w:val="406F63F9"/>
    <w:rsid w:val="409A44DC"/>
    <w:rsid w:val="40CF687B"/>
    <w:rsid w:val="417E204F"/>
    <w:rsid w:val="423C1CEE"/>
    <w:rsid w:val="426E5C20"/>
    <w:rsid w:val="42F02AD9"/>
    <w:rsid w:val="44807647"/>
    <w:rsid w:val="46AC6D17"/>
    <w:rsid w:val="47176886"/>
    <w:rsid w:val="475947A9"/>
    <w:rsid w:val="47F60B91"/>
    <w:rsid w:val="48FD5F50"/>
    <w:rsid w:val="4A007AA5"/>
    <w:rsid w:val="4A203CA4"/>
    <w:rsid w:val="4AFB026D"/>
    <w:rsid w:val="4CB767A6"/>
    <w:rsid w:val="4D782049"/>
    <w:rsid w:val="4D981DA3"/>
    <w:rsid w:val="4DA66496"/>
    <w:rsid w:val="4F8B1BBF"/>
    <w:rsid w:val="5039786D"/>
    <w:rsid w:val="505F4DFA"/>
    <w:rsid w:val="50E377D9"/>
    <w:rsid w:val="511271AD"/>
    <w:rsid w:val="51F17E81"/>
    <w:rsid w:val="521A1920"/>
    <w:rsid w:val="525C7843"/>
    <w:rsid w:val="52CF270B"/>
    <w:rsid w:val="5363126C"/>
    <w:rsid w:val="53746E0E"/>
    <w:rsid w:val="53A72D40"/>
    <w:rsid w:val="54040192"/>
    <w:rsid w:val="54CD67D6"/>
    <w:rsid w:val="54FB60F9"/>
    <w:rsid w:val="556F1F83"/>
    <w:rsid w:val="56EC1C55"/>
    <w:rsid w:val="570D1A54"/>
    <w:rsid w:val="58CD3249"/>
    <w:rsid w:val="596A049B"/>
    <w:rsid w:val="59822285"/>
    <w:rsid w:val="5C9127DF"/>
    <w:rsid w:val="5D00337E"/>
    <w:rsid w:val="5F41673E"/>
    <w:rsid w:val="60B44CEE"/>
    <w:rsid w:val="61706C06"/>
    <w:rsid w:val="62830E1C"/>
    <w:rsid w:val="635D166D"/>
    <w:rsid w:val="64BE25DF"/>
    <w:rsid w:val="654E3963"/>
    <w:rsid w:val="65DA0D53"/>
    <w:rsid w:val="65E322FD"/>
    <w:rsid w:val="666351EC"/>
    <w:rsid w:val="66974E96"/>
    <w:rsid w:val="67825B46"/>
    <w:rsid w:val="68C301C4"/>
    <w:rsid w:val="68E5013A"/>
    <w:rsid w:val="69603C65"/>
    <w:rsid w:val="69831701"/>
    <w:rsid w:val="69B00E99"/>
    <w:rsid w:val="6A3273AF"/>
    <w:rsid w:val="6AB51D8E"/>
    <w:rsid w:val="6AE61F48"/>
    <w:rsid w:val="6B3C3ACB"/>
    <w:rsid w:val="6C1F1BB5"/>
    <w:rsid w:val="6CB421AA"/>
    <w:rsid w:val="6CBA7B30"/>
    <w:rsid w:val="6E0B0643"/>
    <w:rsid w:val="6EEA46FD"/>
    <w:rsid w:val="6F286FD3"/>
    <w:rsid w:val="6F3D1479"/>
    <w:rsid w:val="705F2678"/>
    <w:rsid w:val="71C823A7"/>
    <w:rsid w:val="746720C3"/>
    <w:rsid w:val="75FA2D4B"/>
    <w:rsid w:val="76171B4F"/>
    <w:rsid w:val="774E15A1"/>
    <w:rsid w:val="775070C7"/>
    <w:rsid w:val="775A6197"/>
    <w:rsid w:val="777C610E"/>
    <w:rsid w:val="77D777E8"/>
    <w:rsid w:val="780314FA"/>
    <w:rsid w:val="79984D55"/>
    <w:rsid w:val="7A292192"/>
    <w:rsid w:val="7AE2272C"/>
    <w:rsid w:val="7BC2255D"/>
    <w:rsid w:val="7D5E1E12"/>
    <w:rsid w:val="7E2354C6"/>
    <w:rsid w:val="7E7044F2"/>
    <w:rsid w:val="7ED2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qFormat/>
    <w:uiPriority w:val="0"/>
    <w:pPr>
      <w:spacing w:line="500" w:lineRule="exact"/>
    </w:pPr>
    <w:rPr>
      <w:rFonts w:ascii="仿宋_GB2312" w:eastAsia="仿宋_GB2312"/>
      <w:sz w:val="32"/>
    </w:rPr>
  </w:style>
  <w:style w:type="paragraph" w:styleId="3">
    <w:name w:val="footer"/>
    <w:basedOn w:val="1"/>
    <w:autoRedefine/>
    <w:semiHidden/>
    <w:unhideWhenUsed/>
    <w:qFormat/>
    <w:uiPriority w:val="99"/>
    <w:pPr>
      <w:tabs>
        <w:tab w:val="center" w:pos="4153"/>
        <w:tab w:val="right" w:pos="8306"/>
      </w:tabs>
      <w:snapToGrid w:val="0"/>
      <w:jc w:val="left"/>
    </w:pPr>
    <w:rPr>
      <w:sz w:val="18"/>
      <w:szCs w:val="18"/>
    </w:rPr>
  </w:style>
  <w:style w:type="paragraph" w:customStyle="1" w:styleId="6">
    <w:name w:val="List Paragraph"/>
    <w:basedOn w:val="1"/>
    <w:autoRedefine/>
    <w:qFormat/>
    <w:uiPriority w:val="34"/>
    <w:pPr>
      <w:ind w:firstLine="420" w:firstLineChars="200"/>
    </w:pPr>
  </w:style>
  <w:style w:type="paragraph" w:customStyle="1" w:styleId="7">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色彩</cp:lastModifiedBy>
  <dcterms:modified xsi:type="dcterms:W3CDTF">2024-03-04T07:56:19Z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79DA6C5EF05C4EB7BA09100C02D6E84C</vt:lpwstr>
  </property>
</Properties>
</file>