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hint="eastAsia" w:ascii="方正小标宋简体" w:eastAsia="方正小标宋简体"/>
          <w:b/>
          <w:color w:val="FF0000"/>
          <w:spacing w:val="40"/>
          <w:sz w:val="28"/>
          <w:szCs w:val="28"/>
        </w:rPr>
      </w:pPr>
    </w:p>
    <w:p>
      <w:pPr>
        <w:pStyle w:val="3"/>
        <w:rPr>
          <w:rFonts w:hint="eastAsia"/>
        </w:rPr>
      </w:pPr>
    </w:p>
    <w:p>
      <w:pPr>
        <w:jc w:val="distribute"/>
        <w:rPr>
          <w:rFonts w:hint="eastAsia" w:ascii="方正小标宋简体" w:eastAsia="方正小标宋简体"/>
          <w:b/>
          <w:color w:val="FF0000"/>
          <w:spacing w:val="40"/>
          <w:sz w:val="72"/>
          <w:szCs w:val="72"/>
          <w:lang w:eastAsia="zh-CN"/>
        </w:rPr>
      </w:pPr>
      <w:r>
        <w:rPr>
          <w:rFonts w:hint="eastAsia" w:ascii="方正小标宋简体" w:eastAsia="方正小标宋简体"/>
          <w:b/>
          <w:color w:val="FF0000"/>
          <w:spacing w:val="40"/>
          <w:sz w:val="72"/>
          <w:szCs w:val="72"/>
        </w:rPr>
        <w:t>琼海市</w:t>
      </w:r>
      <w:r>
        <w:rPr>
          <w:rFonts w:hint="eastAsia" w:ascii="方正小标宋简体" w:eastAsia="方正小标宋简体"/>
          <w:b/>
          <w:color w:val="FF0000"/>
          <w:spacing w:val="40"/>
          <w:sz w:val="72"/>
          <w:szCs w:val="72"/>
          <w:lang w:eastAsia="zh-CN"/>
        </w:rPr>
        <w:t>乡村振兴局</w:t>
      </w:r>
    </w:p>
    <w:p>
      <w:pPr>
        <w:pStyle w:val="10"/>
        <w:jc w:val="distribute"/>
        <w:rPr>
          <w:rFonts w:hint="eastAsia" w:ascii="方正小标宋简体" w:eastAsia="方正小标宋简体"/>
          <w:b/>
          <w:color w:val="FF0000"/>
          <w:spacing w:val="40"/>
          <w:sz w:val="72"/>
          <w:szCs w:val="72"/>
          <w:lang w:eastAsia="zh-CN"/>
        </w:rPr>
      </w:pPr>
      <w:r>
        <w:rPr>
          <w:rFonts w:hint="eastAsia" w:ascii="方正小标宋简体" w:eastAsia="方正小标宋简体"/>
          <w:b/>
          <w:color w:val="FF0000"/>
          <w:spacing w:val="40"/>
          <w:sz w:val="72"/>
          <w:szCs w:val="72"/>
          <w:lang w:eastAsia="zh-CN"/>
        </w:rPr>
        <w:t>琼海市供销合作联社</w:t>
      </w:r>
    </w:p>
    <w:p>
      <w:pPr>
        <w:spacing w:line="480" w:lineRule="exact"/>
        <w:ind w:left="0" w:leftChars="0" w:firstLine="130" w:firstLineChars="62"/>
        <w:jc w:val="center"/>
        <w:rPr>
          <w:rFonts w:hint="default" w:ascii="楷体" w:hAnsi="楷体" w:eastAsia="楷体_GB2312"/>
          <w:sz w:val="32"/>
          <w:szCs w:val="32"/>
          <w:lang w:val="en-US"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279400</wp:posOffset>
                </wp:positionV>
                <wp:extent cx="5808980" cy="349250"/>
                <wp:effectExtent l="0" t="0" r="1270" b="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8980" cy="349250"/>
                          <a:chOff x="5077" y="3005"/>
                          <a:chExt cx="8640" cy="550"/>
                        </a:xfrm>
                      </wpg:grpSpPr>
                      <wps:wsp>
                        <wps:cNvPr id="1" name="直接连接符 1"/>
                        <wps:cNvCnPr/>
                        <wps:spPr>
                          <a:xfrm flipV="1">
                            <a:off x="5077" y="3200"/>
                            <a:ext cx="8640" cy="40"/>
                          </a:xfrm>
                          <a:prstGeom prst="line">
                            <a:avLst/>
                          </a:prstGeom>
                          <a:ln w="28575" cap="flat" cmpd="sng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" name="直接连接符 2"/>
                        <wps:cNvCnPr/>
                        <wps:spPr>
                          <a:xfrm>
                            <a:off x="13672" y="3005"/>
                            <a:ext cx="1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" name="直接连接符 3"/>
                        <wps:cNvCnPr/>
                        <wps:spPr>
                          <a:xfrm>
                            <a:off x="12922" y="3555"/>
                            <a:ext cx="1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.75pt;margin-top:22pt;height:27.5pt;width:457.4pt;z-index:251659264;mso-width-relative:page;mso-height-relative:page;" coordorigin="5077,3005" coordsize="8640,550" o:gfxdata="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">
                <o:lock v:ext="edit" aspectratio="f"/>
                <v:line id="_x0000_s1026" o:spid="_x0000_s1026" o:spt="20" style="position:absolute;left:5077;top:3200;flip:y;height:40;width:8640;" filled="f" stroked="t" coordsize="21600,21600" o:gfxdata="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IWj/tugAAANoA&#10;AAAPAAAAAAAAAAEAIAAAACIAAABkcnMvZG93bnJldi54bWxQSwECFAAUAAAACACHTuJAMy8FnjsA&#10;AAA5AAAAEAAAAAAAAAABACAAAAAJAQAAZHJzL3NoYXBleG1sLnhtbFBLBQYAAAAABgAGAFsBAACz&#10;AwAAAAA=&#10;">
                  <v:fill on="f" focussize="0,0"/>
                  <v:stroke weight="2.25pt" color="#FF0000" joinstyle="round"/>
                  <v:imagedata o:title=""/>
                  <o:lock v:ext="edit" aspectratio="f"/>
                </v:line>
                <v:line id="_x0000_s1026" o:spid="_x0000_s1026" o:spt="20" style="position:absolute;left:13672;top:3005;height:0;width:1;" filled="f" stroked="t" coordsize="21600,21600" o:gfxdata="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vSEfO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12922;top:3555;height:0;width:1;" filled="f" stroked="t" coordsize="21600,21600" o:gfxdata="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SetGi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 w:ascii="仿宋_GB2312" w:hAnsi="Calibri" w:eastAsia="仿宋_GB2312"/>
          <w:sz w:val="32"/>
          <w:szCs w:val="32"/>
        </w:rPr>
        <w:t>海</w:t>
      </w:r>
      <w:r>
        <w:rPr>
          <w:rFonts w:hint="eastAsia" w:ascii="仿宋_GB2312" w:hAnsi="Calibri" w:eastAsia="仿宋_GB2312"/>
          <w:sz w:val="32"/>
          <w:szCs w:val="32"/>
          <w:lang w:eastAsia="zh-CN"/>
        </w:rPr>
        <w:t>振</w:t>
      </w:r>
      <w:r>
        <w:rPr>
          <w:rFonts w:hint="eastAsia" w:ascii="仿宋_GB2312" w:hAnsi="Calibri" w:eastAsia="仿宋_GB2312"/>
          <w:sz w:val="32"/>
          <w:szCs w:val="32"/>
        </w:rPr>
        <w:t>〔202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Calibri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Calibri" w:eastAsia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191919"/>
          <w:spacing w:val="0"/>
          <w:w w:val="100"/>
          <w:sz w:val="44"/>
          <w:szCs w:val="44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191919"/>
          <w:spacing w:val="0"/>
          <w:w w:val="100"/>
          <w:sz w:val="44"/>
          <w:szCs w:val="44"/>
          <w:shd w:val="clear" w:color="auto" w:fill="FFFFFF"/>
          <w:lang w:eastAsia="zh-CN"/>
        </w:rPr>
        <w:t>关于印发《琼海市202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191919"/>
          <w:spacing w:val="0"/>
          <w:w w:val="100"/>
          <w:sz w:val="44"/>
          <w:szCs w:val="44"/>
          <w:shd w:val="clear" w:color="auto" w:fill="FFFFFF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191919"/>
          <w:spacing w:val="0"/>
          <w:w w:val="100"/>
          <w:sz w:val="44"/>
          <w:szCs w:val="44"/>
          <w:shd w:val="clear" w:color="auto" w:fill="FFFFFF"/>
          <w:lang w:eastAsia="zh-CN"/>
        </w:rPr>
        <w:t>年消费帮扶月活动方案》的通知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各镇人民政府、彬村山华侨经济区管委会，全市“双联双帮”单位：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进一步释放消费潜力，动员广大党员干部、社会各界力量积极参与消费帮扶，凝心聚力带动农民稳定增收，进一步巩固拓展脱贫攻坚成果，助力乡村全面振兴。现将《琼海市2023年消费帮扶月活动方案》印发给你们，请高度重视，认真组织落实。</w:t>
      </w:r>
    </w:p>
    <w:p>
      <w:pPr>
        <w:pStyle w:val="4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280" w:firstLineChars="4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琼海市乡村振兴局       琼海市供销合作联社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120" w:firstLineChars="16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2023年5月15日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4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4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4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4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4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4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191919"/>
          <w:spacing w:val="0"/>
          <w:w w:val="100"/>
          <w:sz w:val="44"/>
          <w:szCs w:val="44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191919"/>
          <w:spacing w:val="0"/>
          <w:w w:val="100"/>
          <w:sz w:val="44"/>
          <w:szCs w:val="44"/>
          <w:shd w:val="clear" w:color="auto" w:fill="FFFFFF"/>
          <w:lang w:eastAsia="zh-CN"/>
        </w:rPr>
        <w:t>琼海市202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191919"/>
          <w:spacing w:val="0"/>
          <w:w w:val="100"/>
          <w:sz w:val="44"/>
          <w:szCs w:val="44"/>
          <w:shd w:val="clear" w:color="auto" w:fill="FFFFFF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191919"/>
          <w:spacing w:val="0"/>
          <w:w w:val="100"/>
          <w:sz w:val="44"/>
          <w:szCs w:val="44"/>
          <w:shd w:val="clear" w:color="auto" w:fill="FFFFFF"/>
          <w:lang w:eastAsia="zh-CN"/>
        </w:rPr>
        <w:t>年消费帮扶月活动方案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 年是全面贯彻落实党的二十大精神的开局之年，是巩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固拓展脱贫攻坚成果同乡村振兴有效衔接的关键之年。组织开展消费帮扶月活动，对进一步动员社会各界力量，凝心聚力推进乡村振兴具有重要意义。结合我市实际，制定本方案。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一、活动目的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充分发挥我市抓党建促乡村振兴“双联双帮”工作机制优势，通过开展系列活动，进一步调动广大党员干部、社会各界参与乡村振兴的主动性和积极性，营造人人关心、关注、支持、参与乡村振兴的氛围，凝心聚力带动农民稳定增收，进一步巩固拓展脱贫攻坚成果，助力乡村全面振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二、活动主题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“助农增收守底线 消费帮扶促振兴”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三、实施步骤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（一）筹备阶段：2023年5月16日至5月26日。各相关单位要按照《方案》要求做好动员部署，结合本地实际制定具体计划，明确责任分工，统筹推进各项工作。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（二）实施阶段：5月27日至6月30日。各相关单位按计划实施各项活动，对好案例、好经验、好做法及时做好宣传动员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（三）总结阶段：6月30日至7月10日。各有关单位按时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报送活动总结。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四、活动内容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（一）拓展消费助农大集市功能。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充分发挥好海南乡村振兴网、海南爱心大集市两个重要消费帮扶平台作用，主动谋划、积极参与消费帮扶月活动。举办消费助农大集市分会场，在全市范围内举办不少于3场消费助农大集市，组织各镇（区）推荐具有本镇（区）特色的品牌产品参与消费助农大集市活动，丰富线下消费帮扶氛围。（牵头单位：市供销社、市乡村振兴局；配合单位：各镇（区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（二）开展线上线下联动。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组织开展“村小集”流动市集活动，收集各镇（区）待销农产品进驻市场，在北门农产品平价市场消费帮扶产品销售专区形成助农集市常态化，通过自销或代销等方式为为产品销售困难农户、企业开放市集摊位，活动期间举办不少于3场。充分运用电商直播培训学员资源，在果园、农田、车间等生产区域开展不少于 2 场电商直播活动。组织各“双联双帮”单位参与海南乡村振兴网云产销等电商平台开展满减促销、产地直销、直播带货、话题挑战、短视频推广等形式线上活动。持续推动消费帮扶“三专”工作，引导相关企业积极销售消费帮扶重点产品，营造活动期间内良好的消费氛围。（牵头单位：市供销社、市乡村振兴局、市商务局；配合单位：各镇（区）、各“双联双帮”单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（三）开展线上线下联动。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文旅部门结合乡村民宿、共享农庄等旅游产品，配套开展采摘游、精致露营、乡村音乐会、节日活动、特色玩乐等活动，推动旅农融合发展，在乡村旅游形成“百花齐放”的全域发展态势，助力乡村振兴。（牵头单位：市文旅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（四）注重发挥品牌带动效应。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指导各镇（区）在活动期间筛选出一批具有地域特色、符合时令、便于配送的高质量农产品，形成我市消费帮扶产品清单上报省乡村振兴局，为我省消费帮扶农产品提供公用品牌赋能。（牵头单位：市乡村振兴局、市供销社；配合单位：各镇（区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（五）组织定点帮扶活动。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各“双联双帮”单位要指派专人对接消费帮扶工作，并做好消费帮扶数据统计上报工作。</w:t>
      </w:r>
      <w:r>
        <w:rPr>
          <w:rFonts w:hint="eastAsia" w:ascii="仿宋_GB2312" w:hAnsi="仿宋_GB2312" w:eastAsia="仿宋_GB2312" w:cs="Times New Roman"/>
          <w:color w:val="auto"/>
          <w:sz w:val="32"/>
        </w:rPr>
        <w:t>有食堂、餐厅</w:t>
      </w:r>
      <w:r>
        <w:rPr>
          <w:rFonts w:hint="eastAsia" w:ascii="仿宋_GB2312" w:hAnsi="仿宋_GB2312" w:eastAsia="仿宋_GB2312" w:cs="Times New Roman"/>
          <w:color w:val="auto"/>
          <w:sz w:val="32"/>
          <w:lang w:eastAsia="zh-CN"/>
        </w:rPr>
        <w:t>等有条件</w:t>
      </w:r>
      <w:r>
        <w:rPr>
          <w:rFonts w:hint="eastAsia" w:ascii="仿宋_GB2312" w:hAnsi="仿宋_GB2312" w:eastAsia="仿宋_GB2312" w:cs="Times New Roman"/>
          <w:color w:val="auto"/>
          <w:sz w:val="32"/>
        </w:rPr>
        <w:t>的单位可以根据实际情况和需求，与</w:t>
      </w:r>
      <w:r>
        <w:rPr>
          <w:rFonts w:hint="eastAsia" w:ascii="仿宋_GB2312" w:hAnsi="仿宋_GB2312" w:eastAsia="仿宋_GB2312" w:cs="Times New Roman"/>
          <w:color w:val="auto"/>
          <w:sz w:val="32"/>
          <w:lang w:eastAsia="zh-CN"/>
        </w:rPr>
        <w:t>脱贫</w:t>
      </w:r>
      <w:r>
        <w:rPr>
          <w:rFonts w:hint="eastAsia" w:ascii="仿宋_GB2312" w:hAnsi="仿宋_GB2312" w:eastAsia="仿宋_GB2312" w:cs="Times New Roman"/>
          <w:color w:val="auto"/>
          <w:sz w:val="32"/>
        </w:rPr>
        <w:t>户或带贫合作社签订认购协议</w:t>
      </w:r>
      <w:r>
        <w:rPr>
          <w:rFonts w:hint="eastAsia" w:ascii="仿宋_GB2312" w:hAnsi="仿宋_GB2312" w:eastAsia="仿宋_GB2312" w:cs="Times New Roman"/>
          <w:color w:val="auto"/>
          <w:sz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各“双联双帮”单位、帮扶联系人开展走访帮扶活动，以线下消费、集中采购、订单预定等形式在定点帮扶村和帮扶对象家庭做好消费帮扶工作。举办3场定点帮扶村农产品展销活动。（牵头单位：市乡村振兴局；配合单位：各镇（区）、各“双联双帮”单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（六）积极动员社会力量。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活动期间协调市工商联等相关单位开展“万企兴万村”海南行动——消费帮扶专场活动，围绕实施产业项目对接、特色品牌产品、组织公益消费活动，动员引导各级政府部门、事业单位、社会组织、民营企业广泛参与活动。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导符合条件的企业参与抖音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电商“山货上头条”海南站活动。（牵头单位：市乡村振兴局；配合单位：市工商联）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（七）做好宣传引导工作。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各镇（区）通过LED电子显示屏等滚动播放乡村振兴公益广告，在主要路段和脱贫村挂横幅、贴标语、刷口号，启动宣传车、发放宣传册、开展政策咨询等活动。组织协调各类媒体，采取多种形式，大力宣传乡村振兴的先进典型、工作成效、经验和做法，通过宣传引导，营造良好氛围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（牵头单位：市乡村振兴局；配合单位：各镇（区））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五、工作要求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（一）加强组织领导。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全市消费帮扶月活动由市乡村振兴局、市供销社负责牵头工作。各镇（区）要积极配合，指定专人抓好落实。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（二）加强信息报送。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各单位要认真统计消费帮扶月活动成果，重点是各级领导、“双联双帮”单位、帮扶联系人活动情况以及各级媒体宣传报道情况，于7月10日前分别报送市乡村振兴局和市供销社。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Times New Roman"/>
          <w:color w:val="auto"/>
          <w:sz w:val="32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（三）强化督促落实。</w:t>
      </w:r>
      <w:r>
        <w:rPr>
          <w:rFonts w:hint="eastAsia" w:ascii="仿宋_GB2312" w:hAnsi="仿宋_GB2312" w:eastAsia="仿宋_GB2312" w:cs="Times New Roman"/>
          <w:color w:val="auto"/>
          <w:sz w:val="32"/>
        </w:rPr>
        <w:t>为完善消费</w:t>
      </w:r>
      <w:r>
        <w:rPr>
          <w:rFonts w:hint="eastAsia" w:ascii="仿宋_GB2312" w:hAnsi="仿宋_GB2312" w:eastAsia="仿宋_GB2312" w:cs="Times New Roman"/>
          <w:color w:val="auto"/>
          <w:sz w:val="32"/>
          <w:lang w:eastAsia="zh-CN"/>
        </w:rPr>
        <w:t>帮扶</w:t>
      </w:r>
      <w:r>
        <w:rPr>
          <w:rFonts w:hint="eastAsia" w:ascii="仿宋_GB2312" w:hAnsi="仿宋_GB2312" w:eastAsia="仿宋_GB2312" w:cs="Times New Roman"/>
          <w:color w:val="auto"/>
          <w:sz w:val="32"/>
        </w:rPr>
        <w:t>工作长效机制，</w:t>
      </w:r>
      <w:r>
        <w:rPr>
          <w:rFonts w:hint="eastAsia" w:ascii="仿宋_GB2312" w:hAnsi="仿宋_GB2312" w:eastAsia="仿宋_GB2312" w:cs="Times New Roman"/>
          <w:color w:val="auto"/>
          <w:sz w:val="32"/>
          <w:lang w:eastAsia="zh-CN"/>
        </w:rPr>
        <w:t>我市</w:t>
      </w:r>
      <w:r>
        <w:rPr>
          <w:rFonts w:hint="eastAsia" w:ascii="仿宋_GB2312" w:hAnsi="仿宋_GB2312" w:eastAsia="仿宋_GB2312" w:cs="Times New Roman"/>
          <w:color w:val="auto"/>
          <w:sz w:val="32"/>
        </w:rPr>
        <w:t>将把各单位开展消费行动的工作情况纳入年度考核内容</w:t>
      </w:r>
      <w:r>
        <w:rPr>
          <w:rFonts w:hint="eastAsia" w:ascii="仿宋_GB2312" w:hAnsi="仿宋_GB2312" w:eastAsia="仿宋_GB2312" w:cs="Times New Roman"/>
          <w:color w:val="auto"/>
          <w:sz w:val="32"/>
          <w:lang w:eastAsia="zh-CN"/>
        </w:rPr>
        <w:t>。每月</w:t>
      </w:r>
      <w:r>
        <w:rPr>
          <w:rFonts w:hint="eastAsia" w:ascii="仿宋_GB2312" w:hAnsi="仿宋_GB2312" w:eastAsia="仿宋_GB2312" w:cs="Times New Roman"/>
          <w:color w:val="auto"/>
          <w:sz w:val="32"/>
        </w:rPr>
        <w:t>将根据各单位食堂采购</w:t>
      </w:r>
      <w:r>
        <w:rPr>
          <w:rFonts w:hint="eastAsia" w:ascii="仿宋_GB2312" w:hAnsi="仿宋_GB2312" w:eastAsia="仿宋_GB2312" w:cs="Times New Roman"/>
          <w:color w:val="auto"/>
          <w:sz w:val="32"/>
          <w:lang w:eastAsia="zh-CN"/>
        </w:rPr>
        <w:t>情况</w:t>
      </w:r>
      <w:r>
        <w:rPr>
          <w:rFonts w:hint="eastAsia" w:ascii="仿宋_GB2312" w:hAnsi="仿宋_GB2312" w:eastAsia="仿宋_GB2312" w:cs="Times New Roman"/>
          <w:color w:val="auto"/>
          <w:sz w:val="32"/>
        </w:rPr>
        <w:t>和</w:t>
      </w:r>
      <w:r>
        <w:rPr>
          <w:rFonts w:hint="eastAsia" w:ascii="仿宋_GB2312" w:hAnsi="仿宋_GB2312" w:eastAsia="仿宋_GB2312" w:cs="Times New Roman"/>
          <w:color w:val="auto"/>
          <w:sz w:val="32"/>
          <w:lang w:eastAsia="zh-CN"/>
        </w:rPr>
        <w:t>在编</w:t>
      </w:r>
      <w:r>
        <w:rPr>
          <w:rFonts w:hint="eastAsia" w:ascii="仿宋_GB2312" w:hAnsi="仿宋_GB2312" w:eastAsia="仿宋_GB2312" w:cs="Times New Roman"/>
          <w:color w:val="auto"/>
          <w:sz w:val="32"/>
          <w:lang w:val="en-US" w:eastAsia="zh-CN"/>
        </w:rPr>
        <w:t>在岗干部</w:t>
      </w:r>
      <w:r>
        <w:rPr>
          <w:rFonts w:hint="eastAsia" w:ascii="仿宋_GB2312" w:hAnsi="仿宋_GB2312" w:eastAsia="仿宋_GB2312" w:cs="Times New Roman"/>
          <w:color w:val="auto"/>
          <w:sz w:val="32"/>
        </w:rPr>
        <w:t>消费</w:t>
      </w:r>
      <w:r>
        <w:rPr>
          <w:rFonts w:hint="eastAsia" w:ascii="仿宋_GB2312" w:hAnsi="仿宋_GB2312" w:eastAsia="仿宋_GB2312" w:cs="Times New Roman"/>
          <w:color w:val="auto"/>
          <w:sz w:val="32"/>
          <w:lang w:eastAsia="zh-CN"/>
        </w:rPr>
        <w:t>帮扶</w:t>
      </w:r>
      <w:r>
        <w:rPr>
          <w:rFonts w:hint="eastAsia" w:ascii="仿宋_GB2312" w:hAnsi="仿宋_GB2312" w:eastAsia="仿宋_GB2312" w:cs="Times New Roman"/>
          <w:color w:val="auto"/>
          <w:sz w:val="32"/>
        </w:rPr>
        <w:t>工作情况进行</w:t>
      </w:r>
      <w:r>
        <w:rPr>
          <w:rFonts w:hint="eastAsia" w:ascii="仿宋_GB2312" w:hAnsi="仿宋_GB2312" w:eastAsia="仿宋_GB2312" w:cs="Times New Roman"/>
          <w:color w:val="auto"/>
          <w:sz w:val="32"/>
          <w:lang w:eastAsia="zh-CN"/>
        </w:rPr>
        <w:t>统计</w:t>
      </w:r>
      <w:r>
        <w:rPr>
          <w:rFonts w:hint="eastAsia" w:ascii="仿宋_GB2312" w:hAnsi="仿宋_GB2312" w:eastAsia="仿宋_GB2312" w:cs="Times New Roman"/>
          <w:color w:val="auto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各“双联双帮”单位要指定专人认真做好消费帮扶统计工作，统计本单位及下属单位线上线下消费数据，每月20日下午下班前定期将本单位消费帮扶数据（即“琼海市爱心消费帮扶信息统计表”）报送至市乡村振兴局汇总，逾期未报视为本时间段内未有消费帮扶行为，以最近一次报送的数据作为其工作进展情况。</w:t>
      </w:r>
      <w:r>
        <w:rPr>
          <w:rFonts w:hint="eastAsia" w:ascii="仿宋_GB2312" w:hAnsi="仿宋_GB2312" w:eastAsia="仿宋_GB2312" w:cs="Times New Roman"/>
          <w:color w:val="auto"/>
          <w:sz w:val="32"/>
          <w:lang w:eastAsia="zh-CN"/>
        </w:rPr>
        <w:t>（联系人：毛奕雯；电话：</w:t>
      </w:r>
      <w:r>
        <w:rPr>
          <w:rFonts w:hint="eastAsia" w:ascii="仿宋_GB2312" w:hAnsi="仿宋_GB2312" w:eastAsia="仿宋_GB2312" w:cs="Times New Roman"/>
          <w:color w:val="auto"/>
          <w:sz w:val="32"/>
          <w:lang w:val="en-US" w:eastAsia="zh-CN"/>
        </w:rPr>
        <w:t>18379600548；邮箱：qhsfpb123456@163.com</w:t>
      </w:r>
      <w:r>
        <w:rPr>
          <w:rFonts w:hint="eastAsia" w:ascii="仿宋_GB2312" w:hAnsi="仿宋_GB2312" w:eastAsia="仿宋_GB2312" w:cs="Times New Roman"/>
          <w:color w:val="auto"/>
          <w:sz w:val="32"/>
          <w:lang w:eastAsia="zh-CN"/>
        </w:rPr>
        <w:t>）</w:t>
      </w:r>
      <w:r>
        <w:rPr>
          <w:rFonts w:hint="eastAsia" w:ascii="仿宋_GB2312" w:hAnsi="仿宋_GB2312" w:eastAsia="仿宋_GB2312" w:cs="Times New Roman"/>
          <w:color w:val="auto"/>
          <w:sz w:val="32"/>
        </w:rPr>
        <w:t>。</w:t>
      </w:r>
    </w:p>
    <w:p>
      <w:pPr>
        <w:rPr>
          <w:color w:val="auto"/>
        </w:rPr>
      </w:pPr>
    </w:p>
    <w:sectPr>
      <w:footerReference r:id="rId3" w:type="default"/>
      <w:footerReference r:id="rId4" w:type="even"/>
      <w:pgSz w:w="11906" w:h="16838"/>
      <w:pgMar w:top="1474" w:right="1474" w:bottom="1474" w:left="1588" w:header="851" w:footer="992" w:gutter="0"/>
      <w:pgNumType w:fmt="numberInDash" w:start="1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001010101"/>
    <w:charset w:val="7A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Align="top"/>
      <w:rPr>
        <w:rStyle w:val="9"/>
        <w:rFonts w:hint="eastAsia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- 1 -</w:t>
    </w:r>
    <w:r>
      <w:fldChar w:fldCharType="end"/>
    </w:r>
  </w:p>
  <w:p>
    <w:pPr>
      <w:pStyle w:val="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Align="top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- 2 -</w:t>
    </w:r>
    <w:r>
      <w:fldChar w:fldCharType="end"/>
    </w:r>
  </w:p>
  <w:p>
    <w:pPr>
      <w:pStyle w:val="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jNjhjZGU4ODExNmVlOWIzYzk3MGNmZWRhMTBkNTEifQ=="/>
  </w:docVars>
  <w:rsids>
    <w:rsidRoot w:val="00000000"/>
    <w:rsid w:val="0E3A6B28"/>
    <w:rsid w:val="5AF807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link w:val="8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560" w:lineRule="atLeast"/>
      <w:ind w:firstLine="606" w:firstLineChars="200"/>
    </w:pPr>
    <w:rPr>
      <w:rFonts w:ascii="仿宋_GB2312" w:eastAsia="仿宋_GB2312"/>
      <w:sz w:val="32"/>
      <w:szCs w:val="20"/>
    </w:r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8">
    <w:name w:val="Char Char1 Char Char Char Char Char Char"/>
    <w:basedOn w:val="1"/>
    <w:link w:val="7"/>
    <w:qFormat/>
    <w:uiPriority w:val="0"/>
    <w:pPr>
      <w:widowControl/>
      <w:spacing w:after="160" w:line="240" w:lineRule="exact"/>
      <w:jc w:val="left"/>
    </w:pPr>
  </w:style>
  <w:style w:type="character" w:styleId="9">
    <w:name w:val="page number"/>
    <w:basedOn w:val="7"/>
    <w:qFormat/>
    <w:uiPriority w:val="0"/>
  </w:style>
  <w:style w:type="paragraph" w:customStyle="1" w:styleId="10">
    <w:name w:val="BodyText"/>
    <w:basedOn w:val="1"/>
    <w:qFormat/>
    <w:uiPriority w:val="0"/>
    <w:pPr>
      <w:spacing w:after="0" w:line="360" w:lineRule="auto"/>
      <w:jc w:val="both"/>
      <w:textAlignment w:val="baseline"/>
    </w:pPr>
    <w:rPr>
      <w:rFonts w:ascii="Calibri" w:hAnsi="Calibri" w:eastAsia="华文中宋" w:cs="Times New Roman"/>
      <w:kern w:val="2"/>
      <w:sz w:val="36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琼海市（嘉积镇） </Company>
  <Pages>6</Pages>
  <Words>2297</Words>
  <Characters>2355</Characters>
  <Lines>0</Lines>
  <Paragraphs>0</Paragraphs>
  <TotalTime>3</TotalTime>
  <ScaleCrop>false</ScaleCrop>
  <LinksUpToDate>false</LinksUpToDate>
  <CharactersWithSpaces>2438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2023-05-11T17:39:00Z</dcterms:created>
  <dc:creator>毛毛</dc:creator>
  <cp:lastModifiedBy>    </cp:lastModifiedBy>
  <cp:lastPrinted>2023-05-26T07:21:00Z</cp:lastPrinted>
  <dcterms:modified xsi:type="dcterms:W3CDTF">2023-05-26T07:55:26Z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77F359BC2EC2C46EC71F7064175BDF10_33</vt:lpwstr>
  </property>
</Properties>
</file>