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rPr>
          <w:rFonts w:hint="eastAsia" w:ascii="黑体" w:hAnsi="ˎ̥" w:eastAsia="黑体"/>
          <w:sz w:val="44"/>
          <w:szCs w:val="44"/>
          <w:lang w:eastAsia="zh-CN"/>
        </w:rPr>
      </w:pPr>
      <w:r>
        <w:rPr>
          <w:rFonts w:hint="eastAsia" w:ascii="黑体" w:hAnsi="ˎ̥" w:eastAsia="黑体"/>
          <w:sz w:val="44"/>
          <w:szCs w:val="44"/>
          <w:lang w:val="en-US" w:eastAsia="zh-CN"/>
        </w:rPr>
        <w:t>琼海市市场监督管理局</w:t>
      </w:r>
      <w:r>
        <w:rPr>
          <w:rFonts w:hint="eastAsia" w:ascii="黑体" w:hAnsi="ˎ̥" w:eastAsia="黑体"/>
          <w:sz w:val="44"/>
          <w:szCs w:val="44"/>
          <w:lang w:eastAsia="zh-CN"/>
        </w:rPr>
        <w:t>202</w:t>
      </w:r>
      <w:r>
        <w:rPr>
          <w:rFonts w:hint="eastAsia" w:ascii="黑体" w:hAnsi="ˎ̥" w:eastAsia="黑体"/>
          <w:sz w:val="44"/>
          <w:szCs w:val="44"/>
          <w:lang w:val="en-US" w:eastAsia="zh-CN"/>
        </w:rPr>
        <w:t>1</w:t>
      </w:r>
      <w:r>
        <w:rPr>
          <w:rFonts w:hint="eastAsia" w:ascii="黑体" w:hAnsi="ˎ̥" w:eastAsia="黑体"/>
          <w:sz w:val="44"/>
          <w:szCs w:val="44"/>
          <w:lang w:eastAsia="zh-CN"/>
        </w:rPr>
        <w:t>年度</w:t>
      </w:r>
    </w:p>
    <w:p>
      <w:pPr>
        <w:jc w:val="center"/>
        <w:rPr>
          <w:rFonts w:hint="eastAsia" w:ascii="黑体" w:hAnsi="ˎ̥" w:eastAsia="黑体"/>
          <w:sz w:val="44"/>
          <w:szCs w:val="44"/>
          <w:lang w:eastAsia="zh-CN"/>
        </w:rPr>
      </w:pPr>
      <w:r>
        <w:rPr>
          <w:rFonts w:hint="eastAsia" w:ascii="黑体" w:hAnsi="ˎ̥" w:eastAsia="黑体"/>
          <w:sz w:val="44"/>
          <w:szCs w:val="44"/>
        </w:rPr>
        <w:t>部门决算</w:t>
      </w:r>
      <w:r>
        <w:rPr>
          <w:rFonts w:hint="eastAsia" w:ascii="黑体" w:hAnsi="ˎ̥" w:eastAsia="黑体"/>
          <w:sz w:val="44"/>
          <w:szCs w:val="44"/>
          <w:lang w:eastAsia="zh-CN"/>
        </w:rPr>
        <w:t>公开文字说明</w:t>
      </w: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琼海市市场监督管理局部门概况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琼海市市场监督管理局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琼海市市场监督管理局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10049_WPSOffice_Level1"/>
      <w:bookmarkStart w:id="3" w:name="_Toc22941_WPSOffice_Level1"/>
      <w:bookmarkStart w:id="4" w:name="_Toc32433_WPSOffice_Level1"/>
      <w:bookmarkStart w:id="5" w:name="_Toc10720_WPSOffice_Level1"/>
      <w:bookmarkStart w:id="6" w:name="_Toc23465_WPSOffice_Level1"/>
      <w:bookmarkStart w:id="7" w:name="_Toc1704_WPSOffice_Level1"/>
      <w:bookmarkStart w:id="8" w:name="_Toc24238_WPSOffice_Level2"/>
      <w:bookmarkStart w:id="9" w:name="_Toc32622_WPSOffice_Level2"/>
      <w:bookmarkStart w:id="10" w:name="_Toc14159_WPSOffice_Level2"/>
      <w:bookmarkStart w:id="11" w:name="_Toc26580_WPSOffice_Level2"/>
      <w:bookmarkStart w:id="12" w:name="_Toc20205_WPSOffice_Level2"/>
      <w:bookmarkStart w:id="13" w:name="_Toc20274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琼海市市场监督管理局部门</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部门</w:t>
      </w:r>
      <w:bookmarkEnd w:id="8"/>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一）贯彻执行党中央和国家、省委省政府有关市场监督管理工作的方针政策和法律法规，贯彻执行全省市场监督管理工作政策规定、地方性法规、规章、发展战略，贯彻执行市委市政府决策部署和中国（海南）自由贸易试验区、中国特色自由贸易港市场监督管理工作方面的政策措施。研究推进市场监督管理改革，研究提出海南自由贸易试验区琼海（东部区域中心城市）市场监督管理工作方面的意见和建议。</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w:t>
      </w:r>
      <w:r>
        <w:rPr>
          <w:rFonts w:hint="eastAsia" w:ascii="仿宋_GB2312" w:hAnsi="楷体" w:eastAsia="仿宋_GB2312" w:cs="楷体"/>
          <w:sz w:val="32"/>
          <w:szCs w:val="32"/>
          <w:lang w:eastAsia="zh-CN"/>
        </w:rPr>
        <w:t>二</w:t>
      </w:r>
      <w:r>
        <w:rPr>
          <w:rFonts w:hint="eastAsia" w:ascii="仿宋_GB2312" w:hAnsi="楷体" w:eastAsia="仿宋_GB2312" w:cs="楷体"/>
          <w:sz w:val="32"/>
          <w:szCs w:val="32"/>
        </w:rPr>
        <w:t>）负责全市市场综合监督管理。</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（三）负责市场主体统一登记注册。</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（四）承担全市市场监管执法工作。</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（五）承担全市反垄断统一执法。</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（六）负责全市知识产权运用保护和广告监督管理工作。</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（七）负责全市宏观质量管理。</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（八）负责全市产品质量安全监督管理。</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（九）负责全市特种设备安全监督管理。</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w:t>
      </w:r>
      <w:r>
        <w:rPr>
          <w:rFonts w:hint="eastAsia" w:ascii="仿宋_GB2312" w:hAnsi="楷体" w:eastAsia="仿宋_GB2312" w:cs="楷体"/>
          <w:sz w:val="32"/>
          <w:szCs w:val="32"/>
          <w:lang w:eastAsia="zh-CN"/>
        </w:rPr>
        <w:t>十</w:t>
      </w:r>
      <w:r>
        <w:rPr>
          <w:rFonts w:hint="eastAsia" w:ascii="仿宋_GB2312" w:hAnsi="楷体" w:eastAsia="仿宋_GB2312" w:cs="楷体"/>
          <w:sz w:val="32"/>
          <w:szCs w:val="32"/>
        </w:rPr>
        <w:t>）负责全市食品安全监督管理综合协调。</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w:t>
      </w:r>
      <w:r>
        <w:rPr>
          <w:rFonts w:hint="eastAsia" w:ascii="仿宋_GB2312" w:hAnsi="楷体" w:eastAsia="仿宋_GB2312" w:cs="楷体"/>
          <w:sz w:val="32"/>
          <w:szCs w:val="32"/>
          <w:lang w:eastAsia="zh-CN"/>
        </w:rPr>
        <w:t>十一</w:t>
      </w:r>
      <w:r>
        <w:rPr>
          <w:rFonts w:hint="eastAsia" w:ascii="仿宋_GB2312" w:hAnsi="楷体" w:eastAsia="仿宋_GB2312" w:cs="楷体"/>
          <w:sz w:val="32"/>
          <w:szCs w:val="32"/>
        </w:rPr>
        <w:t>）负责全市食品质量安全监督管理。</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（十二）负责全市盐业工作。</w:t>
      </w:r>
    </w:p>
    <w:p>
      <w:pPr>
        <w:ind w:left="638" w:leftChars="304" w:firstLine="0" w:firstLineChars="0"/>
        <w:rPr>
          <w:rFonts w:hint="eastAsia" w:ascii="仿宋_GB2312" w:hAnsi="楷体" w:eastAsia="仿宋_GB2312" w:cs="楷体"/>
          <w:sz w:val="32"/>
          <w:szCs w:val="32"/>
        </w:rPr>
      </w:pPr>
      <w:r>
        <w:rPr>
          <w:rFonts w:hint="eastAsia" w:ascii="仿宋_GB2312" w:hAnsi="楷体" w:eastAsia="仿宋_GB2312" w:cs="楷体"/>
          <w:sz w:val="32"/>
          <w:szCs w:val="32"/>
        </w:rPr>
        <w:t>（十三）负责药品、医疗器械、化妆品监督管理工作。（十四）负责全市计量管理工作。</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（十五）负责统一管理全市标准化工作。</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（十六）负责全市认证认可和检验检测监督管理工。</w:t>
      </w:r>
    </w:p>
    <w:p>
      <w:pPr>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（十七）负责全市市场监督管理科技和信息化建设、新闻宣传、对外交流与合作等工作。</w:t>
      </w:r>
    </w:p>
    <w:p>
      <w:pPr>
        <w:ind w:firstLine="640" w:firstLineChars="200"/>
        <w:rPr>
          <w:rFonts w:hint="eastAsia" w:ascii="黑体" w:hAnsi="黑体" w:eastAsia="黑体" w:cs="黑体"/>
          <w:sz w:val="32"/>
          <w:szCs w:val="32"/>
          <w:lang w:val="en-US" w:eastAsia="zh-CN"/>
        </w:rPr>
      </w:pPr>
      <w:r>
        <w:rPr>
          <w:rFonts w:hint="eastAsia" w:ascii="仿宋_GB2312" w:hAnsi="楷体" w:eastAsia="仿宋_GB2312" w:cs="楷体"/>
          <w:sz w:val="32"/>
          <w:szCs w:val="32"/>
        </w:rPr>
        <w:t>（十八）完成市委、市人民政府和上级部门交办的其他任务。</w:t>
      </w:r>
    </w:p>
    <w:p>
      <w:pPr>
        <w:ind w:firstLine="640" w:firstLineChars="200"/>
        <w:rPr>
          <w:rFonts w:hint="eastAsia" w:ascii="黑体" w:hAnsi="黑体" w:eastAsia="黑体" w:cs="黑体"/>
          <w:sz w:val="32"/>
          <w:szCs w:val="32"/>
          <w:lang w:val="en-US" w:eastAsia="zh-CN"/>
        </w:rPr>
      </w:pPr>
      <w:bookmarkStart w:id="14" w:name="_Toc6572_WPSOffice_Level2"/>
      <w:bookmarkStart w:id="15" w:name="_Toc17796_WPSOffice_Level2"/>
      <w:bookmarkStart w:id="16" w:name="_Toc4833_WPSOffice_Level2"/>
      <w:bookmarkStart w:id="17" w:name="_Toc24059_WPSOffice_Level2"/>
      <w:bookmarkStart w:id="18" w:name="_Toc24474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纳入琼海市市场监督管理局</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部门决算编制范围的二级预算单位包括：</w:t>
      </w:r>
    </w:p>
    <w:p>
      <w:pPr>
        <w:ind w:firstLine="640" w:firstLineChars="200"/>
        <w:rPr>
          <w:rFonts w:hint="eastAsia" w:ascii="楷体" w:hAnsi="楷体" w:eastAsia="楷体" w:cs="楷体"/>
          <w:sz w:val="32"/>
          <w:szCs w:val="32"/>
        </w:rPr>
      </w:pPr>
      <w:bookmarkStart w:id="19" w:name="_Toc24421_WPSOffice_Level2"/>
      <w:bookmarkStart w:id="20" w:name="_Toc25738_WPSOffice_Level2"/>
      <w:r>
        <w:rPr>
          <w:rFonts w:hint="eastAsia" w:ascii="楷体" w:hAnsi="楷体" w:eastAsia="楷体" w:cs="楷体"/>
          <w:sz w:val="32"/>
          <w:szCs w:val="32"/>
          <w:lang w:val="en-US" w:eastAsia="zh-CN"/>
        </w:rPr>
        <w:t>（一）</w:t>
      </w:r>
      <w:r>
        <w:rPr>
          <w:rFonts w:hint="eastAsia" w:ascii="仿宋_GB2312" w:hAnsi="ˎ̥" w:eastAsia="仿宋_GB2312"/>
          <w:sz w:val="32"/>
          <w:szCs w:val="32"/>
        </w:rPr>
        <w:t>琼海市市场监督管理局</w:t>
      </w:r>
      <w:r>
        <w:rPr>
          <w:rFonts w:hint="eastAsia" w:ascii="楷体" w:hAnsi="楷体" w:eastAsia="楷体" w:cs="楷体"/>
          <w:sz w:val="32"/>
          <w:szCs w:val="32"/>
        </w:rPr>
        <w:t>部门本级</w:t>
      </w:r>
      <w:bookmarkEnd w:id="19"/>
      <w:bookmarkEnd w:id="20"/>
    </w:p>
    <w:p>
      <w:pPr>
        <w:ind w:firstLine="640" w:firstLineChars="200"/>
        <w:rPr>
          <w:rFonts w:hint="eastAsia" w:ascii="楷体" w:hAnsi="楷体" w:eastAsia="楷体" w:cs="楷体"/>
          <w:sz w:val="32"/>
          <w:szCs w:val="32"/>
        </w:rPr>
      </w:pPr>
      <w:bookmarkStart w:id="21" w:name="_Toc19721_WPSOffice_Level2"/>
      <w:bookmarkStart w:id="22" w:name="_Toc4442_WPSOffice_Level2"/>
      <w:r>
        <w:rPr>
          <w:rFonts w:hint="eastAsia" w:ascii="楷体" w:hAnsi="楷体" w:eastAsia="楷体" w:cs="楷体"/>
          <w:sz w:val="32"/>
          <w:szCs w:val="32"/>
          <w:lang w:val="en-US" w:eastAsia="zh-CN"/>
        </w:rPr>
        <w:t>（二）</w:t>
      </w:r>
      <w:bookmarkEnd w:id="21"/>
      <w:bookmarkEnd w:id="22"/>
      <w:r>
        <w:rPr>
          <w:rFonts w:hint="eastAsia" w:ascii="仿宋_GB2312" w:hAnsi="楷体" w:eastAsia="仿宋_GB2312" w:cs="楷体"/>
          <w:sz w:val="32"/>
          <w:szCs w:val="32"/>
        </w:rPr>
        <w:t>琼海质量技术监督技术所</w:t>
      </w:r>
    </w:p>
    <w:p>
      <w:pPr>
        <w:jc w:val="center"/>
        <w:rPr>
          <w:rFonts w:hint="eastAsia" w:ascii="黑体" w:hAnsi="ˎ̥" w:eastAsia="黑体"/>
          <w:b w:val="0"/>
          <w:bCs w:val="0"/>
          <w:sz w:val="32"/>
          <w:szCs w:val="32"/>
          <w:lang w:eastAsia="zh-CN"/>
        </w:rPr>
      </w:pPr>
      <w:bookmarkStart w:id="23" w:name="_Toc15521_WPSOffice_Level1"/>
      <w:bookmarkStart w:id="24" w:name="_Toc30451_WPSOffice_Level1"/>
      <w:bookmarkStart w:id="25" w:name="_Toc30690_WPSOffice_Level1"/>
      <w:bookmarkStart w:id="26" w:name="_Toc6234_WPSOffice_Level1"/>
      <w:bookmarkStart w:id="27" w:name="_Toc28253_WPSOffice_Level1"/>
      <w:bookmarkStart w:id="28" w:name="_Toc8164_WPSOffice_Level1"/>
      <w:bookmarkStart w:id="29" w:name="_Toc6211_WPSOffice_Level2"/>
      <w:bookmarkStart w:id="30" w:name="_Toc32695_WPSOffice_Level2"/>
      <w:bookmarkStart w:id="31" w:name="_Toc8867_WPSOffice_Level2"/>
      <w:bookmarkStart w:id="32" w:name="_Toc32472_WPSOffice_Level2"/>
      <w:bookmarkStart w:id="33" w:name="_Toc11518_WPSOffice_Level2"/>
      <w:bookmarkStart w:id="34" w:name="_Toc4029_WPSOffice_Level2"/>
    </w:p>
    <w:p>
      <w:pPr>
        <w:numPr>
          <w:ilvl w:val="0"/>
          <w:numId w:val="3"/>
        </w:numPr>
        <w:jc w:val="center"/>
        <w:rPr>
          <w:rFonts w:hint="eastAsia" w:ascii="黑体" w:hAnsi="ˎ̥" w:eastAsia="黑体"/>
          <w:b w:val="0"/>
          <w:bCs w:val="0"/>
          <w:sz w:val="32"/>
          <w:szCs w:val="32"/>
        </w:rPr>
      </w:pPr>
      <w:r>
        <w:rPr>
          <w:rFonts w:hint="eastAsia" w:ascii="黑体" w:hAnsi="ˎ̥" w:eastAsia="黑体"/>
          <w:b w:val="0"/>
          <w:bCs w:val="0"/>
          <w:sz w:val="32"/>
          <w:szCs w:val="32"/>
          <w:lang w:val="en-US" w:eastAsia="zh-CN"/>
        </w:rPr>
        <w:t xml:space="preserve"> 琼海市市场监督管理局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23"/>
      <w:bookmarkEnd w:id="24"/>
      <w:bookmarkEnd w:id="25"/>
      <w:bookmarkEnd w:id="26"/>
      <w:bookmarkEnd w:id="27"/>
      <w:bookmarkEnd w:id="28"/>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9"/>
      <w:bookmarkEnd w:id="30"/>
      <w:bookmarkEnd w:id="31"/>
      <w:r>
        <w:rPr>
          <w:rFonts w:hint="eastAsia" w:ascii="黑体" w:hAnsi="黑体" w:eastAsia="黑体" w:cs="黑体"/>
          <w:sz w:val="32"/>
          <w:szCs w:val="32"/>
          <w:lang w:eastAsia="zh-CN"/>
        </w:rPr>
        <w:t>。</w:t>
      </w:r>
      <w:bookmarkEnd w:id="32"/>
      <w:bookmarkEnd w:id="33"/>
      <w:bookmarkEnd w:id="34"/>
    </w:p>
    <w:p>
      <w:pPr>
        <w:ind w:firstLine="645"/>
        <w:rPr>
          <w:rFonts w:hint="eastAsia" w:ascii="黑体" w:hAnsi="黑体" w:eastAsia="黑体" w:cs="黑体"/>
          <w:sz w:val="32"/>
          <w:szCs w:val="32"/>
          <w:lang w:eastAsia="zh-CN"/>
        </w:rPr>
      </w:pPr>
      <w:bookmarkStart w:id="35" w:name="_Toc26621_WPSOffice_Level2"/>
      <w:bookmarkStart w:id="36" w:name="_Toc23139_WPSOffice_Level2"/>
      <w:bookmarkStart w:id="37" w:name="_Toc25608_WPSOffice_Level2"/>
      <w:bookmarkStart w:id="38" w:name="_Toc28622_WPSOffice_Level2"/>
      <w:bookmarkStart w:id="39" w:name="_Toc30334_WPSOffice_Level2"/>
      <w:bookmarkStart w:id="40"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5"/>
      <w:bookmarkEnd w:id="36"/>
      <w:bookmarkEnd w:id="37"/>
      <w:r>
        <w:rPr>
          <w:rFonts w:hint="eastAsia" w:ascii="黑体" w:hAnsi="黑体" w:eastAsia="黑体" w:cs="黑体"/>
          <w:sz w:val="32"/>
          <w:szCs w:val="32"/>
          <w:lang w:eastAsia="zh-CN"/>
        </w:rPr>
        <w:t>。</w:t>
      </w:r>
      <w:bookmarkEnd w:id="38"/>
      <w:bookmarkEnd w:id="39"/>
      <w:bookmarkEnd w:id="40"/>
    </w:p>
    <w:p>
      <w:pPr>
        <w:ind w:firstLine="645"/>
        <w:rPr>
          <w:rFonts w:hint="eastAsia" w:ascii="黑体" w:hAnsi="黑体" w:eastAsia="黑体" w:cs="黑体"/>
          <w:sz w:val="32"/>
          <w:szCs w:val="32"/>
          <w:lang w:eastAsia="zh-CN"/>
        </w:rPr>
      </w:pPr>
      <w:bookmarkStart w:id="41" w:name="_Toc17626_WPSOffice_Level2"/>
      <w:bookmarkStart w:id="42" w:name="_Toc17858_WPSOffice_Level2"/>
      <w:bookmarkStart w:id="43" w:name="_Toc3262_WPSOffice_Level2"/>
      <w:bookmarkStart w:id="44" w:name="_Toc14658_WPSOffice_Level2"/>
      <w:bookmarkStart w:id="45" w:name="_Toc5489_WPSOffice_Level2"/>
      <w:bookmarkStart w:id="46" w:name="_Toc13854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41"/>
      <w:bookmarkEnd w:id="42"/>
      <w:bookmarkEnd w:id="43"/>
      <w:r>
        <w:rPr>
          <w:rFonts w:hint="eastAsia" w:ascii="黑体" w:hAnsi="黑体" w:eastAsia="黑体" w:cs="黑体"/>
          <w:sz w:val="32"/>
          <w:szCs w:val="32"/>
          <w:lang w:eastAsia="zh-CN"/>
        </w:rPr>
        <w:t>。</w:t>
      </w:r>
      <w:bookmarkEnd w:id="44"/>
      <w:bookmarkEnd w:id="45"/>
      <w:bookmarkEnd w:id="46"/>
    </w:p>
    <w:p>
      <w:pPr>
        <w:ind w:firstLine="645"/>
        <w:rPr>
          <w:rFonts w:hint="eastAsia" w:ascii="黑体" w:hAnsi="黑体" w:eastAsia="黑体" w:cs="黑体"/>
          <w:sz w:val="32"/>
          <w:szCs w:val="32"/>
          <w:lang w:eastAsia="zh-CN"/>
        </w:rPr>
      </w:pPr>
      <w:bookmarkStart w:id="47" w:name="_Toc23591_WPSOffice_Level2"/>
      <w:bookmarkStart w:id="48" w:name="_Toc21415_WPSOffice_Level2"/>
      <w:bookmarkStart w:id="49" w:name="_Toc13701_WPSOffice_Level2"/>
      <w:bookmarkStart w:id="50" w:name="_Toc7988_WPSOffice_Level2"/>
      <w:bookmarkStart w:id="51" w:name="_Toc23493_WPSOffice_Level2"/>
      <w:bookmarkStart w:id="52"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7"/>
      <w:bookmarkEnd w:id="48"/>
      <w:bookmarkEnd w:id="49"/>
      <w:r>
        <w:rPr>
          <w:rFonts w:hint="eastAsia" w:ascii="黑体" w:hAnsi="黑体" w:eastAsia="黑体" w:cs="黑体"/>
          <w:sz w:val="32"/>
          <w:szCs w:val="32"/>
          <w:lang w:eastAsia="zh-CN"/>
        </w:rPr>
        <w:t>。</w:t>
      </w:r>
      <w:bookmarkEnd w:id="50"/>
      <w:bookmarkEnd w:id="51"/>
      <w:bookmarkEnd w:id="52"/>
    </w:p>
    <w:p>
      <w:pPr>
        <w:ind w:firstLine="645"/>
        <w:rPr>
          <w:rFonts w:hint="eastAsia" w:ascii="黑体" w:hAnsi="黑体" w:eastAsia="黑体" w:cs="黑体"/>
          <w:sz w:val="32"/>
          <w:szCs w:val="32"/>
          <w:lang w:eastAsia="zh-CN"/>
        </w:rPr>
      </w:pPr>
      <w:bookmarkStart w:id="53" w:name="_Toc25166_WPSOffice_Level2"/>
      <w:bookmarkStart w:id="54" w:name="_Toc22783_WPSOffice_Level2"/>
      <w:bookmarkStart w:id="55" w:name="_Toc7879_WPSOffice_Level2"/>
      <w:bookmarkStart w:id="56" w:name="_Toc23829_WPSOffice_Level2"/>
      <w:bookmarkStart w:id="57" w:name="_Toc13516_WPSOffice_Level2"/>
      <w:bookmarkStart w:id="58"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53"/>
      <w:bookmarkEnd w:id="54"/>
      <w:bookmarkEnd w:id="55"/>
      <w:bookmarkEnd w:id="56"/>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7"/>
      <w:bookmarkEnd w:id="58"/>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9" w:name="_Toc17833_WPSOffice_Level2"/>
      <w:bookmarkStart w:id="60" w:name="_Toc2632_WPSOffice_Level2"/>
      <w:bookmarkStart w:id="61" w:name="_Toc25362_WPSOffice_Level2"/>
      <w:bookmarkStart w:id="62" w:name="_Toc8373_WPSOffice_Level2"/>
      <w:bookmarkStart w:id="63" w:name="_Toc5343_WPSOffice_Level2"/>
      <w:bookmarkStart w:id="64" w:name="_Toc1728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9"/>
      <w:bookmarkEnd w:id="60"/>
      <w:bookmarkEnd w:id="61"/>
      <w:bookmarkEnd w:id="62"/>
      <w:bookmarkEnd w:id="63"/>
      <w:bookmarkEnd w:id="64"/>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5" w:name="_Toc21310_WPSOffice_Level2"/>
      <w:bookmarkStart w:id="66" w:name="_Toc11799_WPSOffice_Level2"/>
      <w:bookmarkStart w:id="67" w:name="_Toc6020_WPSOffice_Level2"/>
      <w:bookmarkStart w:id="68" w:name="_Toc5594_WPSOffice_Level2"/>
      <w:bookmarkStart w:id="69" w:name="_Toc1533_WPSOffice_Level2"/>
      <w:bookmarkStart w:id="70" w:name="_Toc13345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5"/>
      <w:bookmarkEnd w:id="66"/>
      <w:bookmarkEnd w:id="67"/>
      <w:bookmarkEnd w:id="68"/>
      <w:bookmarkEnd w:id="69"/>
      <w:bookmarkEnd w:id="70"/>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71" w:name="_Toc19961_WPSOffice_Level2"/>
      <w:bookmarkStart w:id="72" w:name="_Toc9377_WPSOffice_Level2"/>
      <w:bookmarkStart w:id="73" w:name="_Toc1820_WPSOffice_Level2"/>
      <w:bookmarkStart w:id="74" w:name="_Toc29886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71"/>
      <w:bookmarkEnd w:id="72"/>
      <w:bookmarkEnd w:id="73"/>
      <w:bookmarkEnd w:id="74"/>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5" w:name="_Toc31264_WPSOffice_Level1"/>
      <w:bookmarkStart w:id="76" w:name="_Toc29683_WPSOffice_Level1"/>
      <w:bookmarkStart w:id="77" w:name="_Toc27590_WPSOffice_Level1"/>
      <w:bookmarkStart w:id="78" w:name="_Toc28629_WPSOffice_Level1"/>
      <w:bookmarkStart w:id="79" w:name="_Toc16686_WPSOffice_Level1"/>
      <w:bookmarkStart w:id="80" w:name="_Toc4402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琼海市市场监督管理局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5"/>
      <w:bookmarkEnd w:id="76"/>
      <w:bookmarkEnd w:id="77"/>
      <w:bookmarkEnd w:id="78"/>
      <w:bookmarkEnd w:id="79"/>
      <w:bookmarkEnd w:id="80"/>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收入总计</w:t>
      </w:r>
      <w:r>
        <w:rPr>
          <w:rFonts w:hint="eastAsia" w:ascii="仿宋_GB2312" w:hAnsi="ˎ̥" w:eastAsia="仿宋_GB2312"/>
          <w:color w:val="auto"/>
          <w:sz w:val="32"/>
          <w:szCs w:val="32"/>
          <w:lang w:val="en-US" w:eastAsia="zh-CN"/>
        </w:rPr>
        <w:t>3994.65</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支出总计</w:t>
      </w:r>
      <w:r>
        <w:rPr>
          <w:rFonts w:hint="eastAsia" w:ascii="仿宋_GB2312" w:hAnsi="ˎ̥" w:eastAsia="仿宋_GB2312"/>
          <w:color w:val="auto"/>
          <w:sz w:val="32"/>
          <w:szCs w:val="32"/>
          <w:lang w:val="en-US" w:eastAsia="zh-CN"/>
        </w:rPr>
        <w:t>3994.65</w:t>
      </w:r>
      <w:r>
        <w:rPr>
          <w:rFonts w:hint="eastAsia" w:ascii="仿宋_GB2312" w:hAnsi="ˎ̥" w:eastAsia="仿宋_GB2312"/>
          <w:color w:val="auto"/>
          <w:sz w:val="32"/>
          <w:szCs w:val="32"/>
          <w:lang w:eastAsia="zh-CN"/>
        </w:rPr>
        <w:t>万元，</w:t>
      </w:r>
      <w:r>
        <w:rPr>
          <w:rFonts w:hint="eastAsia" w:ascii="仿宋_GB2312" w:hAnsi="ˎ̥" w:eastAsia="仿宋_GB2312"/>
          <w:color w:val="auto"/>
          <w:sz w:val="32"/>
          <w:szCs w:val="32"/>
        </w:rPr>
        <w:t>与</w:t>
      </w:r>
      <w:r>
        <w:rPr>
          <w:rFonts w:hint="eastAsia" w:ascii="仿宋_GB2312" w:hAnsi="ˎ̥" w:eastAsia="仿宋_GB2312"/>
          <w:color w:val="auto"/>
          <w:sz w:val="32"/>
          <w:szCs w:val="32"/>
          <w:lang w:eastAsia="zh-CN"/>
        </w:rPr>
        <w:t>20</w:t>
      </w:r>
      <w:r>
        <w:rPr>
          <w:rFonts w:hint="eastAsia" w:ascii="仿宋_GB2312" w:hAnsi="ˎ̥" w:eastAsia="仿宋_GB2312"/>
          <w:color w:val="auto"/>
          <w:sz w:val="32"/>
          <w:szCs w:val="32"/>
          <w:lang w:val="en-US" w:eastAsia="zh-CN"/>
        </w:rPr>
        <w:t>20</w:t>
      </w:r>
      <w:r>
        <w:rPr>
          <w:rFonts w:hint="eastAsia" w:ascii="仿宋_GB2312" w:hAnsi="ˎ̥" w:eastAsia="仿宋_GB2312"/>
          <w:color w:val="auto"/>
          <w:sz w:val="32"/>
          <w:szCs w:val="32"/>
          <w:lang w:eastAsia="zh-CN"/>
        </w:rPr>
        <w:t>年度</w:t>
      </w:r>
      <w:r>
        <w:rPr>
          <w:rFonts w:hint="eastAsia" w:ascii="仿宋_GB2312" w:hAnsi="ˎ̥" w:eastAsia="仿宋_GB2312"/>
          <w:color w:val="auto"/>
          <w:sz w:val="32"/>
          <w:szCs w:val="32"/>
        </w:rPr>
        <w:t>相比，</w:t>
      </w:r>
      <w:r>
        <w:rPr>
          <w:rFonts w:hint="eastAsia" w:ascii="仿宋_GB2312" w:hAnsi="ˎ̥" w:eastAsia="仿宋_GB2312"/>
          <w:color w:val="auto"/>
          <w:sz w:val="32"/>
          <w:szCs w:val="32"/>
          <w:lang w:val="en-US" w:eastAsia="zh-CN"/>
        </w:rPr>
        <w:t>收入、支出总计各</w:t>
      </w:r>
      <w:r>
        <w:rPr>
          <w:rFonts w:hint="eastAsia" w:ascii="仿宋_GB2312" w:hAnsi="ˎ̥" w:eastAsia="仿宋_GB2312"/>
          <w:color w:val="auto"/>
          <w:sz w:val="32"/>
          <w:szCs w:val="32"/>
        </w:rPr>
        <w:t>增加</w:t>
      </w:r>
      <w:r>
        <w:rPr>
          <w:rFonts w:hint="eastAsia" w:ascii="仿宋_GB2312" w:hAnsi="ˎ̥" w:eastAsia="仿宋_GB2312"/>
          <w:color w:val="auto"/>
          <w:sz w:val="32"/>
          <w:szCs w:val="32"/>
          <w:lang w:val="en-US" w:eastAsia="zh-CN"/>
        </w:rPr>
        <w:t>38.13</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w:t>
      </w:r>
      <w:r>
        <w:rPr>
          <w:rFonts w:hint="eastAsia" w:ascii="仿宋_GB2312" w:hAnsi="ˎ̥" w:eastAsia="仿宋_GB2312"/>
          <w:color w:val="auto"/>
          <w:sz w:val="32"/>
          <w:szCs w:val="32"/>
        </w:rPr>
        <w:t>增长</w:t>
      </w:r>
      <w:r>
        <w:rPr>
          <w:rFonts w:hint="eastAsia" w:ascii="仿宋_GB2312" w:hAnsi="ˎ̥" w:eastAsia="仿宋_GB2312"/>
          <w:color w:val="auto"/>
          <w:sz w:val="32"/>
          <w:szCs w:val="32"/>
          <w:lang w:val="en-US" w:eastAsia="zh-CN"/>
        </w:rPr>
        <w:t>0.96</w:t>
      </w:r>
      <w:r>
        <w:rPr>
          <w:rFonts w:hint="eastAsia" w:ascii="仿宋_GB2312" w:hAnsi="ˎ̥" w:eastAsia="仿宋_GB2312"/>
          <w:color w:val="auto"/>
          <w:sz w:val="32"/>
          <w:szCs w:val="32"/>
        </w:rPr>
        <w:t>%。主要原因：一是</w:t>
      </w:r>
      <w:r>
        <w:rPr>
          <w:rFonts w:hint="eastAsia" w:ascii="仿宋_GB2312" w:hAnsi="ˎ̥" w:eastAsia="仿宋_GB2312"/>
          <w:color w:val="auto"/>
          <w:sz w:val="32"/>
          <w:szCs w:val="32"/>
          <w:lang w:eastAsia="zh-CN"/>
        </w:rPr>
        <w:t>项目预算调整</w:t>
      </w:r>
      <w:r>
        <w:rPr>
          <w:rFonts w:hint="eastAsia" w:ascii="仿宋_GB2312" w:hAnsi="ˎ̥" w:eastAsia="仿宋_GB2312"/>
          <w:color w:val="auto"/>
          <w:sz w:val="32"/>
          <w:szCs w:val="32"/>
        </w:rPr>
        <w:t>；二是</w:t>
      </w:r>
      <w:r>
        <w:rPr>
          <w:rFonts w:hint="eastAsia" w:ascii="仿宋_GB2312" w:hAnsi="ˎ̥" w:eastAsia="仿宋_GB2312"/>
          <w:color w:val="auto"/>
          <w:sz w:val="32"/>
          <w:szCs w:val="32"/>
          <w:lang w:eastAsia="zh-CN"/>
        </w:rPr>
        <w:t>取得并上缴资产处置收益</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2020年度决算数无增减</w:t>
      </w:r>
      <w:r>
        <w:rPr>
          <w:rFonts w:hint="eastAsia" w:ascii="仿宋_GB2312" w:hAnsi="ˎ̥" w:eastAsia="仿宋_GB2312"/>
          <w:sz w:val="32"/>
          <w:szCs w:val="32"/>
          <w:lang w:eastAsia="zh-CN"/>
        </w:rPr>
        <w:t>。年初结转结余</w:t>
      </w:r>
      <w:r>
        <w:rPr>
          <w:rFonts w:hint="eastAsia" w:ascii="仿宋_GB2312" w:hAnsi="ˎ̥" w:eastAsia="仿宋_GB2312"/>
          <w:color w:val="000000" w:themeColor="text1"/>
          <w:sz w:val="32"/>
          <w:szCs w:val="32"/>
          <w:lang w:val="en-US" w:eastAsia="zh-CN"/>
          <w14:textFill>
            <w14:solidFill>
              <w14:schemeClr w14:val="tx1"/>
            </w14:solidFill>
          </w14:textFill>
        </w:rPr>
        <w:t>22.07</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color w:val="auto"/>
          <w:sz w:val="32"/>
          <w:szCs w:val="32"/>
          <w:lang w:val="en-US" w:eastAsia="zh-CN"/>
        </w:rPr>
        <w:t>实拨项目结转，</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w:t>
      </w:r>
      <w:r>
        <w:rPr>
          <w:rFonts w:hint="eastAsia" w:ascii="仿宋_GB2312" w:hAnsi="ˎ̥" w:eastAsia="仿宋_GB2312"/>
          <w:color w:val="000000" w:themeColor="text1"/>
          <w:sz w:val="32"/>
          <w:szCs w:val="32"/>
          <w:lang w:val="en-US" w:eastAsia="zh-CN"/>
          <w14:textFill>
            <w14:solidFill>
              <w14:schemeClr w14:val="tx1"/>
            </w14:solidFill>
          </w14:textFill>
        </w:rPr>
        <w:t>188.06</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14:textFill>
            <w14:solidFill>
              <w14:schemeClr w14:val="tx1"/>
            </w14:solidFill>
          </w14:textFill>
        </w:rPr>
        <w:t>下降</w:t>
      </w:r>
      <w:r>
        <w:rPr>
          <w:rFonts w:hint="eastAsia" w:ascii="仿宋_GB2312" w:hAnsi="ˎ̥" w:eastAsia="仿宋_GB2312"/>
          <w:color w:val="000000" w:themeColor="text1"/>
          <w:sz w:val="32"/>
          <w:szCs w:val="32"/>
          <w:lang w:val="en-US" w:eastAsia="zh-CN"/>
          <w14:textFill>
            <w14:solidFill>
              <w14:schemeClr w14:val="tx1"/>
            </w14:solidFill>
          </w14:textFill>
        </w:rPr>
        <w:t>89.5</w:t>
      </w:r>
      <w:r>
        <w:rPr>
          <w:rFonts w:hint="eastAsia" w:ascii="仿宋_GB2312" w:hAnsi="ˎ̥" w:eastAsia="仿宋_GB2312"/>
          <w:sz w:val="32"/>
          <w:szCs w:val="32"/>
        </w:rPr>
        <w:t>%</w:t>
      </w:r>
      <w:r>
        <w:rPr>
          <w:rFonts w:hint="eastAsia" w:ascii="仿宋_GB2312" w:hAnsi="ˎ̥" w:eastAsia="仿宋_GB2312"/>
          <w:sz w:val="32"/>
          <w:szCs w:val="32"/>
          <w:lang w:eastAsia="zh-CN"/>
        </w:rPr>
        <w:t>，主要原因是盘活存量资金上缴财政。结余分配</w:t>
      </w:r>
      <w:r>
        <w:rPr>
          <w:rFonts w:hint="eastAsia" w:ascii="仿宋_GB2312" w:hAnsi="ˎ̥" w:eastAsia="仿宋_GB2312"/>
          <w:color w:val="000000" w:themeColor="text1"/>
          <w:sz w:val="32"/>
          <w:szCs w:val="32"/>
          <w:lang w:val="en-US" w:eastAsia="zh-CN"/>
          <w14:textFill>
            <w14:solidFill>
              <w14:schemeClr w14:val="tx1"/>
            </w14:solidFill>
          </w14:textFill>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2020年度决算数无增减，主要原因是</w:t>
      </w:r>
      <w:r>
        <w:rPr>
          <w:rFonts w:hint="eastAsia" w:ascii="仿宋_GB2312" w:hAnsi="ˎ̥" w:eastAsia="仿宋_GB2312"/>
          <w:color w:val="auto"/>
          <w:sz w:val="32"/>
          <w:szCs w:val="32"/>
          <w:lang w:val="en-US" w:eastAsia="zh-CN"/>
        </w:rPr>
        <w:t>收回单位国库集中支付结余资金</w:t>
      </w:r>
      <w:r>
        <w:rPr>
          <w:rFonts w:hint="eastAsia" w:ascii="仿宋_GB2312" w:hAnsi="ˎ̥" w:eastAsia="仿宋_GB2312"/>
          <w:sz w:val="32"/>
          <w:szCs w:val="32"/>
          <w:lang w:eastAsia="zh-CN"/>
        </w:rPr>
        <w:t>。年末结转结余</w:t>
      </w:r>
      <w:r>
        <w:rPr>
          <w:rFonts w:hint="eastAsia" w:ascii="仿宋_GB2312" w:hAnsi="ˎ̥" w:eastAsia="仿宋_GB2312"/>
          <w:color w:val="000000" w:themeColor="text1"/>
          <w:sz w:val="32"/>
          <w:szCs w:val="32"/>
          <w:lang w:val="en-US" w:eastAsia="zh-CN"/>
          <w14:textFill>
            <w14:solidFill>
              <w14:schemeClr w14:val="tx1"/>
            </w14:solidFill>
          </w14:textFill>
        </w:rPr>
        <w:t>4.98</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color w:val="auto"/>
          <w:sz w:val="32"/>
          <w:szCs w:val="32"/>
          <w:lang w:eastAsia="zh-CN"/>
        </w:rPr>
        <w:t>行政运行项结转结余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w:t>
      </w:r>
      <w:r>
        <w:rPr>
          <w:rFonts w:hint="eastAsia" w:ascii="仿宋_GB2312" w:hAnsi="ˎ̥" w:eastAsia="仿宋_GB2312"/>
          <w:color w:val="000000" w:themeColor="text1"/>
          <w:sz w:val="32"/>
          <w:szCs w:val="32"/>
          <w:lang w:val="en-US" w:eastAsia="zh-CN"/>
          <w14:textFill>
            <w14:solidFill>
              <w14:schemeClr w14:val="tx1"/>
            </w14:solidFill>
          </w14:textFill>
        </w:rPr>
        <w:t>172.63</w:t>
      </w:r>
      <w:r>
        <w:rPr>
          <w:rFonts w:hint="eastAsia" w:ascii="仿宋_GB2312" w:hAnsi="ˎ̥" w:eastAsia="仿宋_GB2312"/>
          <w:color w:val="000000" w:themeColor="text1"/>
          <w:sz w:val="32"/>
          <w:szCs w:val="32"/>
          <w14:textFill>
            <w14:solidFill>
              <w14:schemeClr w14:val="tx1"/>
            </w14:solidFill>
          </w14:textFill>
        </w:rPr>
        <w:t>万元</w:t>
      </w: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14:textFill>
            <w14:solidFill>
              <w14:schemeClr w14:val="tx1"/>
            </w14:solidFill>
          </w14:textFill>
        </w:rPr>
        <w:t>下降</w:t>
      </w:r>
      <w:r>
        <w:rPr>
          <w:rFonts w:hint="eastAsia" w:ascii="仿宋_GB2312" w:hAnsi="ˎ̥" w:eastAsia="仿宋_GB2312"/>
          <w:color w:val="000000" w:themeColor="text1"/>
          <w:sz w:val="32"/>
          <w:szCs w:val="32"/>
          <w:lang w:val="en-US" w:eastAsia="zh-CN"/>
          <w14:textFill>
            <w14:solidFill>
              <w14:schemeClr w14:val="tx1"/>
            </w14:solidFill>
          </w14:textFill>
        </w:rPr>
        <w:t>97.2</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2020年度食品药品监管中央补助结转结余资金在2021年度已支付完成</w:t>
      </w:r>
      <w:r>
        <w:rPr>
          <w:rFonts w:hint="eastAsia" w:ascii="仿宋_GB2312" w:hAnsi="ˎ̥" w:eastAsia="仿宋_GB2312"/>
          <w:sz w:val="32"/>
          <w:szCs w:val="32"/>
          <w:lang w:eastAsia="zh-CN"/>
        </w:rPr>
        <w:t>。</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color w:val="000000" w:themeColor="text1"/>
          <w:sz w:val="32"/>
          <w:szCs w:val="32"/>
          <w:lang w:val="en-US" w:eastAsia="zh-CN"/>
          <w14:textFill>
            <w14:solidFill>
              <w14:schemeClr w14:val="tx1"/>
            </w14:solidFill>
          </w14:textFill>
        </w:rPr>
        <w:t>3972.57</w:t>
      </w:r>
      <w:r>
        <w:rPr>
          <w:rFonts w:hint="eastAsia" w:ascii="仿宋_GB2312" w:hAnsi="ˎ̥" w:eastAsia="仿宋_GB2312"/>
          <w:color w:val="000000" w:themeColor="text1"/>
          <w:sz w:val="32"/>
          <w:szCs w:val="32"/>
          <w14:textFill>
            <w14:solidFill>
              <w14:schemeClr w14:val="tx1"/>
            </w14:solidFill>
          </w14:textFill>
        </w:rPr>
        <w:t>万元，其中：财政拨款收入</w:t>
      </w:r>
      <w:r>
        <w:rPr>
          <w:rFonts w:hint="eastAsia" w:ascii="仿宋_GB2312" w:hAnsi="ˎ̥" w:eastAsia="仿宋_GB2312"/>
          <w:color w:val="000000" w:themeColor="text1"/>
          <w:sz w:val="32"/>
          <w:szCs w:val="32"/>
          <w:lang w:val="en-US" w:eastAsia="zh-CN"/>
          <w14:textFill>
            <w14:solidFill>
              <w14:schemeClr w14:val="tx1"/>
            </w14:solidFill>
          </w14:textFill>
        </w:rPr>
        <w:t>3967</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99.86</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color w:val="000000" w:themeColor="text1"/>
          <w:sz w:val="32"/>
          <w:szCs w:val="32"/>
          <w14:textFill>
            <w14:solidFill>
              <w14:schemeClr w14:val="tx1"/>
            </w14:solidFill>
          </w14:textFill>
        </w:rPr>
        <w:t>其他收入</w:t>
      </w:r>
      <w:r>
        <w:rPr>
          <w:rFonts w:hint="eastAsia" w:ascii="仿宋_GB2312" w:hAnsi="ˎ̥" w:eastAsia="仿宋_GB2312"/>
          <w:color w:val="000000" w:themeColor="text1"/>
          <w:sz w:val="32"/>
          <w:szCs w:val="32"/>
          <w:lang w:val="en-US" w:eastAsia="zh-CN"/>
          <w14:textFill>
            <w14:solidFill>
              <w14:schemeClr w14:val="tx1"/>
            </w14:solidFill>
          </w14:textFill>
        </w:rPr>
        <w:t>5.57</w:t>
      </w:r>
      <w:r>
        <w:rPr>
          <w:rFonts w:hint="eastAsia" w:ascii="仿宋_GB2312" w:hAnsi="ˎ̥" w:eastAsia="仿宋_GB2312"/>
          <w:color w:val="000000" w:themeColor="text1"/>
          <w:sz w:val="32"/>
          <w:szCs w:val="32"/>
          <w14:textFill>
            <w14:solidFill>
              <w14:schemeClr w14:val="tx1"/>
            </w14:solidFill>
          </w14:textFill>
        </w:rPr>
        <w:t>万元，占</w:t>
      </w:r>
      <w:r>
        <w:rPr>
          <w:rFonts w:hint="eastAsia" w:ascii="仿宋_GB2312" w:hAnsi="ˎ̥" w:eastAsia="仿宋_GB2312"/>
          <w:color w:val="000000" w:themeColor="text1"/>
          <w:sz w:val="32"/>
          <w:szCs w:val="32"/>
          <w:lang w:val="en-US" w:eastAsia="zh-CN"/>
          <w14:textFill>
            <w14:solidFill>
              <w14:schemeClr w14:val="tx1"/>
            </w14:solidFill>
          </w14:textFill>
        </w:rPr>
        <w:t>0.14</w:t>
      </w:r>
      <w:r>
        <w:rPr>
          <w:rFonts w:hint="eastAsia" w:ascii="仿宋_GB2312" w:hAnsi="ˎ̥" w:eastAsia="仿宋_GB2312"/>
          <w:color w:val="000000" w:themeColor="text1"/>
          <w:sz w:val="32"/>
          <w:szCs w:val="32"/>
          <w14:textFill>
            <w14:solidFill>
              <w14:schemeClr w14:val="tx1"/>
            </w14:solidFill>
          </w14:textFill>
        </w:rPr>
        <w:t>%</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3989.67</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2740.94</w:t>
      </w:r>
      <w:r>
        <w:rPr>
          <w:rFonts w:hint="eastAsia" w:ascii="仿宋_GB2312" w:hAnsi="ˎ̥" w:eastAsia="仿宋_GB2312"/>
          <w:sz w:val="32"/>
          <w:szCs w:val="32"/>
        </w:rPr>
        <w:t>万元，占</w:t>
      </w:r>
      <w:r>
        <w:rPr>
          <w:rFonts w:hint="eastAsia" w:ascii="仿宋_GB2312" w:hAnsi="ˎ̥" w:eastAsia="仿宋_GB2312"/>
          <w:sz w:val="32"/>
          <w:szCs w:val="32"/>
          <w:lang w:val="en-US" w:eastAsia="zh-CN"/>
        </w:rPr>
        <w:t>68.7</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1248.72</w:t>
      </w:r>
      <w:r>
        <w:rPr>
          <w:rFonts w:hint="eastAsia" w:ascii="仿宋_GB2312" w:hAnsi="ˎ̥" w:eastAsia="仿宋_GB2312"/>
          <w:sz w:val="32"/>
          <w:szCs w:val="32"/>
        </w:rPr>
        <w:t>万元，占</w:t>
      </w:r>
      <w:r>
        <w:rPr>
          <w:rFonts w:hint="eastAsia" w:ascii="仿宋_GB2312" w:hAnsi="ˎ̥" w:eastAsia="仿宋_GB2312"/>
          <w:sz w:val="32"/>
          <w:szCs w:val="32"/>
          <w:lang w:val="en-US" w:eastAsia="zh-CN"/>
        </w:rPr>
        <w:t>31.3</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总计</w:t>
      </w:r>
      <w:r>
        <w:rPr>
          <w:rFonts w:hint="eastAsia" w:ascii="仿宋_GB2312" w:hAnsi="ˎ̥" w:eastAsia="仿宋_GB2312"/>
          <w:sz w:val="32"/>
          <w:szCs w:val="32"/>
          <w:lang w:val="en-US" w:eastAsia="zh-CN"/>
        </w:rPr>
        <w:t>3981.84</w:t>
      </w:r>
      <w:r>
        <w:rPr>
          <w:rFonts w:hint="eastAsia" w:ascii="仿宋_GB2312" w:hAnsi="ˎ̥" w:eastAsia="仿宋_GB2312"/>
          <w:sz w:val="32"/>
          <w:szCs w:val="32"/>
          <w:lang w:eastAsia="zh-CN"/>
        </w:rPr>
        <w:t>万元，</w:t>
      </w:r>
      <w:r>
        <w:rPr>
          <w:rFonts w:hint="eastAsia" w:ascii="仿宋_GB2312" w:hAnsi="ˎ̥" w:eastAsia="仿宋_GB2312"/>
          <w:sz w:val="32"/>
          <w:szCs w:val="32"/>
          <w:lang w:val="en-US" w:eastAsia="zh-CN"/>
        </w:rPr>
        <w:t>支出总计3981.84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132.23</w:t>
      </w:r>
      <w:r>
        <w:rPr>
          <w:rFonts w:hint="eastAsia" w:ascii="仿宋_GB2312" w:hAnsi="ˎ̥" w:eastAsia="仿宋_GB2312"/>
          <w:sz w:val="32"/>
          <w:szCs w:val="32"/>
        </w:rPr>
        <w:t>万元，增长</w:t>
      </w:r>
      <w:r>
        <w:rPr>
          <w:rFonts w:hint="eastAsia" w:ascii="仿宋_GB2312" w:hAnsi="ˎ̥" w:eastAsia="仿宋_GB2312"/>
          <w:sz w:val="32"/>
          <w:szCs w:val="32"/>
          <w:lang w:val="en-US" w:eastAsia="zh-CN"/>
        </w:rPr>
        <w:t>3.43</w:t>
      </w:r>
      <w:r>
        <w:rPr>
          <w:rFonts w:hint="eastAsia" w:ascii="仿宋_GB2312" w:hAnsi="ˎ̥" w:eastAsia="仿宋_GB2312"/>
          <w:sz w:val="32"/>
          <w:szCs w:val="32"/>
        </w:rPr>
        <w:t>%。主要原因：一是</w:t>
      </w:r>
      <w:r>
        <w:rPr>
          <w:rFonts w:hint="eastAsia" w:ascii="仿宋_GB2312" w:hAnsi="ˎ̥" w:eastAsia="仿宋_GB2312"/>
          <w:sz w:val="32"/>
          <w:szCs w:val="32"/>
          <w:lang w:eastAsia="zh-CN"/>
        </w:rPr>
        <w:t>产生国有资产处置预留出让金</w:t>
      </w:r>
      <w:r>
        <w:rPr>
          <w:rFonts w:hint="eastAsia" w:ascii="仿宋_GB2312" w:hAnsi="ˎ̥" w:eastAsia="仿宋_GB2312"/>
          <w:sz w:val="32"/>
          <w:szCs w:val="32"/>
        </w:rPr>
        <w:t>；二是</w:t>
      </w:r>
      <w:r>
        <w:rPr>
          <w:rFonts w:hint="eastAsia" w:ascii="仿宋_GB2312" w:hAnsi="ˎ̥" w:eastAsia="仿宋_GB2312"/>
          <w:sz w:val="32"/>
          <w:szCs w:val="32"/>
          <w:lang w:eastAsia="zh-CN"/>
        </w:rPr>
        <w:t>产生国有资产处置转让税金</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14.84</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color w:val="auto"/>
          <w:sz w:val="32"/>
          <w:szCs w:val="32"/>
          <w:lang w:eastAsia="zh-CN"/>
        </w:rPr>
        <w:t>实拨项目结转</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2020年度决算数减少100.7</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87.16</w:t>
      </w:r>
      <w:r>
        <w:rPr>
          <w:rFonts w:hint="eastAsia" w:ascii="仿宋_GB2312" w:hAnsi="ˎ̥" w:eastAsia="仿宋_GB2312"/>
          <w:sz w:val="32"/>
          <w:szCs w:val="32"/>
        </w:rPr>
        <w:t>%</w:t>
      </w:r>
      <w:r>
        <w:rPr>
          <w:rFonts w:hint="eastAsia" w:ascii="仿宋_GB2312" w:hAnsi="ˎ̥" w:eastAsia="仿宋_GB2312"/>
          <w:sz w:val="32"/>
          <w:szCs w:val="32"/>
          <w:lang w:eastAsia="zh-CN"/>
        </w:rPr>
        <w:t>，主要原因是盘活存量资金上缴财政。</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2020年度年末决算数减少83.62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81" w:name="_Toc13694_WPSOffice_Level2"/>
      <w:bookmarkStart w:id="82" w:name="_Toc17398_WPSOffice_Level2"/>
      <w:bookmarkStart w:id="83" w:name="_Toc19665_WPSOffice_Level2"/>
      <w:bookmarkStart w:id="84" w:name="_Toc23005_WPSOffice_Level2"/>
      <w:bookmarkStart w:id="85" w:name="_Toc21737_WPSOffice_Level2"/>
      <w:bookmarkStart w:id="86" w:name="_Toc9989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81"/>
      <w:bookmarkEnd w:id="82"/>
      <w:r>
        <w:rPr>
          <w:rFonts w:hint="eastAsia" w:ascii="楷体" w:hAnsi="楷体" w:eastAsia="楷体" w:cs="楷体"/>
          <w:sz w:val="32"/>
          <w:szCs w:val="32"/>
          <w:lang w:eastAsia="zh-CN"/>
        </w:rPr>
        <w:t>。</w:t>
      </w:r>
      <w:bookmarkEnd w:id="83"/>
      <w:bookmarkEnd w:id="84"/>
      <w:bookmarkEnd w:id="85"/>
      <w:bookmarkEnd w:id="86"/>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color w:val="auto"/>
          <w:sz w:val="32"/>
          <w:szCs w:val="32"/>
          <w:lang w:val="en-US" w:eastAsia="zh-CN"/>
        </w:rPr>
        <w:t>3395.16</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85.1</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财政拨款支出减少</w:t>
      </w:r>
      <w:r>
        <w:rPr>
          <w:rFonts w:hint="eastAsia" w:ascii="仿宋_GB2312" w:hAnsi="ˎ̥" w:eastAsia="仿宋_GB2312"/>
          <w:sz w:val="32"/>
          <w:szCs w:val="32"/>
          <w:lang w:val="en-US" w:eastAsia="zh-CN"/>
        </w:rPr>
        <w:t>49.55</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1.44</w:t>
      </w:r>
      <w:r>
        <w:rPr>
          <w:rFonts w:hint="eastAsia" w:ascii="仿宋_GB2312" w:hAnsi="ˎ̥" w:eastAsia="仿宋_GB2312"/>
          <w:sz w:val="32"/>
          <w:szCs w:val="32"/>
        </w:rPr>
        <w:t>%</w:t>
      </w:r>
      <w:r>
        <w:rPr>
          <w:rFonts w:hint="eastAsia" w:ascii="仿宋_GB2312" w:hAnsi="ˎ̥" w:eastAsia="仿宋_GB2312"/>
          <w:sz w:val="32"/>
          <w:szCs w:val="32"/>
          <w:lang w:eastAsia="zh-CN"/>
        </w:rPr>
        <w:t>，主要原因</w:t>
      </w:r>
      <w:r>
        <w:rPr>
          <w:rFonts w:hint="eastAsia" w:ascii="仿宋_GB2312" w:hAnsi="ˎ̥" w:eastAsia="仿宋_GB2312"/>
          <w:color w:val="auto"/>
          <w:sz w:val="32"/>
          <w:szCs w:val="32"/>
          <w:lang w:eastAsia="zh-CN"/>
        </w:rPr>
        <w:t>疫情防控工作经费减少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87" w:name="_Toc18793_WPSOffice_Level2"/>
      <w:bookmarkStart w:id="88" w:name="_Toc2711_WPSOffice_Level2"/>
      <w:bookmarkStart w:id="89" w:name="_Toc23864_WPSOffice_Level2"/>
      <w:bookmarkStart w:id="90" w:name="_Toc27767_WPSOffice_Level2"/>
      <w:bookmarkStart w:id="91" w:name="_Toc19535_WPSOffice_Level2"/>
      <w:bookmarkStart w:id="92" w:name="_Toc19075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7"/>
      <w:bookmarkEnd w:id="88"/>
      <w:r>
        <w:rPr>
          <w:rFonts w:hint="eastAsia" w:ascii="楷体" w:hAnsi="楷体" w:eastAsia="楷体" w:cs="楷体"/>
          <w:sz w:val="32"/>
          <w:szCs w:val="32"/>
          <w:lang w:eastAsia="zh-CN"/>
        </w:rPr>
        <w:t>。</w:t>
      </w:r>
      <w:bookmarkEnd w:id="89"/>
      <w:bookmarkEnd w:id="90"/>
      <w:bookmarkEnd w:id="91"/>
      <w:bookmarkEnd w:id="92"/>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color w:val="auto"/>
          <w:sz w:val="32"/>
          <w:szCs w:val="32"/>
          <w:lang w:val="en-US" w:eastAsia="zh-CN"/>
        </w:rPr>
        <w:t>3395.16</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2677.26</w:t>
      </w:r>
      <w:r>
        <w:rPr>
          <w:rFonts w:hint="eastAsia" w:ascii="仿宋_GB2312" w:hAnsi="ˎ̥" w:eastAsia="仿宋_GB2312"/>
          <w:sz w:val="32"/>
          <w:szCs w:val="32"/>
        </w:rPr>
        <w:t>万元，占</w:t>
      </w:r>
      <w:r>
        <w:rPr>
          <w:rFonts w:hint="eastAsia" w:ascii="仿宋_GB2312" w:hAnsi="ˎ̥" w:eastAsia="仿宋_GB2312"/>
          <w:sz w:val="32"/>
          <w:szCs w:val="32"/>
          <w:lang w:val="en-US" w:eastAsia="zh-CN"/>
        </w:rPr>
        <w:t>78.86</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227.7</w:t>
      </w:r>
      <w:r>
        <w:rPr>
          <w:rFonts w:hint="eastAsia" w:ascii="仿宋_GB2312" w:hAnsi="ˎ̥" w:eastAsia="仿宋_GB2312"/>
          <w:sz w:val="32"/>
          <w:szCs w:val="32"/>
        </w:rPr>
        <w:t>万元，占</w:t>
      </w:r>
      <w:r>
        <w:rPr>
          <w:rFonts w:hint="eastAsia" w:ascii="仿宋_GB2312" w:hAnsi="ˎ̥" w:eastAsia="仿宋_GB2312"/>
          <w:sz w:val="32"/>
          <w:szCs w:val="32"/>
          <w:lang w:val="en-US" w:eastAsia="zh-CN"/>
        </w:rPr>
        <w:t>6.71</w:t>
      </w:r>
      <w:r>
        <w:rPr>
          <w:rFonts w:hint="eastAsia" w:ascii="仿宋_GB2312" w:hAnsi="ˎ̥" w:eastAsia="仿宋_GB2312"/>
          <w:sz w:val="32"/>
          <w:szCs w:val="32"/>
        </w:rPr>
        <w:t>%；</w:t>
      </w:r>
      <w:r>
        <w:rPr>
          <w:rFonts w:hint="eastAsia" w:ascii="仿宋_GB2312" w:hAnsi="ˎ̥" w:eastAsia="仿宋_GB2312"/>
          <w:b/>
          <w:bCs/>
          <w:sz w:val="32"/>
          <w:szCs w:val="32"/>
          <w:lang w:eastAsia="zh-CN"/>
        </w:rPr>
        <w:t>卫生健康（类）</w:t>
      </w:r>
      <w:r>
        <w:rPr>
          <w:rFonts w:hint="eastAsia" w:ascii="仿宋_GB2312" w:hAnsi="ˎ̥" w:eastAsia="仿宋_GB2312"/>
          <w:b w:val="0"/>
          <w:bCs w:val="0"/>
          <w:sz w:val="32"/>
          <w:szCs w:val="32"/>
          <w:lang w:eastAsia="zh-CN"/>
        </w:rPr>
        <w:t>支出</w:t>
      </w:r>
      <w:r>
        <w:rPr>
          <w:rFonts w:hint="eastAsia" w:ascii="仿宋_GB2312" w:hAnsi="ˎ̥" w:eastAsia="仿宋_GB2312"/>
          <w:b w:val="0"/>
          <w:bCs w:val="0"/>
          <w:sz w:val="32"/>
          <w:szCs w:val="32"/>
          <w:lang w:val="en-US" w:eastAsia="zh-CN"/>
        </w:rPr>
        <w:t>318.63万元，占比9.38%；</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171.57</w:t>
      </w:r>
      <w:r>
        <w:rPr>
          <w:rFonts w:hint="eastAsia" w:ascii="仿宋_GB2312" w:hAnsi="ˎ̥" w:eastAsia="仿宋_GB2312"/>
          <w:sz w:val="32"/>
          <w:szCs w:val="32"/>
        </w:rPr>
        <w:t>万元，占</w:t>
      </w:r>
      <w:r>
        <w:rPr>
          <w:rFonts w:hint="eastAsia" w:ascii="仿宋_GB2312" w:hAnsi="ˎ̥" w:eastAsia="仿宋_GB2312"/>
          <w:sz w:val="32"/>
          <w:szCs w:val="32"/>
          <w:lang w:val="en-US" w:eastAsia="zh-CN"/>
        </w:rPr>
        <w:t>5.05</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93" w:name="_Toc25136_WPSOffice_Level2"/>
      <w:bookmarkStart w:id="94" w:name="_Toc9502_WPSOffice_Level2"/>
      <w:bookmarkStart w:id="95" w:name="_Toc22318_WPSOffice_Level2"/>
      <w:bookmarkStart w:id="96" w:name="_Toc21701_WPSOffice_Level2"/>
      <w:bookmarkStart w:id="97" w:name="_Toc15415_WPSOffice_Level2"/>
      <w:bookmarkStart w:id="98" w:name="_Toc29364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93"/>
      <w:bookmarkEnd w:id="94"/>
      <w:bookmarkEnd w:id="95"/>
      <w:bookmarkEnd w:id="96"/>
      <w:bookmarkEnd w:id="97"/>
      <w:bookmarkEnd w:id="9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color w:val="auto"/>
          <w:sz w:val="32"/>
          <w:szCs w:val="32"/>
          <w:lang w:val="en-US" w:eastAsia="zh-CN"/>
        </w:rPr>
        <w:t>3002.88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3395.16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113.06</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（款）行政运行（项）。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1745.02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1982.14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113.59</w:t>
      </w:r>
      <w:r>
        <w:rPr>
          <w:rFonts w:hint="eastAsia" w:ascii="仿宋_GB2312" w:hAnsi="ˎ̥" w:eastAsia="仿宋_GB2312"/>
          <w:sz w:val="32"/>
          <w:szCs w:val="32"/>
        </w:rPr>
        <w:t>%。决算数大于预算数的主要原因：</w:t>
      </w:r>
      <w:r>
        <w:rPr>
          <w:rFonts w:hint="eastAsia" w:ascii="仿宋_GB2312" w:hAnsi="ˎ̥" w:eastAsia="仿宋_GB2312"/>
          <w:color w:val="auto"/>
          <w:sz w:val="32"/>
          <w:szCs w:val="32"/>
          <w:lang w:eastAsia="zh-CN"/>
        </w:rPr>
        <w:t>追加人员绩效奖励经费</w:t>
      </w:r>
      <w:r>
        <w:rPr>
          <w:rFonts w:hint="eastAsia" w:ascii="仿宋_GB2312" w:hAnsi="ˎ̥" w:eastAsia="仿宋_GB2312"/>
          <w:color w:val="auto"/>
          <w:sz w:val="32"/>
          <w:szCs w:val="32"/>
        </w:rPr>
        <w:t>。</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2.</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一般行政管理事务</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104.72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105.39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100.64</w:t>
      </w:r>
      <w:r>
        <w:rPr>
          <w:rFonts w:hint="eastAsia" w:ascii="仿宋_GB2312" w:hAnsi="ˎ̥" w:eastAsia="仿宋_GB2312"/>
          <w:sz w:val="32"/>
          <w:szCs w:val="32"/>
        </w:rPr>
        <w:t>%。决算数大于预算数的主要</w:t>
      </w:r>
      <w:r>
        <w:rPr>
          <w:rFonts w:hint="eastAsia" w:ascii="仿宋_GB2312" w:hAnsi="ˎ̥" w:eastAsia="仿宋_GB2312"/>
          <w:color w:val="auto"/>
          <w:sz w:val="32"/>
          <w:szCs w:val="32"/>
        </w:rPr>
        <w:t>原因</w:t>
      </w:r>
      <w:r>
        <w:rPr>
          <w:rFonts w:hint="eastAsia" w:ascii="仿宋_GB2312" w:hAnsi="ˎ̥" w:eastAsia="仿宋_GB2312"/>
          <w:sz w:val="32"/>
          <w:szCs w:val="32"/>
        </w:rPr>
        <w:t>：</w:t>
      </w:r>
      <w:r>
        <w:rPr>
          <w:rFonts w:hint="eastAsia" w:ascii="仿宋_GB2312" w:hAnsi="ˎ̥" w:eastAsia="仿宋_GB2312"/>
          <w:sz w:val="32"/>
          <w:szCs w:val="32"/>
          <w:lang w:eastAsia="zh-CN"/>
        </w:rPr>
        <w:t>疫情防控工作经费调整。</w:t>
      </w:r>
    </w:p>
    <w:p>
      <w:pPr>
        <w:numPr>
          <w:ilvl w:val="0"/>
          <w:numId w:val="0"/>
        </w:numPr>
        <w:ind w:firstLine="643" w:firstLineChars="200"/>
        <w:rPr>
          <w:rFonts w:hint="eastAsia" w:ascii="仿宋_GB2312" w:hAnsi="ˎ̥" w:eastAsia="仿宋_GB2312"/>
          <w:b/>
          <w:sz w:val="32"/>
          <w:szCs w:val="32"/>
          <w:lang w:eastAsia="zh-CN"/>
        </w:rPr>
      </w:pPr>
      <w:r>
        <w:rPr>
          <w:rFonts w:hint="eastAsia" w:ascii="仿宋_GB2312" w:hAnsi="ˎ̥" w:eastAsia="仿宋_GB2312"/>
          <w:b/>
          <w:sz w:val="32"/>
          <w:szCs w:val="32"/>
          <w:lang w:val="en-US" w:eastAsia="zh-CN"/>
        </w:rPr>
        <w:t>3.</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信息化建设</w:t>
      </w:r>
      <w:r>
        <w:rPr>
          <w:rFonts w:hint="eastAsia" w:ascii="仿宋_GB2312" w:hAnsi="ˎ̥" w:eastAsia="仿宋_GB2312"/>
          <w:b/>
          <w:sz w:val="32"/>
          <w:szCs w:val="32"/>
        </w:rPr>
        <w:t>（项）</w:t>
      </w:r>
      <w:r>
        <w:rPr>
          <w:rFonts w:hint="eastAsia" w:ascii="仿宋_GB2312" w:hAnsi="ˎ̥" w:eastAsia="仿宋_GB2312"/>
          <w:b/>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68.33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68.33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numPr>
          <w:ilvl w:val="0"/>
          <w:numId w:val="0"/>
        </w:numPr>
        <w:ind w:firstLine="643" w:firstLineChars="200"/>
        <w:rPr>
          <w:rFonts w:hint="eastAsia" w:ascii="仿宋_GB2312" w:hAnsi="ˎ̥" w:eastAsia="仿宋_GB2312"/>
          <w:b/>
          <w:sz w:val="32"/>
          <w:szCs w:val="32"/>
          <w:lang w:eastAsia="zh-CN"/>
        </w:rPr>
      </w:pPr>
      <w:r>
        <w:rPr>
          <w:rFonts w:hint="eastAsia" w:ascii="仿宋_GB2312" w:hAnsi="ˎ̥" w:eastAsia="仿宋_GB2312"/>
          <w:b/>
          <w:sz w:val="32"/>
          <w:szCs w:val="32"/>
          <w:lang w:val="en-US" w:eastAsia="zh-CN"/>
        </w:rPr>
        <w:t>4.</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药品事务</w:t>
      </w:r>
      <w:r>
        <w:rPr>
          <w:rFonts w:hint="eastAsia" w:ascii="仿宋_GB2312" w:hAnsi="ˎ̥" w:eastAsia="仿宋_GB2312"/>
          <w:b/>
          <w:sz w:val="32"/>
          <w:szCs w:val="32"/>
        </w:rPr>
        <w:t>（项）</w:t>
      </w:r>
      <w:r>
        <w:rPr>
          <w:rFonts w:hint="eastAsia" w:ascii="仿宋_GB2312" w:hAnsi="ˎ̥" w:eastAsia="仿宋_GB2312"/>
          <w:b/>
          <w:sz w:val="32"/>
          <w:szCs w:val="32"/>
          <w:lang w:eastAsia="zh-CN"/>
        </w:rPr>
        <w:t>。</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16.84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决算数大于预算数的主要原因：</w:t>
      </w:r>
      <w:r>
        <w:rPr>
          <w:rFonts w:hint="eastAsia" w:ascii="仿宋_GB2312" w:hAnsi="ˎ̥" w:eastAsia="仿宋_GB2312"/>
          <w:sz w:val="32"/>
          <w:szCs w:val="32"/>
          <w:lang w:eastAsia="zh-CN"/>
        </w:rPr>
        <w:t>该资金为</w:t>
      </w:r>
      <w:r>
        <w:rPr>
          <w:rFonts w:hint="eastAsia" w:ascii="仿宋_GB2312" w:hAnsi="ˎ̥" w:eastAsia="仿宋_GB2312"/>
          <w:sz w:val="32"/>
          <w:szCs w:val="32"/>
          <w:lang w:val="en-US" w:eastAsia="zh-CN"/>
        </w:rPr>
        <w:t>2021年食品药品监管中央补助资金，由省里统一分配下达，不是年初预算安排资金</w:t>
      </w:r>
      <w:r>
        <w:rPr>
          <w:rFonts w:hint="eastAsia" w:ascii="仿宋_GB2312" w:hAnsi="ˎ̥" w:eastAsia="仿宋_GB2312"/>
          <w:sz w:val="32"/>
          <w:szCs w:val="32"/>
        </w:rPr>
        <w:t>。</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5.</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食品安全监管</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180.98</w:t>
      </w:r>
      <w:r>
        <w:rPr>
          <w:rFonts w:hint="eastAsia" w:ascii="仿宋_GB2312" w:hAnsi="ˎ̥" w:eastAsia="仿宋_GB2312"/>
          <w:sz w:val="32"/>
          <w:szCs w:val="32"/>
        </w:rPr>
        <w:t>万元。决算数大于预算数的主要原因：</w:t>
      </w:r>
      <w:r>
        <w:rPr>
          <w:rFonts w:hint="eastAsia" w:ascii="仿宋_GB2312" w:hAnsi="ˎ̥" w:eastAsia="仿宋_GB2312"/>
          <w:sz w:val="32"/>
          <w:szCs w:val="32"/>
          <w:lang w:eastAsia="zh-CN"/>
        </w:rPr>
        <w:t>该资金为</w:t>
      </w:r>
      <w:r>
        <w:rPr>
          <w:rFonts w:hint="eastAsia" w:ascii="仿宋_GB2312" w:hAnsi="ˎ̥" w:eastAsia="仿宋_GB2312"/>
          <w:sz w:val="32"/>
          <w:szCs w:val="32"/>
          <w:lang w:val="en-US" w:eastAsia="zh-CN"/>
        </w:rPr>
        <w:t>2021年食品药品监管中央补助资金，由省里统一分配下达，不是年初预算安排资金</w:t>
      </w:r>
      <w:r>
        <w:rPr>
          <w:rFonts w:hint="eastAsia" w:ascii="仿宋_GB2312" w:hAnsi="ˎ̥" w:eastAsia="仿宋_GB2312"/>
          <w:sz w:val="32"/>
          <w:szCs w:val="32"/>
        </w:rPr>
        <w:t>。</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6.</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事业运行</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29.04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51.43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177.1</w:t>
      </w:r>
      <w:r>
        <w:rPr>
          <w:rFonts w:hint="eastAsia" w:ascii="仿宋_GB2312" w:hAnsi="ˎ̥" w:eastAsia="仿宋_GB2312"/>
          <w:sz w:val="32"/>
          <w:szCs w:val="32"/>
        </w:rPr>
        <w:t>%。决算数大于预算数的主要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追加新录用人员经费。</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7.</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其他市场监督管理事务</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251.95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266.24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105.67</w:t>
      </w:r>
      <w:r>
        <w:rPr>
          <w:rFonts w:hint="eastAsia" w:ascii="仿宋_GB2312" w:hAnsi="ˎ̥" w:eastAsia="仿宋_GB2312"/>
          <w:sz w:val="32"/>
          <w:szCs w:val="32"/>
        </w:rPr>
        <w:t>%。决算数大于预算数的主要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：项目预算追加及调整。</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8.</w:t>
      </w:r>
      <w:r>
        <w:rPr>
          <w:rFonts w:hint="eastAsia" w:ascii="仿宋_GB2312" w:hAnsi="ˎ̥" w:eastAsia="仿宋_GB2312"/>
          <w:b/>
          <w:sz w:val="32"/>
          <w:szCs w:val="32"/>
          <w:lang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机关事业单位基本养老保险缴费支出</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227.5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201.38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88.52</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2021年人员调出，养老保险缴费减少</w:t>
      </w:r>
      <w:r>
        <w:rPr>
          <w:rFonts w:hint="eastAsia" w:ascii="仿宋_GB2312" w:hAnsi="ˎ̥" w:eastAsia="仿宋_GB2312"/>
          <w:sz w:val="32"/>
          <w:szCs w:val="32"/>
        </w:rPr>
        <w:t>。</w:t>
      </w:r>
    </w:p>
    <w:p>
      <w:pPr>
        <w:numPr>
          <w:ilvl w:val="0"/>
          <w:numId w:val="0"/>
        </w:numPr>
        <w:ind w:firstLine="643" w:firstLineChars="200"/>
        <w:rPr>
          <w:rFonts w:hint="default" w:ascii="仿宋_GB2312" w:hAnsi="ˎ̥" w:eastAsia="仿宋_GB2312"/>
          <w:sz w:val="32"/>
          <w:szCs w:val="32"/>
          <w:lang w:val="en-US" w:eastAsia="zh-CN"/>
        </w:rPr>
      </w:pPr>
      <w:r>
        <w:rPr>
          <w:rFonts w:hint="eastAsia" w:ascii="仿宋_GB2312" w:hAnsi="ˎ̥" w:eastAsia="仿宋_GB2312"/>
          <w:b/>
          <w:sz w:val="32"/>
          <w:szCs w:val="32"/>
          <w:lang w:val="en-US" w:eastAsia="zh-CN"/>
        </w:rPr>
        <w:t>9.</w:t>
      </w:r>
      <w:r>
        <w:rPr>
          <w:rFonts w:hint="eastAsia" w:ascii="仿宋_GB2312" w:hAnsi="ˎ̥" w:eastAsia="仿宋_GB2312"/>
          <w:b/>
          <w:sz w:val="32"/>
          <w:szCs w:val="32"/>
          <w:lang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机关事业单位职业年金缴费支出</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eastAsia" w:ascii="仿宋_GB2312" w:hAnsi="ˎ̥" w:eastAsia="仿宋_GB2312"/>
          <w:b/>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19.83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11.59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58.45</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2021年人员调出，职业年金缴费减少</w:t>
      </w:r>
      <w:r>
        <w:rPr>
          <w:rFonts w:hint="eastAsia" w:ascii="仿宋_GB2312" w:hAnsi="ˎ̥" w:eastAsia="仿宋_GB2312"/>
          <w:sz w:val="32"/>
          <w:szCs w:val="32"/>
        </w:rPr>
        <w:t>。</w:t>
      </w:r>
    </w:p>
    <w:p>
      <w:pPr>
        <w:numPr>
          <w:ilvl w:val="0"/>
          <w:numId w:val="0"/>
        </w:num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10.</w:t>
      </w:r>
      <w:r>
        <w:rPr>
          <w:rFonts w:hint="eastAsia" w:ascii="仿宋_GB2312" w:hAnsi="ˎ̥" w:eastAsia="仿宋_GB2312"/>
          <w:b/>
          <w:sz w:val="32"/>
          <w:szCs w:val="32"/>
          <w:lang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eastAsia="zh-CN"/>
        </w:rPr>
        <w:t>抚恤</w:t>
      </w:r>
      <w:r>
        <w:rPr>
          <w:rFonts w:hint="eastAsia" w:ascii="仿宋_GB2312" w:hAnsi="ˎ̥" w:eastAsia="仿宋_GB2312"/>
          <w:b/>
          <w:sz w:val="32"/>
          <w:szCs w:val="32"/>
        </w:rPr>
        <w:t>（款）</w:t>
      </w:r>
      <w:r>
        <w:rPr>
          <w:rFonts w:hint="eastAsia" w:ascii="仿宋_GB2312" w:hAnsi="ˎ̥" w:eastAsia="仿宋_GB2312"/>
          <w:b/>
          <w:sz w:val="32"/>
          <w:szCs w:val="32"/>
          <w:lang w:eastAsia="zh-CN"/>
        </w:rPr>
        <w:t>其他优抚支出</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15.74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14.73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93.58</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2021年遗属补助标准调低。</w:t>
      </w:r>
    </w:p>
    <w:p>
      <w:pPr>
        <w:numPr>
          <w:ilvl w:val="0"/>
          <w:numId w:val="0"/>
        </w:num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11.</w:t>
      </w:r>
      <w:r>
        <w:rPr>
          <w:rFonts w:hint="eastAsia" w:ascii="仿宋_GB2312" w:hAnsi="ˎ̥" w:eastAsia="仿宋_GB2312"/>
          <w:b/>
          <w:sz w:val="32"/>
          <w:szCs w:val="32"/>
          <w:lang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行政单位医疗</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118.83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104.01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87.53</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2021年人员调出，基本医疗保险缴费减少。</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12.</w:t>
      </w:r>
      <w:r>
        <w:rPr>
          <w:rFonts w:hint="eastAsia" w:ascii="仿宋_GB2312" w:hAnsi="ˎ̥" w:eastAsia="仿宋_GB2312"/>
          <w:b/>
          <w:sz w:val="32"/>
          <w:szCs w:val="32"/>
          <w:lang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事业单位医疗</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2.03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2.99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147.29</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2021年下属事业单位新录用2名编制人员，基本医疗保险缴费增加</w:t>
      </w:r>
      <w:r>
        <w:rPr>
          <w:rFonts w:hint="eastAsia" w:ascii="仿宋_GB2312" w:hAnsi="ˎ̥" w:eastAsia="仿宋_GB2312"/>
          <w:sz w:val="32"/>
          <w:szCs w:val="32"/>
        </w:rPr>
        <w:t>。</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13.</w:t>
      </w:r>
      <w:r>
        <w:rPr>
          <w:rFonts w:hint="eastAsia" w:ascii="仿宋_GB2312" w:hAnsi="ˎ̥" w:eastAsia="仿宋_GB2312"/>
          <w:b/>
          <w:sz w:val="32"/>
          <w:szCs w:val="32"/>
          <w:lang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公务员医疗补助</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228.91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211.63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92.45</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2021年人员调出，公务员医疗补助缴费减少</w:t>
      </w:r>
      <w:r>
        <w:rPr>
          <w:rFonts w:hint="eastAsia" w:ascii="仿宋_GB2312" w:hAnsi="ˎ̥" w:eastAsia="仿宋_GB2312"/>
          <w:sz w:val="32"/>
          <w:szCs w:val="32"/>
        </w:rPr>
        <w:t>。</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14.</w:t>
      </w:r>
      <w:r>
        <w:rPr>
          <w:rFonts w:hint="eastAsia" w:ascii="仿宋_GB2312" w:hAnsi="ˎ̥" w:eastAsia="仿宋_GB2312"/>
          <w:b/>
          <w:sz w:val="32"/>
          <w:szCs w:val="32"/>
          <w:lang w:eastAsia="zh-CN"/>
        </w:rPr>
        <w:t>住房保障支出</w:t>
      </w:r>
      <w:r>
        <w:rPr>
          <w:rFonts w:hint="eastAsia" w:ascii="仿宋_GB2312" w:hAnsi="ˎ̥" w:eastAsia="仿宋_GB2312"/>
          <w:b/>
          <w:sz w:val="32"/>
          <w:szCs w:val="32"/>
        </w:rPr>
        <w:t>（类）</w:t>
      </w:r>
      <w:r>
        <w:rPr>
          <w:rFonts w:hint="eastAsia" w:ascii="仿宋_GB2312" w:hAnsi="ˎ̥" w:eastAsia="仿宋_GB2312"/>
          <w:b/>
          <w:sz w:val="32"/>
          <w:szCs w:val="32"/>
          <w:lang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eastAsia="zh-CN"/>
        </w:rPr>
        <w:t>住房公积金</w:t>
      </w:r>
      <w:r>
        <w:rPr>
          <w:rFonts w:hint="eastAsia" w:ascii="仿宋_GB2312" w:hAnsi="ˎ̥" w:eastAsia="仿宋_GB2312"/>
          <w:b/>
          <w:sz w:val="32"/>
          <w:szCs w:val="32"/>
        </w:rPr>
        <w:t>（项）</w:t>
      </w:r>
      <w:r>
        <w:rPr>
          <w:rFonts w:hint="eastAsia" w:ascii="仿宋_GB2312" w:hAnsi="ˎ̥" w:eastAsia="仿宋_GB2312"/>
          <w:b/>
          <w:sz w:val="32"/>
          <w:szCs w:val="32"/>
          <w:lang w:val="en-US" w:eastAsia="zh-CN"/>
        </w:rPr>
        <w:t>。</w:t>
      </w:r>
    </w:p>
    <w:p>
      <w:pPr>
        <w:numPr>
          <w:ilvl w:val="0"/>
          <w:numId w:val="0"/>
        </w:num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190.99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171.57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89.83</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w:t>
      </w:r>
      <w:r>
        <w:rPr>
          <w:rFonts w:hint="eastAsia" w:ascii="仿宋_GB2312" w:hAnsi="ˎ̥" w:eastAsia="仿宋_GB2312"/>
          <w:color w:val="auto"/>
          <w:sz w:val="32"/>
          <w:szCs w:val="32"/>
        </w:rPr>
        <w:t>原因</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2021年人员调出，住房公积金缴费减少</w:t>
      </w:r>
      <w:r>
        <w:rPr>
          <w:rFonts w:hint="eastAsia" w:ascii="仿宋_GB2312" w:hAnsi="ˎ̥" w:eastAsia="仿宋_GB2312"/>
          <w:sz w:val="32"/>
          <w:szCs w:val="32"/>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2740.44</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2481.59</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基本工资、津贴补贴、奖金、绩效工资、</w:t>
      </w:r>
      <w:r>
        <w:rPr>
          <w:rFonts w:hint="eastAsia" w:ascii="仿宋_GB2312" w:hAnsi="ˎ̥" w:eastAsia="仿宋_GB2312"/>
          <w:sz w:val="32"/>
          <w:szCs w:val="32"/>
          <w:lang w:eastAsia="zh-CN"/>
        </w:rPr>
        <w:t>机关事业单位基本养老保险缴费、职业年金缴费、职工基本医疗保险缴费、公务员医疗补助缴费、其他社会保障缴费、住房公积金；对个人和家庭的补助中的</w:t>
      </w:r>
      <w:r>
        <w:rPr>
          <w:rFonts w:hint="eastAsia" w:ascii="仿宋_GB2312" w:hAnsi="ˎ̥" w:eastAsia="仿宋_GB2312"/>
          <w:sz w:val="32"/>
          <w:szCs w:val="32"/>
        </w:rPr>
        <w:t>生活补助</w:t>
      </w:r>
      <w:r>
        <w:rPr>
          <w:rFonts w:hint="eastAsia" w:ascii="仿宋_GB2312" w:hAnsi="ˎ̥" w:eastAsia="仿宋_GB2312"/>
          <w:sz w:val="32"/>
          <w:szCs w:val="32"/>
          <w:lang w:eastAsia="zh-CN"/>
        </w:rPr>
        <w:t>、</w:t>
      </w:r>
      <w:r>
        <w:rPr>
          <w:rFonts w:hint="eastAsia" w:ascii="仿宋_GB2312" w:hAnsi="ˎ̥" w:eastAsia="仿宋_GB2312"/>
          <w:sz w:val="32"/>
          <w:szCs w:val="32"/>
        </w:rPr>
        <w:t>其他对个人和家庭的补助。公用经费</w:t>
      </w:r>
      <w:r>
        <w:rPr>
          <w:rFonts w:hint="eastAsia" w:ascii="仿宋_GB2312" w:hAnsi="ˎ̥" w:eastAsia="仿宋_GB2312"/>
          <w:sz w:val="32"/>
          <w:szCs w:val="32"/>
          <w:lang w:val="en-US" w:eastAsia="zh-CN"/>
        </w:rPr>
        <w:t>258.85</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办公费、印刷费、水费、电费、邮电费、物业管理费、差旅费、维修（护）费、租赁费、会议费、培训费、劳务费、工会经费、公务用车运行维护费、其他交通费用、其他商品和服务支出</w:t>
      </w:r>
      <w:r>
        <w:rPr>
          <w:rFonts w:hint="eastAsia" w:ascii="仿宋_GB2312" w:hAnsi="ˎ̥" w:eastAsia="仿宋_GB2312"/>
          <w:sz w:val="32"/>
          <w:szCs w:val="32"/>
          <w:lang w:eastAsia="zh-CN"/>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586.68</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14.7</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265.41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82.61</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2021年国有资产处置税金调增</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586.68</w:t>
      </w:r>
      <w:r>
        <w:rPr>
          <w:rFonts w:hint="eastAsia" w:ascii="仿宋_GB2312" w:hAnsi="ˎ̥" w:eastAsia="仿宋_GB2312"/>
          <w:sz w:val="32"/>
          <w:szCs w:val="32"/>
        </w:rPr>
        <w:t>万元，主要用于以下方面：</w:t>
      </w:r>
      <w:r>
        <w:rPr>
          <w:rFonts w:hint="eastAsia" w:ascii="仿宋_GB2312" w:hAnsi="ˎ̥" w:eastAsia="仿宋_GB2312"/>
          <w:sz w:val="32"/>
          <w:szCs w:val="32"/>
          <w:lang w:eastAsia="zh-CN"/>
        </w:rPr>
        <w:t>城乡社区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586.68</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251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586.68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233.74</w:t>
      </w:r>
      <w:r>
        <w:rPr>
          <w:rFonts w:hint="eastAsia" w:ascii="仿宋_GB2312" w:hAnsi="ˎ̥" w:eastAsia="仿宋_GB2312"/>
          <w:sz w:val="32"/>
          <w:szCs w:val="32"/>
        </w:rPr>
        <w:t>%。其中：</w:t>
      </w:r>
      <w:r>
        <w:rPr>
          <w:rFonts w:hint="eastAsia" w:ascii="仿宋_GB2312" w:hAnsi="ˎ̥" w:eastAsia="仿宋_GB2312"/>
          <w:sz w:val="32"/>
          <w:szCs w:val="32"/>
          <w:lang w:eastAsia="zh-CN"/>
        </w:rPr>
        <w:t>城乡社区</w:t>
      </w:r>
      <w:r>
        <w:rPr>
          <w:rFonts w:hint="eastAsia" w:ascii="仿宋_GB2312" w:hAnsi="ˎ̥" w:eastAsia="仿宋_GB2312"/>
          <w:b/>
          <w:sz w:val="32"/>
          <w:szCs w:val="32"/>
        </w:rPr>
        <w:t>（类）</w:t>
      </w:r>
      <w:r>
        <w:rPr>
          <w:rFonts w:hint="eastAsia" w:ascii="仿宋_GB2312" w:hAnsi="ˎ̥" w:eastAsia="仿宋_GB2312"/>
          <w:sz w:val="32"/>
          <w:szCs w:val="32"/>
          <w:lang w:eastAsia="zh-CN"/>
        </w:rPr>
        <w:t>国有土地使用权出让收入安排的支出</w:t>
      </w:r>
      <w:r>
        <w:rPr>
          <w:rFonts w:hint="eastAsia" w:ascii="仿宋_GB2312" w:hAnsi="ˎ̥" w:eastAsia="仿宋_GB2312"/>
          <w:b/>
          <w:sz w:val="32"/>
          <w:szCs w:val="32"/>
        </w:rPr>
        <w:t>（款）</w:t>
      </w:r>
      <w:r>
        <w:rPr>
          <w:rFonts w:hint="eastAsia" w:ascii="仿宋_GB2312" w:hAnsi="ˎ̥" w:eastAsia="仿宋_GB2312"/>
          <w:sz w:val="32"/>
          <w:szCs w:val="32"/>
          <w:lang w:eastAsia="zh-CN"/>
        </w:rPr>
        <w:t>其他国有土地使用权出让收入安排的支出</w:t>
      </w:r>
      <w:r>
        <w:rPr>
          <w:rFonts w:hint="eastAsia" w:ascii="仿宋_GB2312" w:hAnsi="ˎ̥" w:eastAsia="仿宋_GB2312"/>
          <w:b/>
          <w:sz w:val="32"/>
          <w:szCs w:val="32"/>
        </w:rPr>
        <w:t>（项）。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251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586.68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233.74</w:t>
      </w:r>
      <w:r>
        <w:rPr>
          <w:rFonts w:hint="eastAsia" w:ascii="仿宋_GB2312" w:hAnsi="ˎ̥" w:eastAsia="仿宋_GB2312"/>
          <w:sz w:val="32"/>
          <w:szCs w:val="32"/>
        </w:rPr>
        <w:t>%。决算数大于预算数的主要原因：一是</w:t>
      </w:r>
      <w:r>
        <w:rPr>
          <w:rFonts w:hint="eastAsia" w:ascii="仿宋_GB2312" w:hAnsi="ˎ̥" w:eastAsia="仿宋_GB2312"/>
          <w:sz w:val="32"/>
          <w:szCs w:val="32"/>
          <w:lang w:val="en-US" w:eastAsia="zh-CN"/>
        </w:rPr>
        <w:t>2021年国有资产处置税金调增</w:t>
      </w:r>
      <w:r>
        <w:rPr>
          <w:rFonts w:hint="eastAsia" w:ascii="仿宋_GB2312" w:hAnsi="ˎ̥" w:eastAsia="仿宋_GB2312"/>
          <w:sz w:val="32"/>
          <w:szCs w:val="32"/>
        </w:rPr>
        <w:t>；二是</w:t>
      </w:r>
      <w:r>
        <w:rPr>
          <w:rFonts w:hint="eastAsia" w:ascii="仿宋_GB2312" w:hAnsi="ˎ̥" w:eastAsia="仿宋_GB2312"/>
          <w:sz w:val="32"/>
          <w:szCs w:val="32"/>
          <w:lang w:eastAsia="zh-CN"/>
        </w:rPr>
        <w:t>追加项目经费</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eastAsia="zh-CN"/>
        </w:rPr>
        <w:t>无增减</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62.01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35.79</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57.72</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34.88</w:t>
      </w:r>
      <w:r>
        <w:rPr>
          <w:rFonts w:hint="eastAsia" w:ascii="仿宋_GB2312" w:hAnsi="ˎ̥" w:eastAsia="仿宋_GB2312"/>
          <w:sz w:val="32"/>
          <w:szCs w:val="32"/>
        </w:rPr>
        <w:t>万元，占</w:t>
      </w:r>
      <w:r>
        <w:rPr>
          <w:rFonts w:hint="eastAsia" w:ascii="仿宋_GB2312" w:hAnsi="ˎ̥" w:eastAsia="仿宋_GB2312"/>
          <w:sz w:val="32"/>
          <w:szCs w:val="32"/>
          <w:lang w:val="en-US" w:eastAsia="zh-CN"/>
        </w:rPr>
        <w:t>97.46</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0.9</w:t>
      </w:r>
      <w:r>
        <w:rPr>
          <w:rFonts w:hint="eastAsia" w:ascii="仿宋_GB2312" w:hAnsi="ˎ̥" w:eastAsia="仿宋_GB2312"/>
          <w:sz w:val="32"/>
          <w:szCs w:val="32"/>
        </w:rPr>
        <w:t>万元，占</w:t>
      </w:r>
      <w:r>
        <w:rPr>
          <w:rFonts w:hint="eastAsia" w:ascii="仿宋_GB2312" w:hAnsi="ˎ̥" w:eastAsia="仿宋_GB2312"/>
          <w:sz w:val="32"/>
          <w:szCs w:val="32"/>
          <w:lang w:val="en-US" w:eastAsia="zh-CN"/>
        </w:rPr>
        <w:t>2.51</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人次。因公出国（境）费支出决算</w:t>
      </w:r>
      <w:r>
        <w:rPr>
          <w:rFonts w:hint="eastAsia" w:ascii="仿宋_GB2312" w:hAnsi="ˎ̥" w:eastAsia="仿宋_GB2312"/>
          <w:sz w:val="32"/>
          <w:szCs w:val="32"/>
          <w:lang w:val="en-US" w:eastAsia="zh-CN"/>
        </w:rPr>
        <w:t>比预算数无增减。</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sz w:val="32"/>
          <w:szCs w:val="32"/>
          <w:lang w:val="en-US" w:eastAsia="zh-CN"/>
        </w:rPr>
        <w:t>34.88</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30</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34.88</w:t>
      </w:r>
      <w:r>
        <w:rPr>
          <w:rFonts w:hint="eastAsia" w:ascii="仿宋_GB2312" w:hAnsi="ˎ̥" w:eastAsia="仿宋_GB2312"/>
          <w:sz w:val="32"/>
          <w:szCs w:val="32"/>
        </w:rPr>
        <w:t>万元，主要用于</w:t>
      </w:r>
      <w:r>
        <w:rPr>
          <w:rFonts w:hint="eastAsia" w:ascii="仿宋_GB2312" w:hAnsi="ˎ̥" w:eastAsia="仿宋_GB2312"/>
          <w:sz w:val="32"/>
          <w:szCs w:val="32"/>
          <w:lang w:eastAsia="zh-CN"/>
        </w:rPr>
        <w:t>公务用车燃油费、维修保养、保险费等的开支</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比预算数减少25.13万元，下降41.88%。主要原因是单位加强公务用车的管理。本年决算数较上年增加7.32万元，增长26.56%。主要原因是公车使用次数多，公车机能损耗较大。</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0.9</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0.9</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7</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92</w:t>
      </w:r>
      <w:r>
        <w:rPr>
          <w:rFonts w:hint="eastAsia" w:ascii="仿宋_GB2312" w:hAnsi="ˎ̥" w:eastAsia="仿宋_GB2312"/>
          <w:sz w:val="32"/>
          <w:szCs w:val="32"/>
          <w:lang w:eastAsia="zh-CN"/>
        </w:rPr>
        <w:t>人次；</w:t>
      </w:r>
      <w:r>
        <w:rPr>
          <w:rFonts w:hint="eastAsia" w:ascii="仿宋_GB2312" w:hAnsi="ˎ̥" w:eastAsia="仿宋_GB2312"/>
          <w:sz w:val="32"/>
          <w:szCs w:val="32"/>
        </w:rPr>
        <w:t>主要用于</w:t>
      </w:r>
      <w:r>
        <w:rPr>
          <w:rFonts w:hint="eastAsia" w:ascii="仿宋_GB2312" w:hAnsi="ˎ̥" w:eastAsia="仿宋_GB2312"/>
          <w:sz w:val="32"/>
          <w:szCs w:val="32"/>
          <w:lang w:eastAsia="zh-CN"/>
        </w:rPr>
        <w:t>接待餐费开支</w:t>
      </w:r>
      <w:r>
        <w:rPr>
          <w:rFonts w:hint="eastAsia" w:ascii="仿宋_GB2312" w:hAnsi="ˎ̥" w:eastAsia="仿宋_GB2312"/>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公务接待费支出决算数比预算数减少1.1万元，下降55%。主要原因是疫情期间，外单位赴我局交流学习减少。</w:t>
      </w:r>
      <w:r>
        <w:rPr>
          <w:rFonts w:hint="eastAsia" w:ascii="仿宋_GB2312" w:hAnsi="ˎ̥" w:eastAsia="仿宋_GB2312"/>
          <w:sz w:val="32"/>
          <w:szCs w:val="32"/>
          <w:lang w:val="en-US" w:eastAsia="zh-CN"/>
        </w:rPr>
        <w:t>本年决算数较上年增加0.63万元，增长233.33%。主要原因是2021年新冠疫情缓和，外单位赴我局交流学习较上年有所增长。</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0.33</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0.33</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0" w:firstLineChars="200"/>
        <w:rPr>
          <w:rFonts w:hint="eastAsia" w:ascii="仿宋_GB2312" w:eastAsia="仿宋_GB2312"/>
          <w:color w:val="FF0000"/>
          <w:sz w:val="32"/>
          <w:szCs w:val="32"/>
        </w:rPr>
      </w:pPr>
      <w:r>
        <w:rPr>
          <w:rFonts w:hint="eastAsia" w:ascii="仿宋_GB2312" w:hAnsi="仿宋_GB2312" w:eastAsia="仿宋_GB2312"/>
          <w:color w:val="000000"/>
          <w:kern w:val="0"/>
          <w:sz w:val="32"/>
          <w:szCs w:val="32"/>
        </w:rPr>
        <w:t>根据财政预算管理要求，我部门组织对</w:t>
      </w:r>
      <w:r>
        <w:rPr>
          <w:rFonts w:hint="eastAsia" w:ascii="仿宋_GB2312" w:hAnsi="仿宋_GB2312" w:eastAsia="仿宋_GB2312"/>
          <w:color w:val="000000"/>
          <w:kern w:val="0"/>
          <w:sz w:val="32"/>
          <w:szCs w:val="32"/>
          <w:lang w:eastAsia="zh-CN"/>
        </w:rPr>
        <w:t>202</w:t>
      </w:r>
      <w:r>
        <w:rPr>
          <w:rFonts w:hint="eastAsia" w:ascii="仿宋_GB2312" w:hAnsi="仿宋_GB2312" w:eastAsia="仿宋_GB2312"/>
          <w:color w:val="000000"/>
          <w:kern w:val="0"/>
          <w:sz w:val="32"/>
          <w:szCs w:val="32"/>
          <w:lang w:val="en-US" w:eastAsia="zh-CN"/>
        </w:rPr>
        <w:t>1</w:t>
      </w:r>
      <w:r>
        <w:rPr>
          <w:rFonts w:hint="eastAsia" w:ascii="仿宋_GB2312" w:hAnsi="仿宋_GB2312" w:eastAsia="仿宋_GB2312"/>
          <w:color w:val="000000"/>
          <w:kern w:val="0"/>
          <w:sz w:val="32"/>
          <w:szCs w:val="32"/>
          <w:lang w:eastAsia="zh-CN"/>
        </w:rPr>
        <w:t>年度</w:t>
      </w:r>
      <w:r>
        <w:rPr>
          <w:rFonts w:hint="eastAsia" w:ascii="仿宋_GB2312" w:hAnsi="仿宋_GB2312" w:eastAsia="仿宋_GB2312"/>
          <w:color w:val="000000"/>
          <w:kern w:val="0"/>
          <w:sz w:val="32"/>
          <w:szCs w:val="32"/>
        </w:rPr>
        <w:t>一般公共预算项目支出全面开展绩效自评。自评项目</w:t>
      </w:r>
      <w:r>
        <w:rPr>
          <w:rFonts w:hint="eastAsia" w:ascii="仿宋_GB2312" w:hAnsi="仿宋_GB2312" w:eastAsia="仿宋_GB2312"/>
          <w:color w:val="000000"/>
          <w:kern w:val="0"/>
          <w:sz w:val="32"/>
          <w:szCs w:val="32"/>
          <w:lang w:val="en-US" w:eastAsia="zh-CN"/>
        </w:rPr>
        <w:t>29</w:t>
      </w:r>
      <w:r>
        <w:rPr>
          <w:rFonts w:hint="eastAsia" w:ascii="仿宋_GB2312" w:hAnsi="仿宋_GB2312" w:eastAsia="仿宋_GB2312"/>
          <w:color w:val="000000"/>
          <w:kern w:val="0"/>
          <w:sz w:val="32"/>
          <w:szCs w:val="32"/>
        </w:rPr>
        <w:t>个，共涉及资金</w:t>
      </w:r>
      <w:r>
        <w:rPr>
          <w:rFonts w:hint="eastAsia" w:ascii="仿宋_GB2312" w:hAnsi="仿宋_GB2312" w:eastAsia="仿宋_GB2312"/>
          <w:color w:val="000000"/>
          <w:kern w:val="0"/>
          <w:sz w:val="32"/>
          <w:szCs w:val="32"/>
          <w:lang w:val="en-US" w:eastAsia="zh-CN"/>
        </w:rPr>
        <w:t>3902.62</w:t>
      </w:r>
      <w:r>
        <w:rPr>
          <w:rFonts w:hint="eastAsia" w:ascii="仿宋_GB2312" w:hAnsi="仿宋_GB2312" w:eastAsia="仿宋_GB2312"/>
          <w:color w:val="000000"/>
          <w:kern w:val="0"/>
          <w:sz w:val="32"/>
          <w:szCs w:val="32"/>
        </w:rPr>
        <w:t>万元，自评覆盖率达到</w:t>
      </w:r>
      <w:r>
        <w:rPr>
          <w:rFonts w:hint="eastAsia" w:ascii="仿宋_GB2312" w:hAnsi="仿宋_GB2312" w:eastAsia="仿宋_GB2312"/>
          <w:color w:val="000000"/>
          <w:kern w:val="0"/>
          <w:sz w:val="32"/>
          <w:szCs w:val="32"/>
          <w:lang w:val="en-US" w:eastAsia="zh-CN"/>
        </w:rPr>
        <w:t>100</w:t>
      </w:r>
      <w:r>
        <w:rPr>
          <w:rFonts w:hint="eastAsia" w:ascii="仿宋_GB2312" w:hAnsi="仿宋_GB2312" w:eastAsia="仿宋_GB2312"/>
          <w:color w:val="000000"/>
          <w:kern w:val="0"/>
          <w:sz w:val="32"/>
          <w:szCs w:val="32"/>
        </w:rPr>
        <w:t>%。我</w:t>
      </w:r>
      <w:r>
        <w:rPr>
          <w:rFonts w:hint="eastAsia" w:ascii="仿宋_GB2312" w:eastAsia="仿宋_GB2312"/>
          <w:sz w:val="32"/>
          <w:szCs w:val="32"/>
        </w:rPr>
        <w:t>局</w:t>
      </w:r>
      <w:r>
        <w:rPr>
          <w:rFonts w:hint="eastAsia" w:ascii="仿宋_GB2312" w:hAnsi="仿宋_GB2312" w:eastAsia="仿宋_GB2312"/>
          <w:color w:val="000000"/>
          <w:kern w:val="0"/>
          <w:sz w:val="32"/>
          <w:szCs w:val="32"/>
        </w:rPr>
        <w:t>严格按照财务制度的规定，做到对项目资金合理使用，专款专用，且按照法律法规的规定开展行政管理和行政执法工作，包括进一步深化商事制度改革，提升服务效能，释放经济发展活力；开展</w:t>
      </w:r>
      <w:r>
        <w:rPr>
          <w:rFonts w:hint="eastAsia" w:ascii="仿宋_GB2312" w:hAnsi="仿宋_GB2312" w:eastAsia="仿宋_GB2312"/>
          <w:color w:val="000000"/>
          <w:sz w:val="32"/>
          <w:szCs w:val="32"/>
        </w:rPr>
        <w:t>企业年报公示信息的抽查工作，完善企业信用体系建设</w:t>
      </w:r>
      <w:r>
        <w:rPr>
          <w:rFonts w:hint="eastAsia" w:ascii="仿宋_GB2312" w:hAnsi="仿宋_GB2312" w:eastAsia="仿宋_GB2312"/>
          <w:color w:val="000000"/>
          <w:kern w:val="0"/>
          <w:sz w:val="32"/>
          <w:szCs w:val="32"/>
        </w:rPr>
        <w:t>；开展</w:t>
      </w:r>
      <w:r>
        <w:rPr>
          <w:rFonts w:hint="eastAsia" w:ascii="仿宋_GB2312" w:hAnsi="仿宋_GB2312" w:eastAsia="仿宋_GB2312"/>
          <w:color w:val="000000"/>
          <w:sz w:val="32"/>
          <w:szCs w:val="32"/>
        </w:rPr>
        <w:t>流通领域商品质量抽查检验工作，营造安全放心的消费环境</w:t>
      </w:r>
      <w:r>
        <w:rPr>
          <w:rFonts w:hint="eastAsia" w:ascii="仿宋_GB2312" w:hAnsi="仿宋_GB2312" w:eastAsia="仿宋_GB2312"/>
          <w:color w:val="000000"/>
          <w:kern w:val="0"/>
          <w:sz w:val="32"/>
          <w:szCs w:val="32"/>
        </w:rPr>
        <w:t>；</w:t>
      </w:r>
      <w:r>
        <w:rPr>
          <w:rFonts w:ascii="仿宋_GB2312" w:hAnsi="仿宋_GB2312" w:eastAsia="仿宋_GB2312"/>
          <w:color w:val="000000"/>
          <w:sz w:val="32"/>
          <w:szCs w:val="32"/>
        </w:rPr>
        <w:t>组织开展食品质量安全监</w:t>
      </w:r>
      <w:r>
        <w:rPr>
          <w:rFonts w:ascii="仿宋_GB2312" w:hAnsi="仿宋_GB2312" w:eastAsia="仿宋_GB2312"/>
          <w:color w:val="000000"/>
          <w:kern w:val="0"/>
          <w:sz w:val="32"/>
          <w:szCs w:val="32"/>
        </w:rPr>
        <w:t>督抽检、风险监测、核查处置和风险预警、风险交流工作</w:t>
      </w:r>
      <w:r>
        <w:rPr>
          <w:rFonts w:hint="eastAsia" w:ascii="仿宋_GB2312" w:hAnsi="仿宋_GB2312" w:eastAsia="仿宋_GB2312"/>
          <w:color w:val="000000"/>
          <w:kern w:val="0"/>
          <w:sz w:val="32"/>
          <w:szCs w:val="32"/>
        </w:rPr>
        <w:t>；监督实施药品、医疗器械生产、流通、使用和医疗单位制剂质量管理规范，负责对药品零售企业药品经营质量管理规范的认证和公示；开展普法教育宣传工作等。</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9" w:name="_Toc5978_WPSOffice_Level2"/>
      <w:bookmarkStart w:id="100" w:name="_Toc15262_WPSOffice_Level2"/>
      <w:bookmarkStart w:id="101" w:name="_Toc15565_WPSOffice_Level2"/>
      <w:bookmarkStart w:id="102" w:name="_Toc23598_WPSOffice_Level2"/>
      <w:bookmarkStart w:id="103" w:name="_Toc18325_WPSOffice_Level2"/>
      <w:bookmarkStart w:id="104" w:name="_Toc32639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9"/>
      <w:bookmarkEnd w:id="100"/>
      <w:bookmarkEnd w:id="101"/>
      <w:bookmarkEnd w:id="102"/>
      <w:bookmarkEnd w:id="103"/>
      <w:bookmarkEnd w:id="104"/>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年度琼海市市场监督管理局</w:t>
      </w:r>
      <w:r>
        <w:rPr>
          <w:rFonts w:hint="eastAsia" w:ascii="仿宋_GB2312" w:hAnsi="ˎ̥" w:eastAsia="仿宋_GB2312"/>
          <w:sz w:val="32"/>
          <w:szCs w:val="32"/>
        </w:rPr>
        <w:t>机关运行经费</w:t>
      </w:r>
      <w:r>
        <w:rPr>
          <w:rFonts w:hint="eastAsia" w:ascii="仿宋_GB2312" w:hAnsi="ˎ̥" w:eastAsia="仿宋_GB2312"/>
          <w:sz w:val="32"/>
          <w:szCs w:val="32"/>
          <w:lang w:val="en-US" w:eastAsia="zh-CN"/>
        </w:rPr>
        <w:t>258.85</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r>
        <w:rPr>
          <w:rFonts w:hint="eastAsia" w:ascii="仿宋_GB2312" w:hAnsi="ˎ̥" w:eastAsia="仿宋_GB2312"/>
          <w:sz w:val="32"/>
          <w:szCs w:val="32"/>
        </w:rPr>
        <w:t>增加</w:t>
      </w:r>
      <w:r>
        <w:rPr>
          <w:rFonts w:hint="eastAsia" w:ascii="仿宋_GB2312" w:hAnsi="ˎ̥" w:eastAsia="仿宋_GB2312"/>
          <w:sz w:val="32"/>
          <w:szCs w:val="32"/>
          <w:lang w:val="en-US" w:eastAsia="zh-CN"/>
        </w:rPr>
        <w:t>1.87</w:t>
      </w:r>
      <w:r>
        <w:rPr>
          <w:rFonts w:hint="eastAsia" w:ascii="仿宋_GB2312" w:hAnsi="ˎ̥" w:eastAsia="仿宋_GB2312"/>
          <w:sz w:val="32"/>
          <w:szCs w:val="32"/>
        </w:rPr>
        <w:t>万元，增长</w:t>
      </w:r>
      <w:r>
        <w:rPr>
          <w:rFonts w:hint="eastAsia" w:ascii="仿宋_GB2312" w:hAnsi="ˎ̥" w:eastAsia="仿宋_GB2312"/>
          <w:sz w:val="32"/>
          <w:szCs w:val="32"/>
          <w:lang w:val="en-US" w:eastAsia="zh-CN"/>
        </w:rPr>
        <w:t>0.73</w:t>
      </w:r>
      <w:r>
        <w:rPr>
          <w:rFonts w:hint="eastAsia" w:ascii="仿宋_GB2312" w:hAnsi="ˎ̥" w:eastAsia="仿宋_GB2312"/>
          <w:sz w:val="32"/>
          <w:szCs w:val="32"/>
        </w:rPr>
        <w:t>%。主要</w:t>
      </w:r>
      <w:r>
        <w:rPr>
          <w:rFonts w:hint="eastAsia" w:ascii="仿宋_GB2312" w:hAnsi="ˎ̥" w:eastAsia="仿宋_GB2312"/>
          <w:color w:val="auto"/>
          <w:sz w:val="32"/>
          <w:szCs w:val="32"/>
        </w:rPr>
        <w:t>原因</w:t>
      </w:r>
      <w:r>
        <w:rPr>
          <w:rFonts w:hint="eastAsia" w:ascii="仿宋_GB2312" w:hAnsi="ˎ̥" w:eastAsia="仿宋_GB2312"/>
          <w:sz w:val="32"/>
          <w:szCs w:val="32"/>
        </w:rPr>
        <w:t>是：</w:t>
      </w:r>
      <w:r>
        <w:rPr>
          <w:rFonts w:hint="eastAsia" w:ascii="仿宋_GB2312" w:hAnsi="ˎ̥" w:eastAsia="仿宋_GB2312"/>
          <w:sz w:val="32"/>
          <w:szCs w:val="32"/>
          <w:lang w:val="en-US" w:eastAsia="zh-CN"/>
        </w:rPr>
        <w:t>2021年年初预算金额为256.98万元，调整预算数258.85万元，与决算一致</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5" w:name="_Toc3131_WPSOffice_Level2"/>
      <w:bookmarkStart w:id="106" w:name="_Toc13084_WPSOffice_Level2"/>
      <w:bookmarkStart w:id="107" w:name="_Toc32689_WPSOffice_Level2"/>
      <w:bookmarkStart w:id="108" w:name="_Toc25333_WPSOffice_Level2"/>
      <w:bookmarkStart w:id="109" w:name="_Toc23966_WPSOffice_Level2"/>
      <w:bookmarkStart w:id="110" w:name="_Toc30383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5"/>
      <w:bookmarkEnd w:id="106"/>
      <w:bookmarkEnd w:id="107"/>
      <w:bookmarkEnd w:id="108"/>
      <w:bookmarkEnd w:id="109"/>
      <w:bookmarkEnd w:id="110"/>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年度琼海市市场监督管理局</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380.96</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58.90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322.06</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11" w:name="_Toc29584_WPSOffice_Level2"/>
      <w:bookmarkStart w:id="112" w:name="_Toc6016_WPSOffice_Level2"/>
      <w:bookmarkStart w:id="113" w:name="_Toc527_WPSOffice_Level2"/>
      <w:bookmarkStart w:id="114" w:name="_Toc19989_WPSOffice_Level2"/>
      <w:bookmarkStart w:id="115" w:name="_Toc10902_WPSOffice_Level2"/>
      <w:bookmarkStart w:id="116" w:name="_Toc1512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11"/>
      <w:bookmarkEnd w:id="112"/>
      <w:bookmarkEnd w:id="113"/>
      <w:bookmarkEnd w:id="114"/>
      <w:bookmarkEnd w:id="115"/>
      <w:bookmarkEnd w:id="116"/>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本部门占用房屋面积16378.69平方米，其中：办公用房0平方米，业务用房16378.69平方米，其他（不含构筑物）0平方米。</w:t>
      </w:r>
    </w:p>
    <w:p>
      <w:pPr>
        <w:spacing w:line="578" w:lineRule="exact"/>
        <w:ind w:firstLine="640" w:firstLineChars="200"/>
        <w:rPr>
          <w:rFonts w:hint="eastAsia" w:ascii="仿宋_GB2312" w:hAnsi="ˎ̥" w:eastAsia="仿宋_GB2312"/>
          <w:color w:val="auto"/>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30</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轿车19</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2</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9</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rPr>
        <w:t>主要是</w:t>
      </w:r>
      <w:r>
        <w:rPr>
          <w:rFonts w:hint="eastAsia" w:ascii="仿宋_GB2312" w:hAnsi="ˎ̥" w:eastAsia="仿宋_GB2312"/>
          <w:color w:val="auto"/>
          <w:sz w:val="32"/>
          <w:szCs w:val="32"/>
        </w:rPr>
        <w:t>面包车、小货车、皮卡车和食品检测车</w:t>
      </w:r>
      <w:r>
        <w:rPr>
          <w:rFonts w:hint="eastAsia" w:ascii="仿宋_GB2312" w:hAnsi="ˎ̥" w:eastAsia="仿宋_GB2312"/>
          <w:color w:val="auto"/>
          <w:sz w:val="32"/>
          <w:szCs w:val="32"/>
          <w:lang w:eastAsia="zh-CN"/>
        </w:rPr>
        <w:t>；从车辆使用情况说明：主要领导干部用车</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辆、</w:t>
      </w:r>
      <w:r>
        <w:rPr>
          <w:rFonts w:hint="eastAsia" w:ascii="仿宋_GB2312" w:hAnsi="ˎ̥" w:eastAsia="仿宋_GB2312"/>
          <w:color w:val="auto"/>
          <w:sz w:val="32"/>
          <w:szCs w:val="32"/>
          <w:lang w:eastAsia="zh-CN"/>
        </w:rPr>
        <w:t>机要通信用车</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辆、</w:t>
      </w:r>
      <w:r>
        <w:rPr>
          <w:rFonts w:hint="eastAsia" w:ascii="仿宋_GB2312" w:hAnsi="ˎ̥" w:eastAsia="仿宋_GB2312"/>
          <w:color w:val="auto"/>
          <w:sz w:val="32"/>
          <w:szCs w:val="32"/>
          <w:lang w:eastAsia="zh-CN"/>
        </w:rPr>
        <w:t>应急保障用车</w:t>
      </w:r>
      <w:r>
        <w:rPr>
          <w:rFonts w:hint="eastAsia" w:ascii="仿宋_GB2312" w:hAnsi="ˎ̥" w:eastAsia="仿宋_GB2312"/>
          <w:color w:val="auto"/>
          <w:sz w:val="32"/>
          <w:szCs w:val="32"/>
          <w:lang w:val="en-US" w:eastAsia="zh-CN"/>
        </w:rPr>
        <w:t>1</w:t>
      </w:r>
      <w:r>
        <w:rPr>
          <w:rFonts w:hint="eastAsia" w:ascii="仿宋_GB2312" w:hAnsi="ˎ̥" w:eastAsia="仿宋_GB2312"/>
          <w:color w:val="auto"/>
          <w:sz w:val="32"/>
          <w:szCs w:val="32"/>
        </w:rPr>
        <w:t>辆、</w:t>
      </w:r>
      <w:r>
        <w:rPr>
          <w:rFonts w:hint="eastAsia" w:ascii="仿宋_GB2312" w:hAnsi="ˎ̥" w:eastAsia="仿宋_GB2312"/>
          <w:color w:val="auto"/>
          <w:sz w:val="32"/>
          <w:szCs w:val="32"/>
          <w:lang w:eastAsia="zh-CN"/>
        </w:rPr>
        <w:t>执法执勤</w:t>
      </w:r>
      <w:r>
        <w:rPr>
          <w:rFonts w:hint="eastAsia" w:ascii="仿宋_GB2312" w:hAnsi="ˎ̥" w:eastAsia="仿宋_GB2312"/>
          <w:color w:val="auto"/>
          <w:sz w:val="32"/>
          <w:szCs w:val="32"/>
        </w:rPr>
        <w:t>用车</w:t>
      </w:r>
      <w:r>
        <w:rPr>
          <w:rFonts w:hint="eastAsia" w:ascii="仿宋_GB2312" w:hAnsi="ˎ̥" w:eastAsia="仿宋_GB2312"/>
          <w:color w:val="auto"/>
          <w:sz w:val="32"/>
          <w:szCs w:val="32"/>
          <w:lang w:val="en-US" w:eastAsia="zh-CN"/>
        </w:rPr>
        <w:t>26</w:t>
      </w:r>
      <w:r>
        <w:rPr>
          <w:rFonts w:hint="eastAsia" w:ascii="仿宋_GB2312" w:hAnsi="ˎ̥" w:eastAsia="仿宋_GB2312"/>
          <w:color w:val="auto"/>
          <w:sz w:val="32"/>
          <w:szCs w:val="32"/>
        </w:rPr>
        <w:t>辆、特种专业技术用车</w:t>
      </w:r>
      <w:r>
        <w:rPr>
          <w:rFonts w:hint="eastAsia" w:ascii="仿宋_GB2312" w:hAnsi="ˎ̥" w:eastAsia="仿宋_GB2312"/>
          <w:color w:val="auto"/>
          <w:sz w:val="32"/>
          <w:szCs w:val="32"/>
          <w:lang w:val="en-US" w:eastAsia="zh-CN"/>
        </w:rPr>
        <w:t>3</w:t>
      </w:r>
      <w:r>
        <w:rPr>
          <w:rFonts w:hint="eastAsia" w:ascii="仿宋_GB2312" w:hAnsi="ˎ̥" w:eastAsia="仿宋_GB2312"/>
          <w:color w:val="auto"/>
          <w:sz w:val="32"/>
          <w:szCs w:val="32"/>
        </w:rPr>
        <w:t>辆、</w:t>
      </w:r>
      <w:r>
        <w:rPr>
          <w:rFonts w:hint="eastAsia" w:ascii="仿宋_GB2312" w:hAnsi="ˎ̥" w:eastAsia="仿宋_GB2312"/>
          <w:color w:val="auto"/>
          <w:sz w:val="32"/>
          <w:szCs w:val="32"/>
          <w:lang w:eastAsia="zh-CN"/>
        </w:rPr>
        <w:t>离退休干部</w:t>
      </w:r>
      <w:r>
        <w:rPr>
          <w:rFonts w:hint="eastAsia" w:ascii="仿宋_GB2312" w:hAnsi="ˎ̥" w:eastAsia="仿宋_GB2312"/>
          <w:color w:val="auto"/>
          <w:sz w:val="32"/>
          <w:szCs w:val="32"/>
        </w:rPr>
        <w:t>用车</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辆、其他用车</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辆</w:t>
      </w:r>
      <w:r>
        <w:rPr>
          <w:rFonts w:hint="eastAsia" w:ascii="仿宋_GB2312" w:hAnsi="ˎ̥" w:eastAsia="仿宋_GB2312"/>
          <w:color w:val="auto"/>
          <w:sz w:val="32"/>
          <w:szCs w:val="32"/>
          <w:lang w:eastAsia="zh-CN"/>
        </w:rPr>
        <w:t>。</w:t>
      </w:r>
    </w:p>
    <w:p>
      <w:pPr>
        <w:spacing w:line="578" w:lineRule="exact"/>
        <w:ind w:firstLine="640" w:firstLineChars="200"/>
        <w:rPr>
          <w:rFonts w:hint="eastAsia" w:ascii="仿宋_GB2312" w:hAnsi="ˎ̥" w:eastAsia="仿宋_GB2312"/>
          <w:color w:val="auto"/>
          <w:sz w:val="32"/>
          <w:szCs w:val="32"/>
          <w:lang w:eastAsia="zh-CN"/>
        </w:rPr>
      </w:pPr>
      <w:r>
        <w:rPr>
          <w:rFonts w:hint="eastAsia" w:ascii="仿宋_GB2312" w:hAnsi="ˎ̥" w:eastAsia="仿宋_GB2312"/>
          <w:color w:val="auto"/>
          <w:sz w:val="32"/>
          <w:szCs w:val="32"/>
        </w:rPr>
        <w:t>单位价值50万元</w:t>
      </w:r>
      <w:r>
        <w:rPr>
          <w:rFonts w:hint="eastAsia" w:ascii="仿宋_GB2312" w:hAnsi="ˎ̥" w:eastAsia="仿宋_GB2312"/>
          <w:color w:val="auto"/>
          <w:sz w:val="32"/>
          <w:szCs w:val="32"/>
          <w:lang w:eastAsia="zh-CN"/>
        </w:rPr>
        <w:t>（含）</w:t>
      </w:r>
      <w:r>
        <w:rPr>
          <w:rFonts w:hint="eastAsia" w:ascii="仿宋_GB2312" w:hAnsi="ˎ̥" w:eastAsia="仿宋_GB2312"/>
          <w:color w:val="auto"/>
          <w:sz w:val="32"/>
          <w:szCs w:val="32"/>
        </w:rPr>
        <w:t>以上通用设备</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台（套），单价100万元</w:t>
      </w:r>
      <w:r>
        <w:rPr>
          <w:rFonts w:hint="eastAsia" w:ascii="仿宋_GB2312" w:hAnsi="ˎ̥" w:eastAsia="仿宋_GB2312"/>
          <w:color w:val="auto"/>
          <w:sz w:val="32"/>
          <w:szCs w:val="32"/>
          <w:lang w:eastAsia="zh-CN"/>
        </w:rPr>
        <w:t>（含）</w:t>
      </w:r>
      <w:r>
        <w:rPr>
          <w:rFonts w:hint="eastAsia" w:ascii="仿宋_GB2312" w:hAnsi="ˎ̥" w:eastAsia="仿宋_GB2312"/>
          <w:color w:val="auto"/>
          <w:sz w:val="32"/>
          <w:szCs w:val="32"/>
        </w:rPr>
        <w:t>以上专用设备</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7" w:name="_Toc8874_WPSOffice_Level1"/>
      <w:bookmarkStart w:id="118" w:name="_Toc15425_WPSOffice_Level1"/>
      <w:bookmarkStart w:id="119" w:name="_Toc8808_WPSOffice_Level1"/>
      <w:bookmarkStart w:id="120" w:name="_Toc17580_WPSOffice_Level1"/>
      <w:bookmarkStart w:id="121" w:name="_Toc11039_WPSOffice_Level1"/>
      <w:bookmarkStart w:id="122" w:name="_Toc4398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7"/>
      <w:bookmarkEnd w:id="118"/>
      <w:bookmarkEnd w:id="119"/>
      <w:bookmarkEnd w:id="120"/>
      <w:bookmarkEnd w:id="121"/>
      <w:bookmarkEnd w:id="122"/>
    </w:p>
    <w:p>
      <w:pPr>
        <w:jc w:val="center"/>
        <w:rPr>
          <w:rFonts w:hint="eastAsia" w:ascii="黑体" w:hAnsi="ˎ̥" w:eastAsia="黑体"/>
          <w:sz w:val="32"/>
          <w:szCs w:val="32"/>
        </w:rPr>
      </w:pPr>
    </w:p>
    <w:p>
      <w:pPr>
        <w:numPr>
          <w:ilvl w:val="0"/>
          <w:numId w:val="4"/>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w:t>
      </w:r>
      <w:bookmarkStart w:id="123" w:name="_GoBack"/>
      <w:bookmarkEnd w:id="123"/>
      <w:r>
        <w:rPr>
          <w:rFonts w:hint="eastAsia" w:ascii="仿宋_GB2312" w:hAnsi="ˎ̥" w:eastAsia="仿宋_GB2312"/>
          <w:sz w:val="32"/>
          <w:szCs w:val="32"/>
        </w:rPr>
        <w:t>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2021年政府收支分类科目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4C2E1"/>
    <w:multiLevelType w:val="singleLevel"/>
    <w:tmpl w:val="8174C2E1"/>
    <w:lvl w:ilvl="0" w:tentative="0">
      <w:start w:val="1"/>
      <w:numFmt w:val="chineseCounting"/>
      <w:suff w:val="nothing"/>
      <w:lvlText w:val="%1、"/>
      <w:lvlJc w:val="left"/>
      <w:rPr>
        <w:rFonts w:hint="eastAsia"/>
      </w:rPr>
    </w:lvl>
  </w:abstractNum>
  <w:abstractNum w:abstractNumId="1">
    <w:nsid w:val="AFFC2DCC"/>
    <w:multiLevelType w:val="singleLevel"/>
    <w:tmpl w:val="AFFC2DCC"/>
    <w:lvl w:ilvl="0" w:tentative="0">
      <w:start w:val="1"/>
      <w:numFmt w:val="chineseCounting"/>
      <w:suff w:val="nothing"/>
      <w:lvlText w:val="%1、"/>
      <w:lvlJc w:val="left"/>
      <w:rPr>
        <w:rFonts w:hint="eastAsia"/>
      </w:rPr>
    </w:lvl>
  </w:abstractNum>
  <w:abstractNum w:abstractNumId="2">
    <w:nsid w:val="362BBC4B"/>
    <w:multiLevelType w:val="singleLevel"/>
    <w:tmpl w:val="362BBC4B"/>
    <w:lvl w:ilvl="0" w:tentative="0">
      <w:start w:val="2"/>
      <w:numFmt w:val="chineseCounting"/>
      <w:suff w:val="space"/>
      <w:lvlText w:val="第%1部分"/>
      <w:lvlJc w:val="left"/>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958DB"/>
    <w:rsid w:val="011E4A83"/>
    <w:rsid w:val="0194679C"/>
    <w:rsid w:val="01A12FF1"/>
    <w:rsid w:val="02842F81"/>
    <w:rsid w:val="04B37385"/>
    <w:rsid w:val="06021820"/>
    <w:rsid w:val="0A475C8A"/>
    <w:rsid w:val="0BAF2284"/>
    <w:rsid w:val="0C097C7B"/>
    <w:rsid w:val="0D38365A"/>
    <w:rsid w:val="10015792"/>
    <w:rsid w:val="108320F2"/>
    <w:rsid w:val="10A27184"/>
    <w:rsid w:val="111E2F07"/>
    <w:rsid w:val="11F853A6"/>
    <w:rsid w:val="1280781C"/>
    <w:rsid w:val="154A13F7"/>
    <w:rsid w:val="173A5710"/>
    <w:rsid w:val="17FB5F4B"/>
    <w:rsid w:val="18510238"/>
    <w:rsid w:val="19E668A2"/>
    <w:rsid w:val="1D1D2DF2"/>
    <w:rsid w:val="1FDE4007"/>
    <w:rsid w:val="221958DB"/>
    <w:rsid w:val="222B59EB"/>
    <w:rsid w:val="22936D36"/>
    <w:rsid w:val="231B45CD"/>
    <w:rsid w:val="26034C9C"/>
    <w:rsid w:val="2608119C"/>
    <w:rsid w:val="26150341"/>
    <w:rsid w:val="265E35A5"/>
    <w:rsid w:val="27EC0318"/>
    <w:rsid w:val="2A1D7125"/>
    <w:rsid w:val="2CFF03B0"/>
    <w:rsid w:val="2DAD6775"/>
    <w:rsid w:val="313B729D"/>
    <w:rsid w:val="3205647D"/>
    <w:rsid w:val="35B06579"/>
    <w:rsid w:val="38AA0364"/>
    <w:rsid w:val="3A555645"/>
    <w:rsid w:val="3ABC6521"/>
    <w:rsid w:val="3BA03921"/>
    <w:rsid w:val="3C0C76FB"/>
    <w:rsid w:val="3EA4773B"/>
    <w:rsid w:val="41461643"/>
    <w:rsid w:val="417512BA"/>
    <w:rsid w:val="41EA7AAD"/>
    <w:rsid w:val="427163F3"/>
    <w:rsid w:val="427777E8"/>
    <w:rsid w:val="44C75DB0"/>
    <w:rsid w:val="47612AE7"/>
    <w:rsid w:val="47E343F2"/>
    <w:rsid w:val="4B813672"/>
    <w:rsid w:val="4BCA2FA2"/>
    <w:rsid w:val="4D28774E"/>
    <w:rsid w:val="50953C43"/>
    <w:rsid w:val="50972C96"/>
    <w:rsid w:val="53E62ABA"/>
    <w:rsid w:val="543C71F7"/>
    <w:rsid w:val="56A90E65"/>
    <w:rsid w:val="580E6903"/>
    <w:rsid w:val="58244E6A"/>
    <w:rsid w:val="58C76ED6"/>
    <w:rsid w:val="5B1B06A3"/>
    <w:rsid w:val="5C90353E"/>
    <w:rsid w:val="5CC5217E"/>
    <w:rsid w:val="5E2B701C"/>
    <w:rsid w:val="607E683C"/>
    <w:rsid w:val="61DF5145"/>
    <w:rsid w:val="641E1410"/>
    <w:rsid w:val="645A3201"/>
    <w:rsid w:val="6A6B2612"/>
    <w:rsid w:val="6BF43876"/>
    <w:rsid w:val="6E4615E7"/>
    <w:rsid w:val="6F7970F7"/>
    <w:rsid w:val="723560D6"/>
    <w:rsid w:val="72CB7856"/>
    <w:rsid w:val="72E3317E"/>
    <w:rsid w:val="746776E9"/>
    <w:rsid w:val="748030C1"/>
    <w:rsid w:val="74AE055D"/>
    <w:rsid w:val="755F1411"/>
    <w:rsid w:val="766373F3"/>
    <w:rsid w:val="76D7664F"/>
    <w:rsid w:val="789C48B5"/>
    <w:rsid w:val="78DE1A8E"/>
    <w:rsid w:val="799500B2"/>
    <w:rsid w:val="7AF26119"/>
    <w:rsid w:val="7BE31DB4"/>
    <w:rsid w:val="7F085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WPSOffice手动目录 1"/>
    <w:qFormat/>
    <w:uiPriority w:val="0"/>
    <w:pPr>
      <w:ind w:leftChars="0"/>
    </w:pPr>
    <w:rPr>
      <w:rFonts w:ascii="Times New Roman" w:hAnsi="Times New Roman" w:eastAsia="宋体" w:cs="Times New Roman"/>
      <w:sz w:val="20"/>
      <w:szCs w:val="20"/>
    </w:r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 w:type="paragraph" w:customStyle="1" w:styleId="8">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琼海市（嘉积镇） </Company>
  <Pages>1</Pages>
  <Words>0</Words>
  <Characters>0</Characters>
  <Lines>0</Lines>
  <Paragraphs>0</Paragraphs>
  <TotalTime>36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2022-10-12T09:09:00Z</dcterms:created>
  <dc:creator>GK</dc:creator>
  <cp:lastModifiedBy>Lenovo</cp:lastModifiedBy>
  <dcterms:modified xsi:type="dcterms:W3CDTF">2022-11-22T03:16:47Z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B2DDEA88385D40508045759954B0100C</vt:lpwstr>
  </property>
</Properties>
</file>