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E6" w:rsidRDefault="006328E6">
      <w:pPr>
        <w:spacing w:line="360" w:lineRule="auto"/>
        <w:jc w:val="center"/>
        <w:rPr>
          <w:rFonts w:ascii="宋体"/>
          <w:b/>
          <w:sz w:val="34"/>
          <w:szCs w:val="34"/>
        </w:rPr>
      </w:pPr>
      <w:r>
        <w:rPr>
          <w:rFonts w:ascii="宋体" w:hAnsi="宋体" w:hint="eastAsia"/>
          <w:b/>
          <w:sz w:val="34"/>
          <w:szCs w:val="34"/>
        </w:rPr>
        <w:t>《琼海市嘉积主城区滨河片区控制性详细规划（修编）》</w:t>
      </w:r>
    </w:p>
    <w:p w:rsidR="006328E6" w:rsidRDefault="006328E6">
      <w:pPr>
        <w:spacing w:line="360" w:lineRule="auto"/>
        <w:jc w:val="center"/>
        <w:rPr>
          <w:rFonts w:ascii="宋体"/>
          <w:b/>
          <w:sz w:val="34"/>
          <w:szCs w:val="34"/>
        </w:rPr>
      </w:pPr>
      <w:r>
        <w:rPr>
          <w:rFonts w:ascii="宋体" w:hAnsi="宋体" w:hint="eastAsia"/>
          <w:b/>
          <w:sz w:val="34"/>
          <w:szCs w:val="34"/>
        </w:rPr>
        <w:t>的简介</w:t>
      </w:r>
    </w:p>
    <w:p w:rsidR="006328E6" w:rsidRDefault="006328E6">
      <w:pPr>
        <w:spacing w:line="360" w:lineRule="auto"/>
        <w:jc w:val="center"/>
        <w:rPr>
          <w:rFonts w:ascii="宋体"/>
          <w:b/>
          <w:sz w:val="32"/>
          <w:szCs w:val="32"/>
        </w:rPr>
      </w:pPr>
    </w:p>
    <w:p w:rsidR="006328E6" w:rsidRDefault="006328E6">
      <w:pPr>
        <w:adjustRightInd w:val="0"/>
        <w:snapToGrid w:val="0"/>
        <w:spacing w:line="300" w:lineRule="auto"/>
        <w:ind w:firstLineChars="200" w:firstLine="482"/>
        <w:jc w:val="left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一、规划区位和范围</w:t>
      </w:r>
    </w:p>
    <w:p w:rsidR="006328E6" w:rsidRDefault="006328E6">
      <w:pPr>
        <w:adjustRightInd w:val="0"/>
        <w:snapToGrid w:val="0"/>
        <w:spacing w:line="300" w:lineRule="auto"/>
        <w:ind w:firstLineChars="200" w:firstLine="4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）地理区位</w:t>
      </w:r>
    </w:p>
    <w:p w:rsidR="006328E6" w:rsidRDefault="006328E6">
      <w:pPr>
        <w:adjustRightInd w:val="0"/>
        <w:snapToGrid w:val="0"/>
        <w:spacing w:line="300" w:lineRule="auto"/>
        <w:ind w:firstLineChars="200" w:firstLine="4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滨河片区位于琼海市嘉积城区西部，其东临老城片区，南邻城南片区，西依环岛东线高速公路琼海互通，北与城北片区接壤。片区东南部紧邻万泉河，不仅是嘉积城区重要的景观区域，也是琼海市主城区重要门户区。</w:t>
      </w:r>
    </w:p>
    <w:p w:rsidR="006328E6" w:rsidRDefault="006328E6">
      <w:pPr>
        <w:adjustRightInd w:val="0"/>
        <w:snapToGrid w:val="0"/>
        <w:spacing w:line="300" w:lineRule="auto"/>
        <w:ind w:firstLineChars="200" w:firstLine="4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）规划范围</w:t>
      </w:r>
    </w:p>
    <w:p w:rsidR="006328E6" w:rsidRDefault="006328E6">
      <w:pPr>
        <w:adjustRightInd w:val="0"/>
        <w:snapToGrid w:val="0"/>
        <w:spacing w:line="300" w:lineRule="auto"/>
        <w:ind w:firstLineChars="200" w:firstLine="4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本次规划范围根据现状已建用地权属和现状建成道路对“多规合一”开发边界局部微调，调整后总用地面积保持不变。</w:t>
      </w:r>
    </w:p>
    <w:p w:rsidR="006328E6" w:rsidRDefault="006328E6">
      <w:pPr>
        <w:adjustRightInd w:val="0"/>
        <w:snapToGrid w:val="0"/>
        <w:spacing w:line="300" w:lineRule="auto"/>
        <w:ind w:firstLineChars="200" w:firstLine="4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调整后滨河片区四至范围：东至爱海中路，南至爱华西路，西至环岛东线高速公路琼海互通，北至银海路。规划总用地面积</w:t>
      </w:r>
      <w:r>
        <w:rPr>
          <w:rFonts w:ascii="宋体" w:hAnsi="宋体" w:cs="宋体"/>
          <w:sz w:val="24"/>
        </w:rPr>
        <w:t>346.22</w:t>
      </w:r>
      <w:r>
        <w:rPr>
          <w:rFonts w:ascii="宋体" w:hAnsi="宋体" w:cs="宋体" w:hint="eastAsia"/>
          <w:sz w:val="24"/>
        </w:rPr>
        <w:t>公顷，合约</w:t>
      </w:r>
      <w:r>
        <w:rPr>
          <w:rFonts w:ascii="宋体" w:hAnsi="宋体" w:cs="宋体"/>
          <w:sz w:val="24"/>
        </w:rPr>
        <w:t>5193.3</w:t>
      </w:r>
      <w:r>
        <w:rPr>
          <w:rFonts w:ascii="宋体" w:hAnsi="宋体" w:cs="宋体" w:hint="eastAsia"/>
          <w:sz w:val="24"/>
        </w:rPr>
        <w:t>亩。</w:t>
      </w:r>
    </w:p>
    <w:p w:rsidR="006328E6" w:rsidRDefault="006328E6">
      <w:pPr>
        <w:adjustRightInd w:val="0"/>
        <w:snapToGrid w:val="0"/>
        <w:spacing w:line="300" w:lineRule="auto"/>
        <w:ind w:firstLineChars="200" w:firstLine="480"/>
        <w:jc w:val="left"/>
        <w:rPr>
          <w:rFonts w:ascii="宋体" w:cs="宋体"/>
          <w:sz w:val="24"/>
        </w:rPr>
      </w:pPr>
    </w:p>
    <w:p w:rsidR="006328E6" w:rsidRDefault="006328E6">
      <w:pPr>
        <w:adjustRightInd w:val="0"/>
        <w:snapToGrid w:val="0"/>
        <w:spacing w:line="300" w:lineRule="auto"/>
        <w:ind w:firstLineChars="200" w:firstLine="482"/>
        <w:jc w:val="left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二、功能定位与发展规模</w:t>
      </w:r>
    </w:p>
    <w:p w:rsidR="006328E6" w:rsidRDefault="006328E6">
      <w:pPr>
        <w:adjustRightInd w:val="0"/>
        <w:snapToGrid w:val="0"/>
        <w:spacing w:line="300" w:lineRule="auto"/>
        <w:ind w:firstLineChars="200" w:firstLine="4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）功能定位</w:t>
      </w:r>
    </w:p>
    <w:p w:rsidR="006328E6" w:rsidRDefault="006328E6">
      <w:pPr>
        <w:adjustRightInd w:val="0"/>
        <w:snapToGrid w:val="0"/>
        <w:spacing w:line="300" w:lineRule="auto"/>
        <w:ind w:firstLineChars="200" w:firstLine="4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集旅游服务、商务贸易、高尚居住功能于一体，现代滨河生活风尚区。</w:t>
      </w:r>
    </w:p>
    <w:p w:rsidR="006328E6" w:rsidRDefault="006328E6">
      <w:pPr>
        <w:adjustRightInd w:val="0"/>
        <w:snapToGrid w:val="0"/>
        <w:spacing w:line="300" w:lineRule="auto"/>
        <w:ind w:firstLineChars="200" w:firstLine="4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）发展规模</w:t>
      </w:r>
    </w:p>
    <w:p w:rsidR="006328E6" w:rsidRDefault="006328E6">
      <w:pPr>
        <w:adjustRightInd w:val="0"/>
        <w:snapToGrid w:val="0"/>
        <w:spacing w:line="300" w:lineRule="auto"/>
        <w:ind w:firstLineChars="200" w:firstLine="4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人口规模：规划片区人口</w:t>
      </w:r>
      <w:r>
        <w:rPr>
          <w:rFonts w:ascii="宋体" w:hAnsi="宋体" w:cs="宋体"/>
          <w:sz w:val="24"/>
        </w:rPr>
        <w:t>5.5</w:t>
      </w:r>
      <w:r>
        <w:rPr>
          <w:rFonts w:ascii="宋体" w:hAnsi="宋体" w:cs="宋体" w:hint="eastAsia"/>
          <w:sz w:val="24"/>
        </w:rPr>
        <w:t>万人。</w:t>
      </w:r>
    </w:p>
    <w:p w:rsidR="006328E6" w:rsidRDefault="006328E6">
      <w:pPr>
        <w:adjustRightInd w:val="0"/>
        <w:snapToGrid w:val="0"/>
        <w:spacing w:line="300" w:lineRule="auto"/>
        <w:ind w:firstLineChars="200" w:firstLine="4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建设规模：规划城市建设用地面积为</w:t>
      </w:r>
      <w:r>
        <w:rPr>
          <w:rFonts w:ascii="宋体" w:hAnsi="宋体" w:cs="宋体"/>
          <w:sz w:val="24"/>
        </w:rPr>
        <w:t>330.01</w:t>
      </w:r>
      <w:r>
        <w:rPr>
          <w:rFonts w:ascii="宋体" w:hAnsi="宋体" w:cs="宋体" w:hint="eastAsia"/>
          <w:sz w:val="24"/>
        </w:rPr>
        <w:t>公顷，人均建设用地面积</w:t>
      </w:r>
      <w:r>
        <w:rPr>
          <w:rFonts w:ascii="宋体" w:hAnsi="宋体" w:cs="宋体"/>
          <w:sz w:val="24"/>
        </w:rPr>
        <w:t>60</w:t>
      </w:r>
      <w:r>
        <w:rPr>
          <w:rFonts w:ascii="宋体" w:hAnsi="宋体" w:cs="宋体" w:hint="eastAsia"/>
          <w:sz w:val="24"/>
        </w:rPr>
        <w:t>平方米。规划区总建筑面积控制</w:t>
      </w:r>
      <w:r>
        <w:rPr>
          <w:rFonts w:ascii="宋体" w:hAnsi="宋体" w:cs="宋体"/>
          <w:sz w:val="24"/>
        </w:rPr>
        <w:t>449.96</w:t>
      </w:r>
      <w:r>
        <w:rPr>
          <w:rFonts w:ascii="宋体" w:hAnsi="宋体" w:cs="宋体" w:hint="eastAsia"/>
          <w:sz w:val="24"/>
        </w:rPr>
        <w:t>万平方米，建设用地净容积率</w:t>
      </w:r>
      <w:r>
        <w:rPr>
          <w:rFonts w:ascii="宋体" w:hAnsi="宋体" w:cs="宋体"/>
          <w:sz w:val="24"/>
        </w:rPr>
        <w:t>1.79</w:t>
      </w:r>
      <w:r>
        <w:rPr>
          <w:rFonts w:ascii="宋体" w:hAnsi="宋体" w:cs="宋体" w:hint="eastAsia"/>
          <w:sz w:val="24"/>
        </w:rPr>
        <w:t>。</w:t>
      </w:r>
    </w:p>
    <w:p w:rsidR="006328E6" w:rsidRDefault="006328E6">
      <w:pPr>
        <w:adjustRightInd w:val="0"/>
        <w:snapToGrid w:val="0"/>
        <w:spacing w:line="300" w:lineRule="auto"/>
        <w:ind w:firstLineChars="200" w:firstLine="482"/>
        <w:jc w:val="left"/>
        <w:rPr>
          <w:rFonts w:ascii="宋体" w:cs="宋体"/>
          <w:b/>
          <w:sz w:val="24"/>
        </w:rPr>
      </w:pPr>
    </w:p>
    <w:p w:rsidR="006328E6" w:rsidRDefault="006328E6">
      <w:pPr>
        <w:adjustRightInd w:val="0"/>
        <w:snapToGrid w:val="0"/>
        <w:spacing w:line="300" w:lineRule="auto"/>
        <w:ind w:firstLineChars="200" w:firstLine="482"/>
        <w:jc w:val="left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三、规划结构</w:t>
      </w:r>
    </w:p>
    <w:p w:rsidR="006328E6" w:rsidRDefault="006328E6">
      <w:pPr>
        <w:adjustRightInd w:val="0"/>
        <w:snapToGrid w:val="0"/>
        <w:spacing w:line="300" w:lineRule="auto"/>
        <w:ind w:firstLineChars="200" w:firstLine="4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规划结构为“一廊、两带、四轴、五区”。</w:t>
      </w:r>
    </w:p>
    <w:p w:rsidR="006328E6" w:rsidRDefault="006328E6">
      <w:pPr>
        <w:adjustRightInd w:val="0"/>
        <w:snapToGrid w:val="0"/>
        <w:spacing w:line="300" w:lineRule="auto"/>
        <w:ind w:firstLineChars="200" w:firstLine="4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一廊：指西侧高速公路绿化交通廊道。依托环岛东线高速公路东侧</w:t>
      </w:r>
      <w:r>
        <w:rPr>
          <w:rFonts w:ascii="宋体" w:hAnsi="宋体" w:cs="宋体"/>
          <w:sz w:val="24"/>
        </w:rPr>
        <w:t>50-100</w:t>
      </w:r>
      <w:r>
        <w:rPr>
          <w:rFonts w:ascii="宋体" w:hAnsi="宋体" w:cs="宋体" w:hint="eastAsia"/>
          <w:sz w:val="24"/>
        </w:rPr>
        <w:t>米生态绿地，形成本片区重要绿色生态廊道及城市建设的绿化背景。</w:t>
      </w:r>
    </w:p>
    <w:p w:rsidR="006328E6" w:rsidRDefault="006328E6">
      <w:pPr>
        <w:adjustRightInd w:val="0"/>
        <w:snapToGrid w:val="0"/>
        <w:spacing w:line="300" w:lineRule="auto"/>
        <w:ind w:firstLineChars="200" w:firstLine="4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两带：万泉河路的滨河景观带，由道路绿化带和两侧文化娱乐设施形成的景观轴线；加浪河的滨河景观带，通过整治加浪河水系，“拆围建绿”打造连续的滨河公共休闲景观带。</w:t>
      </w:r>
    </w:p>
    <w:p w:rsidR="006328E6" w:rsidRDefault="006328E6">
      <w:pPr>
        <w:adjustRightInd w:val="0"/>
        <w:snapToGrid w:val="0"/>
        <w:spacing w:line="300" w:lineRule="auto"/>
        <w:ind w:firstLineChars="200" w:firstLine="4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四轴：指沿银海路为主要商业发展轴，沿善集路及两条纵向主干道为次要商业发展轴。</w:t>
      </w:r>
    </w:p>
    <w:p w:rsidR="006328E6" w:rsidRDefault="006328E6">
      <w:pPr>
        <w:adjustRightInd w:val="0"/>
        <w:snapToGrid w:val="0"/>
        <w:spacing w:line="300" w:lineRule="auto"/>
        <w:ind w:firstLineChars="200" w:firstLine="4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五区：分别为万泉旅游居住区、加浪生态休闲区、综合居住区、老城商贸区、滨河旅游区。</w:t>
      </w:r>
    </w:p>
    <w:p w:rsidR="006328E6" w:rsidRDefault="006328E6">
      <w:pPr>
        <w:adjustRightInd w:val="0"/>
        <w:snapToGrid w:val="0"/>
        <w:spacing w:line="300" w:lineRule="auto"/>
        <w:ind w:firstLineChars="200" w:firstLine="480"/>
        <w:jc w:val="left"/>
        <w:rPr>
          <w:rFonts w:ascii="宋体" w:cs="宋体"/>
          <w:sz w:val="24"/>
        </w:rPr>
      </w:pPr>
    </w:p>
    <w:p w:rsidR="006328E6" w:rsidRDefault="006328E6">
      <w:pPr>
        <w:adjustRightInd w:val="0"/>
        <w:snapToGrid w:val="0"/>
        <w:spacing w:line="300" w:lineRule="auto"/>
        <w:ind w:firstLineChars="200" w:firstLine="482"/>
        <w:jc w:val="left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四、用地布局</w:t>
      </w:r>
    </w:p>
    <w:p w:rsidR="006328E6" w:rsidRDefault="006328E6">
      <w:pPr>
        <w:adjustRightInd w:val="0"/>
        <w:snapToGrid w:val="0"/>
        <w:spacing w:line="300" w:lineRule="auto"/>
        <w:ind w:firstLineChars="200" w:firstLine="4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滨河片区总用地面积</w:t>
      </w:r>
      <w:r>
        <w:rPr>
          <w:rFonts w:ascii="宋体" w:hAnsi="宋体" w:cs="宋体"/>
          <w:sz w:val="24"/>
        </w:rPr>
        <w:t>346.22</w:t>
      </w:r>
      <w:r>
        <w:rPr>
          <w:rFonts w:ascii="宋体" w:hAnsi="宋体" w:cs="宋体" w:hint="eastAsia"/>
          <w:sz w:val="24"/>
        </w:rPr>
        <w:t>公顷，其中规划城市建设用地面积</w:t>
      </w:r>
      <w:r>
        <w:rPr>
          <w:rFonts w:ascii="宋体" w:hAnsi="宋体" w:cs="宋体"/>
          <w:sz w:val="24"/>
        </w:rPr>
        <w:t>330.01</w:t>
      </w:r>
      <w:r>
        <w:rPr>
          <w:rFonts w:ascii="宋体" w:hAnsi="宋体" w:cs="宋体" w:hint="eastAsia"/>
          <w:sz w:val="24"/>
        </w:rPr>
        <w:t>公顷。主要包括二类居住用地、二类居住</w:t>
      </w:r>
      <w:r>
        <w:rPr>
          <w:rFonts w:ascii="宋体" w:hAnsi="宋体" w:cs="宋体"/>
          <w:sz w:val="24"/>
        </w:rPr>
        <w:t>/</w:t>
      </w:r>
      <w:r>
        <w:rPr>
          <w:rFonts w:ascii="宋体" w:hAnsi="宋体" w:cs="宋体" w:hint="eastAsia"/>
          <w:sz w:val="24"/>
        </w:rPr>
        <w:t>商业混合用地（</w:t>
      </w:r>
      <w:r>
        <w:rPr>
          <w:rFonts w:ascii="宋体" w:hAnsi="宋体" w:cs="宋体"/>
          <w:sz w:val="24"/>
        </w:rPr>
        <w:t>R2/B1</w:t>
      </w:r>
      <w:r>
        <w:rPr>
          <w:rFonts w:ascii="宋体" w:hAnsi="宋体" w:cs="宋体" w:hint="eastAsia"/>
          <w:sz w:val="24"/>
        </w:rPr>
        <w:t>）、公共管理和公共服务设施用地、商业服务业设施用地、城市道路用地等。</w:t>
      </w:r>
    </w:p>
    <w:p w:rsidR="006328E6" w:rsidRDefault="006328E6">
      <w:pPr>
        <w:spacing w:line="360" w:lineRule="auto"/>
        <w:ind w:leftChars="150" w:left="315"/>
        <w:jc w:val="center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城市建设用地平衡表</w:t>
      </w: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76"/>
        <w:gridCol w:w="471"/>
        <w:gridCol w:w="573"/>
        <w:gridCol w:w="3051"/>
        <w:gridCol w:w="1160"/>
        <w:gridCol w:w="1585"/>
        <w:gridCol w:w="1585"/>
      </w:tblGrid>
      <w:tr w:rsidR="006328E6" w:rsidRPr="00D3515E">
        <w:trPr>
          <w:trHeight w:val="544"/>
        </w:trPr>
        <w:tc>
          <w:tcPr>
            <w:tcW w:w="4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序号</w:t>
            </w:r>
          </w:p>
        </w:tc>
        <w:tc>
          <w:tcPr>
            <w:tcW w:w="1044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用地代码</w:t>
            </w:r>
          </w:p>
        </w:tc>
        <w:tc>
          <w:tcPr>
            <w:tcW w:w="30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用地名称</w:t>
            </w:r>
          </w:p>
        </w:tc>
        <w:tc>
          <w:tcPr>
            <w:tcW w:w="1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用地面积</w:t>
            </w:r>
          </w:p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（公顷）</w:t>
            </w:r>
          </w:p>
        </w:tc>
        <w:tc>
          <w:tcPr>
            <w:tcW w:w="15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占城市建设用地比例（</w:t>
            </w:r>
            <w:r>
              <w:rPr>
                <w:rFonts w:ascii="宋体" w:hAnsi="宋体" w:cs="宋体"/>
                <w:sz w:val="22"/>
              </w:rPr>
              <w:t>%</w:t>
            </w:r>
            <w:r>
              <w:rPr>
                <w:rFonts w:ascii="宋体" w:hAnsi="宋体" w:cs="宋体" w:hint="eastAsia"/>
                <w:sz w:val="22"/>
              </w:rPr>
              <w:t>）</w:t>
            </w:r>
          </w:p>
        </w:tc>
        <w:tc>
          <w:tcPr>
            <w:tcW w:w="15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人均城市建设用地面积（㎡）</w:t>
            </w:r>
          </w:p>
        </w:tc>
      </w:tr>
      <w:tr w:rsidR="006328E6" w:rsidRPr="00D3515E">
        <w:trPr>
          <w:trHeight w:val="285"/>
        </w:trPr>
        <w:tc>
          <w:tcPr>
            <w:tcW w:w="47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</w:t>
            </w:r>
          </w:p>
        </w:tc>
        <w:tc>
          <w:tcPr>
            <w:tcW w:w="1044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R</w:t>
            </w:r>
          </w:p>
        </w:tc>
        <w:tc>
          <w:tcPr>
            <w:tcW w:w="30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居住用地</w:t>
            </w:r>
          </w:p>
        </w:tc>
        <w:tc>
          <w:tcPr>
            <w:tcW w:w="11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160.58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48.66%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 xml:space="preserve">29.20 </w:t>
            </w:r>
          </w:p>
        </w:tc>
      </w:tr>
      <w:tr w:rsidR="006328E6" w:rsidRPr="00D3515E">
        <w:trPr>
          <w:trHeight w:val="285"/>
        </w:trPr>
        <w:tc>
          <w:tcPr>
            <w:tcW w:w="47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4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R2</w:t>
            </w:r>
          </w:p>
        </w:tc>
        <w:tc>
          <w:tcPr>
            <w:tcW w:w="30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二类居住用地</w:t>
            </w:r>
          </w:p>
        </w:tc>
        <w:tc>
          <w:tcPr>
            <w:tcW w:w="11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159.90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48.45%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 xml:space="preserve">29.07 </w:t>
            </w:r>
          </w:p>
        </w:tc>
      </w:tr>
      <w:tr w:rsidR="006328E6" w:rsidRPr="00D3515E">
        <w:trPr>
          <w:trHeight w:val="285"/>
        </w:trPr>
        <w:tc>
          <w:tcPr>
            <w:tcW w:w="47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4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其中</w:t>
            </w:r>
          </w:p>
        </w:tc>
        <w:tc>
          <w:tcPr>
            <w:tcW w:w="5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R22</w:t>
            </w:r>
          </w:p>
        </w:tc>
        <w:tc>
          <w:tcPr>
            <w:tcW w:w="30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服务设施用地</w:t>
            </w:r>
          </w:p>
        </w:tc>
        <w:tc>
          <w:tcPr>
            <w:tcW w:w="11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0.68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0.21%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 xml:space="preserve">0.12 </w:t>
            </w:r>
          </w:p>
        </w:tc>
      </w:tr>
      <w:tr w:rsidR="006328E6" w:rsidRPr="00D3515E">
        <w:trPr>
          <w:trHeight w:val="285"/>
        </w:trPr>
        <w:tc>
          <w:tcPr>
            <w:tcW w:w="4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</w:t>
            </w:r>
          </w:p>
        </w:tc>
        <w:tc>
          <w:tcPr>
            <w:tcW w:w="1044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R2/B1</w:t>
            </w:r>
          </w:p>
        </w:tc>
        <w:tc>
          <w:tcPr>
            <w:tcW w:w="30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二类居住</w:t>
            </w:r>
            <w:r>
              <w:rPr>
                <w:rFonts w:ascii="宋体" w:hAnsi="宋体" w:cs="宋体"/>
                <w:sz w:val="22"/>
              </w:rPr>
              <w:t>/</w:t>
            </w:r>
            <w:r>
              <w:rPr>
                <w:rFonts w:ascii="宋体" w:hAnsi="宋体" w:cs="宋体" w:hint="eastAsia"/>
                <w:sz w:val="22"/>
              </w:rPr>
              <w:t>商业混合用地</w:t>
            </w:r>
          </w:p>
        </w:tc>
        <w:tc>
          <w:tcPr>
            <w:tcW w:w="11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35.92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10.88%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 xml:space="preserve">6.53 </w:t>
            </w:r>
          </w:p>
        </w:tc>
      </w:tr>
      <w:tr w:rsidR="006328E6" w:rsidRPr="00D3515E">
        <w:trPr>
          <w:trHeight w:val="285"/>
        </w:trPr>
        <w:tc>
          <w:tcPr>
            <w:tcW w:w="4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3</w:t>
            </w:r>
          </w:p>
        </w:tc>
        <w:tc>
          <w:tcPr>
            <w:tcW w:w="1044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B/R</w:t>
            </w:r>
          </w:p>
        </w:tc>
        <w:tc>
          <w:tcPr>
            <w:tcW w:w="30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商业</w:t>
            </w:r>
            <w:r>
              <w:rPr>
                <w:rFonts w:ascii="宋体" w:hAnsi="宋体" w:cs="宋体"/>
                <w:sz w:val="22"/>
              </w:rPr>
              <w:t>/</w:t>
            </w:r>
            <w:r>
              <w:rPr>
                <w:rFonts w:ascii="宋体" w:hAnsi="宋体" w:cs="宋体" w:hint="eastAsia"/>
                <w:sz w:val="22"/>
              </w:rPr>
              <w:t>居住混合用地</w:t>
            </w:r>
          </w:p>
        </w:tc>
        <w:tc>
          <w:tcPr>
            <w:tcW w:w="11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3.67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1.11%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 xml:space="preserve">0.67 </w:t>
            </w:r>
          </w:p>
        </w:tc>
      </w:tr>
      <w:tr w:rsidR="006328E6" w:rsidRPr="00D3515E">
        <w:trPr>
          <w:trHeight w:val="285"/>
        </w:trPr>
        <w:tc>
          <w:tcPr>
            <w:tcW w:w="47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4</w:t>
            </w:r>
          </w:p>
        </w:tc>
        <w:tc>
          <w:tcPr>
            <w:tcW w:w="1044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A</w:t>
            </w:r>
          </w:p>
        </w:tc>
        <w:tc>
          <w:tcPr>
            <w:tcW w:w="30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公共管理与公共服务设施用地</w:t>
            </w:r>
          </w:p>
        </w:tc>
        <w:tc>
          <w:tcPr>
            <w:tcW w:w="11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13.86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4.20%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 xml:space="preserve">2.52 </w:t>
            </w:r>
          </w:p>
        </w:tc>
      </w:tr>
      <w:tr w:rsidR="006328E6" w:rsidRPr="00D3515E">
        <w:trPr>
          <w:trHeight w:val="285"/>
        </w:trPr>
        <w:tc>
          <w:tcPr>
            <w:tcW w:w="47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471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其中</w:t>
            </w:r>
          </w:p>
        </w:tc>
        <w:tc>
          <w:tcPr>
            <w:tcW w:w="5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A1</w:t>
            </w:r>
          </w:p>
        </w:tc>
        <w:tc>
          <w:tcPr>
            <w:tcW w:w="30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行政办公用地</w:t>
            </w:r>
          </w:p>
        </w:tc>
        <w:tc>
          <w:tcPr>
            <w:tcW w:w="11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6.77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2.05%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 xml:space="preserve">1.23 </w:t>
            </w:r>
          </w:p>
        </w:tc>
      </w:tr>
      <w:tr w:rsidR="006328E6" w:rsidRPr="00D3515E">
        <w:trPr>
          <w:trHeight w:val="285"/>
        </w:trPr>
        <w:tc>
          <w:tcPr>
            <w:tcW w:w="47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471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A22</w:t>
            </w:r>
          </w:p>
        </w:tc>
        <w:tc>
          <w:tcPr>
            <w:tcW w:w="30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文化活动用地</w:t>
            </w:r>
          </w:p>
        </w:tc>
        <w:tc>
          <w:tcPr>
            <w:tcW w:w="11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0.48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0.15%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 xml:space="preserve">0.09 </w:t>
            </w:r>
          </w:p>
        </w:tc>
      </w:tr>
      <w:tr w:rsidR="006328E6" w:rsidRPr="00D3515E">
        <w:trPr>
          <w:trHeight w:val="285"/>
        </w:trPr>
        <w:tc>
          <w:tcPr>
            <w:tcW w:w="47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471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A33</w:t>
            </w:r>
          </w:p>
        </w:tc>
        <w:tc>
          <w:tcPr>
            <w:tcW w:w="30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中小学用地</w:t>
            </w:r>
          </w:p>
        </w:tc>
        <w:tc>
          <w:tcPr>
            <w:tcW w:w="11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2.23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0.68%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 xml:space="preserve">0.41 </w:t>
            </w:r>
          </w:p>
        </w:tc>
      </w:tr>
      <w:tr w:rsidR="006328E6" w:rsidRPr="00D3515E">
        <w:trPr>
          <w:trHeight w:val="285"/>
        </w:trPr>
        <w:tc>
          <w:tcPr>
            <w:tcW w:w="47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471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A35</w:t>
            </w:r>
          </w:p>
        </w:tc>
        <w:tc>
          <w:tcPr>
            <w:tcW w:w="30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科研用地</w:t>
            </w:r>
          </w:p>
        </w:tc>
        <w:tc>
          <w:tcPr>
            <w:tcW w:w="11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1.18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0.36%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 xml:space="preserve">0.21 </w:t>
            </w:r>
          </w:p>
        </w:tc>
      </w:tr>
      <w:tr w:rsidR="006328E6" w:rsidRPr="00D3515E">
        <w:trPr>
          <w:trHeight w:val="285"/>
        </w:trPr>
        <w:tc>
          <w:tcPr>
            <w:tcW w:w="47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471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A6</w:t>
            </w:r>
          </w:p>
        </w:tc>
        <w:tc>
          <w:tcPr>
            <w:tcW w:w="30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社会福利设施用地</w:t>
            </w:r>
          </w:p>
        </w:tc>
        <w:tc>
          <w:tcPr>
            <w:tcW w:w="11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1.38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0.42%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 xml:space="preserve">0.25 </w:t>
            </w:r>
          </w:p>
        </w:tc>
      </w:tr>
      <w:tr w:rsidR="006328E6" w:rsidRPr="00D3515E">
        <w:trPr>
          <w:trHeight w:val="285"/>
        </w:trPr>
        <w:tc>
          <w:tcPr>
            <w:tcW w:w="47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471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A7</w:t>
            </w:r>
          </w:p>
        </w:tc>
        <w:tc>
          <w:tcPr>
            <w:tcW w:w="30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sz w:val="22"/>
              </w:rPr>
              <w:t>文物古迹用地</w:t>
            </w:r>
          </w:p>
        </w:tc>
        <w:tc>
          <w:tcPr>
            <w:tcW w:w="11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1.82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0.55%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 xml:space="preserve">0.33 </w:t>
            </w:r>
          </w:p>
        </w:tc>
      </w:tr>
      <w:tr w:rsidR="006328E6" w:rsidRPr="00D3515E">
        <w:trPr>
          <w:trHeight w:val="285"/>
        </w:trPr>
        <w:tc>
          <w:tcPr>
            <w:tcW w:w="47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5</w:t>
            </w:r>
          </w:p>
        </w:tc>
        <w:tc>
          <w:tcPr>
            <w:tcW w:w="1044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B</w:t>
            </w:r>
          </w:p>
        </w:tc>
        <w:tc>
          <w:tcPr>
            <w:tcW w:w="30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商业服务业设施用地</w:t>
            </w:r>
          </w:p>
        </w:tc>
        <w:tc>
          <w:tcPr>
            <w:tcW w:w="11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29.26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8.87%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 xml:space="preserve">5.32 </w:t>
            </w:r>
          </w:p>
        </w:tc>
      </w:tr>
      <w:tr w:rsidR="006328E6" w:rsidRPr="00D3515E">
        <w:trPr>
          <w:trHeight w:val="285"/>
        </w:trPr>
        <w:tc>
          <w:tcPr>
            <w:tcW w:w="47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471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其中</w:t>
            </w:r>
          </w:p>
        </w:tc>
        <w:tc>
          <w:tcPr>
            <w:tcW w:w="5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B1</w:t>
            </w:r>
          </w:p>
        </w:tc>
        <w:tc>
          <w:tcPr>
            <w:tcW w:w="30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商业用地</w:t>
            </w:r>
          </w:p>
        </w:tc>
        <w:tc>
          <w:tcPr>
            <w:tcW w:w="11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28.47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8.63%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 xml:space="preserve">5.18 </w:t>
            </w:r>
          </w:p>
        </w:tc>
      </w:tr>
      <w:tr w:rsidR="006328E6" w:rsidRPr="00D3515E">
        <w:trPr>
          <w:trHeight w:val="285"/>
        </w:trPr>
        <w:tc>
          <w:tcPr>
            <w:tcW w:w="47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471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B41</w:t>
            </w:r>
          </w:p>
        </w:tc>
        <w:tc>
          <w:tcPr>
            <w:tcW w:w="30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加油加气站用地</w:t>
            </w:r>
          </w:p>
        </w:tc>
        <w:tc>
          <w:tcPr>
            <w:tcW w:w="11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0.24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0.07%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 xml:space="preserve">0.04 </w:t>
            </w:r>
          </w:p>
        </w:tc>
      </w:tr>
      <w:tr w:rsidR="006328E6" w:rsidRPr="00D3515E">
        <w:trPr>
          <w:trHeight w:val="285"/>
        </w:trPr>
        <w:tc>
          <w:tcPr>
            <w:tcW w:w="47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471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B49</w:t>
            </w:r>
          </w:p>
        </w:tc>
        <w:tc>
          <w:tcPr>
            <w:tcW w:w="30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其他公用设施营业网点用地</w:t>
            </w:r>
          </w:p>
        </w:tc>
        <w:tc>
          <w:tcPr>
            <w:tcW w:w="11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0.55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0.17%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 xml:space="preserve">0.10 </w:t>
            </w:r>
          </w:p>
        </w:tc>
      </w:tr>
      <w:tr w:rsidR="006328E6" w:rsidRPr="00D3515E">
        <w:trPr>
          <w:trHeight w:val="285"/>
        </w:trPr>
        <w:tc>
          <w:tcPr>
            <w:tcW w:w="47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6</w:t>
            </w:r>
          </w:p>
        </w:tc>
        <w:tc>
          <w:tcPr>
            <w:tcW w:w="1044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S</w:t>
            </w:r>
          </w:p>
        </w:tc>
        <w:tc>
          <w:tcPr>
            <w:tcW w:w="30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道路与交通设施用地</w:t>
            </w:r>
          </w:p>
        </w:tc>
        <w:tc>
          <w:tcPr>
            <w:tcW w:w="11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70.93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21.49%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 xml:space="preserve">12.90 </w:t>
            </w:r>
          </w:p>
        </w:tc>
      </w:tr>
      <w:tr w:rsidR="006328E6" w:rsidRPr="00D3515E">
        <w:trPr>
          <w:trHeight w:val="285"/>
        </w:trPr>
        <w:tc>
          <w:tcPr>
            <w:tcW w:w="47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471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其中</w:t>
            </w:r>
          </w:p>
        </w:tc>
        <w:tc>
          <w:tcPr>
            <w:tcW w:w="5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S1</w:t>
            </w:r>
          </w:p>
        </w:tc>
        <w:tc>
          <w:tcPr>
            <w:tcW w:w="30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城市道路用地</w:t>
            </w:r>
          </w:p>
        </w:tc>
        <w:tc>
          <w:tcPr>
            <w:tcW w:w="11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70.58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21.39%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 xml:space="preserve">12.83 </w:t>
            </w:r>
          </w:p>
        </w:tc>
      </w:tr>
      <w:tr w:rsidR="006328E6" w:rsidRPr="00D3515E">
        <w:trPr>
          <w:trHeight w:val="285"/>
        </w:trPr>
        <w:tc>
          <w:tcPr>
            <w:tcW w:w="47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471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S42</w:t>
            </w:r>
          </w:p>
        </w:tc>
        <w:tc>
          <w:tcPr>
            <w:tcW w:w="30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社会停车场用地</w:t>
            </w:r>
          </w:p>
        </w:tc>
        <w:tc>
          <w:tcPr>
            <w:tcW w:w="11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0.35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0.11%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 xml:space="preserve">0.06 </w:t>
            </w:r>
          </w:p>
        </w:tc>
      </w:tr>
      <w:tr w:rsidR="006328E6" w:rsidRPr="00D3515E">
        <w:trPr>
          <w:trHeight w:val="285"/>
        </w:trPr>
        <w:tc>
          <w:tcPr>
            <w:tcW w:w="47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7</w:t>
            </w:r>
          </w:p>
        </w:tc>
        <w:tc>
          <w:tcPr>
            <w:tcW w:w="1044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U</w:t>
            </w:r>
          </w:p>
        </w:tc>
        <w:tc>
          <w:tcPr>
            <w:tcW w:w="30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公用设施用地</w:t>
            </w:r>
          </w:p>
        </w:tc>
        <w:tc>
          <w:tcPr>
            <w:tcW w:w="11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5.30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1.61%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 xml:space="preserve">0.96 </w:t>
            </w:r>
          </w:p>
        </w:tc>
      </w:tr>
      <w:tr w:rsidR="006328E6" w:rsidRPr="00D3515E">
        <w:trPr>
          <w:trHeight w:val="285"/>
        </w:trPr>
        <w:tc>
          <w:tcPr>
            <w:tcW w:w="47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4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其中</w:t>
            </w:r>
          </w:p>
        </w:tc>
        <w:tc>
          <w:tcPr>
            <w:tcW w:w="5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U11</w:t>
            </w:r>
          </w:p>
        </w:tc>
        <w:tc>
          <w:tcPr>
            <w:tcW w:w="30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供水用地</w:t>
            </w:r>
          </w:p>
        </w:tc>
        <w:tc>
          <w:tcPr>
            <w:tcW w:w="11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5.30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1.61%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 xml:space="preserve">0.96 </w:t>
            </w:r>
          </w:p>
        </w:tc>
      </w:tr>
      <w:tr w:rsidR="006328E6" w:rsidRPr="00D3515E">
        <w:trPr>
          <w:trHeight w:val="285"/>
        </w:trPr>
        <w:tc>
          <w:tcPr>
            <w:tcW w:w="47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8</w:t>
            </w:r>
          </w:p>
        </w:tc>
        <w:tc>
          <w:tcPr>
            <w:tcW w:w="1044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G</w:t>
            </w:r>
          </w:p>
        </w:tc>
        <w:tc>
          <w:tcPr>
            <w:tcW w:w="30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绿地与广场用地</w:t>
            </w:r>
          </w:p>
        </w:tc>
        <w:tc>
          <w:tcPr>
            <w:tcW w:w="11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14.16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4.29%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 xml:space="preserve">2.57 </w:t>
            </w:r>
          </w:p>
        </w:tc>
      </w:tr>
      <w:tr w:rsidR="006328E6" w:rsidRPr="00D3515E">
        <w:trPr>
          <w:trHeight w:val="285"/>
        </w:trPr>
        <w:tc>
          <w:tcPr>
            <w:tcW w:w="47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471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其中</w:t>
            </w:r>
          </w:p>
        </w:tc>
        <w:tc>
          <w:tcPr>
            <w:tcW w:w="5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G1</w:t>
            </w:r>
          </w:p>
        </w:tc>
        <w:tc>
          <w:tcPr>
            <w:tcW w:w="30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公园绿地</w:t>
            </w:r>
          </w:p>
        </w:tc>
        <w:tc>
          <w:tcPr>
            <w:tcW w:w="11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12.38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3.75%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 xml:space="preserve">2.25 </w:t>
            </w:r>
          </w:p>
        </w:tc>
      </w:tr>
      <w:tr w:rsidR="006328E6" w:rsidRPr="00D3515E">
        <w:trPr>
          <w:trHeight w:val="285"/>
        </w:trPr>
        <w:tc>
          <w:tcPr>
            <w:tcW w:w="47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471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G2</w:t>
            </w:r>
          </w:p>
        </w:tc>
        <w:tc>
          <w:tcPr>
            <w:tcW w:w="30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防护绿地</w:t>
            </w:r>
          </w:p>
        </w:tc>
        <w:tc>
          <w:tcPr>
            <w:tcW w:w="11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0.37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0.11%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 xml:space="preserve">0.07 </w:t>
            </w:r>
          </w:p>
        </w:tc>
      </w:tr>
      <w:tr w:rsidR="006328E6" w:rsidRPr="00D3515E">
        <w:trPr>
          <w:trHeight w:val="285"/>
        </w:trPr>
        <w:tc>
          <w:tcPr>
            <w:tcW w:w="47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471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G3</w:t>
            </w:r>
          </w:p>
        </w:tc>
        <w:tc>
          <w:tcPr>
            <w:tcW w:w="30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广场用地</w:t>
            </w:r>
          </w:p>
        </w:tc>
        <w:tc>
          <w:tcPr>
            <w:tcW w:w="11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1.41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0.43%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 xml:space="preserve">0.26 </w:t>
            </w:r>
          </w:p>
        </w:tc>
      </w:tr>
      <w:tr w:rsidR="006328E6" w:rsidRPr="00D3515E">
        <w:trPr>
          <w:trHeight w:val="285"/>
        </w:trPr>
        <w:tc>
          <w:tcPr>
            <w:tcW w:w="4571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城市建设用地</w:t>
            </w:r>
          </w:p>
        </w:tc>
        <w:tc>
          <w:tcPr>
            <w:tcW w:w="11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330.01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100.00%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 xml:space="preserve">60.00 </w:t>
            </w:r>
          </w:p>
        </w:tc>
      </w:tr>
      <w:tr w:rsidR="006328E6" w:rsidRPr="00D3515E">
        <w:trPr>
          <w:trHeight w:val="285"/>
        </w:trPr>
        <w:tc>
          <w:tcPr>
            <w:tcW w:w="4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9</w:t>
            </w:r>
          </w:p>
        </w:tc>
        <w:tc>
          <w:tcPr>
            <w:tcW w:w="4094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其他建设用地（纳入其他片区边角地）</w:t>
            </w:r>
          </w:p>
        </w:tc>
        <w:tc>
          <w:tcPr>
            <w:tcW w:w="11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5.62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</w:p>
        </w:tc>
      </w:tr>
      <w:tr w:rsidR="006328E6" w:rsidRPr="00D3515E">
        <w:trPr>
          <w:trHeight w:val="285"/>
        </w:trPr>
        <w:tc>
          <w:tcPr>
            <w:tcW w:w="47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10</w:t>
            </w:r>
          </w:p>
        </w:tc>
        <w:tc>
          <w:tcPr>
            <w:tcW w:w="1043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E</w:t>
            </w:r>
          </w:p>
        </w:tc>
        <w:tc>
          <w:tcPr>
            <w:tcW w:w="30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非建设用地</w:t>
            </w:r>
          </w:p>
        </w:tc>
        <w:tc>
          <w:tcPr>
            <w:tcW w:w="11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10.59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</w:p>
        </w:tc>
      </w:tr>
      <w:tr w:rsidR="006328E6" w:rsidRPr="00D3515E">
        <w:trPr>
          <w:trHeight w:val="285"/>
        </w:trPr>
        <w:tc>
          <w:tcPr>
            <w:tcW w:w="47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47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其中</w:t>
            </w:r>
          </w:p>
        </w:tc>
        <w:tc>
          <w:tcPr>
            <w:tcW w:w="5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E1</w:t>
            </w:r>
          </w:p>
        </w:tc>
        <w:tc>
          <w:tcPr>
            <w:tcW w:w="30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水域</w:t>
            </w:r>
          </w:p>
        </w:tc>
        <w:tc>
          <w:tcPr>
            <w:tcW w:w="11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10.59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</w:p>
        </w:tc>
      </w:tr>
      <w:tr w:rsidR="006328E6" w:rsidRPr="00D3515E">
        <w:trPr>
          <w:trHeight w:val="296"/>
        </w:trPr>
        <w:tc>
          <w:tcPr>
            <w:tcW w:w="4571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总规划用地</w:t>
            </w:r>
          </w:p>
        </w:tc>
        <w:tc>
          <w:tcPr>
            <w:tcW w:w="11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346.22</w:t>
            </w: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5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328E6" w:rsidRDefault="006328E6">
            <w:pPr>
              <w:widowControl/>
              <w:jc w:val="center"/>
              <w:rPr>
                <w:rFonts w:ascii="宋体" w:cs="宋体"/>
                <w:sz w:val="22"/>
              </w:rPr>
            </w:pPr>
          </w:p>
        </w:tc>
      </w:tr>
    </w:tbl>
    <w:p w:rsidR="006328E6" w:rsidRDefault="006328E6">
      <w:pPr>
        <w:pStyle w:val="PlainText"/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注：片区规划人口</w:t>
      </w:r>
      <w:r>
        <w:rPr>
          <w:sz w:val="24"/>
          <w:szCs w:val="24"/>
        </w:rPr>
        <w:t>5.5</w:t>
      </w:r>
      <w:r>
        <w:rPr>
          <w:rFonts w:hint="eastAsia"/>
          <w:sz w:val="24"/>
          <w:szCs w:val="24"/>
        </w:rPr>
        <w:t>万人。</w:t>
      </w:r>
    </w:p>
    <w:p w:rsidR="006328E6" w:rsidRDefault="006328E6">
      <w:pPr>
        <w:adjustRightInd w:val="0"/>
        <w:snapToGrid w:val="0"/>
        <w:spacing w:line="300" w:lineRule="auto"/>
        <w:ind w:firstLineChars="200" w:firstLine="482"/>
        <w:jc w:val="left"/>
        <w:rPr>
          <w:b/>
          <w:sz w:val="24"/>
        </w:rPr>
      </w:pPr>
    </w:p>
    <w:p w:rsidR="006328E6" w:rsidRDefault="006328E6">
      <w:pPr>
        <w:adjustRightInd w:val="0"/>
        <w:snapToGrid w:val="0"/>
        <w:spacing w:line="300" w:lineRule="auto"/>
        <w:ind w:firstLineChars="200" w:firstLine="482"/>
        <w:jc w:val="left"/>
        <w:rPr>
          <w:b/>
          <w:sz w:val="24"/>
        </w:rPr>
      </w:pPr>
    </w:p>
    <w:p w:rsidR="006328E6" w:rsidRDefault="006328E6">
      <w:pPr>
        <w:adjustRightInd w:val="0"/>
        <w:snapToGrid w:val="0"/>
        <w:spacing w:line="300" w:lineRule="auto"/>
        <w:ind w:firstLineChars="200" w:firstLine="482"/>
        <w:jc w:val="left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五、道路交通规划</w:t>
      </w:r>
    </w:p>
    <w:p w:rsidR="006328E6" w:rsidRDefault="006328E6">
      <w:pPr>
        <w:adjustRightInd w:val="0"/>
        <w:snapToGrid w:val="0"/>
        <w:spacing w:line="300" w:lineRule="auto"/>
        <w:ind w:firstLineChars="200" w:firstLine="4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）对外交通：环岛东线高速嘉积互通紧邻规划区西侧，通过银海路与其对外联系。</w:t>
      </w:r>
    </w:p>
    <w:p w:rsidR="006328E6" w:rsidRDefault="006328E6">
      <w:pPr>
        <w:adjustRightInd w:val="0"/>
        <w:snapToGrid w:val="0"/>
        <w:spacing w:line="300" w:lineRule="auto"/>
        <w:ind w:firstLineChars="200" w:firstLine="4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）内部交通：规划确定了“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横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纵”的主干道框架体系。“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横”是指银海路、万泉河路、善集路和爱华西路相接形成的三条东西向道路；“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纵”指的是银河路和新规划的南北向道路。规划城市主干道的红线宽度为</w:t>
      </w:r>
      <w:r>
        <w:rPr>
          <w:rFonts w:ascii="宋体" w:hAnsi="宋体" w:cs="宋体"/>
          <w:sz w:val="24"/>
        </w:rPr>
        <w:t>30</w:t>
      </w:r>
      <w:r>
        <w:rPr>
          <w:rFonts w:ascii="宋体" w:hAnsi="宋体" w:cs="宋体" w:hint="eastAsia"/>
          <w:sz w:val="24"/>
        </w:rPr>
        <w:t>米－</w:t>
      </w:r>
      <w:r>
        <w:rPr>
          <w:rFonts w:ascii="宋体" w:hAnsi="宋体" w:cs="宋体"/>
          <w:sz w:val="24"/>
        </w:rPr>
        <w:t>60</w:t>
      </w:r>
      <w:r>
        <w:rPr>
          <w:rFonts w:ascii="宋体" w:hAnsi="宋体" w:cs="宋体" w:hint="eastAsia"/>
          <w:sz w:val="24"/>
        </w:rPr>
        <w:t>米。次干道是片区内各功能区的主要道路，规划红线宽度为</w:t>
      </w:r>
      <w:r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米。规划支路的道路红线宽度为</w:t>
      </w:r>
      <w:r>
        <w:rPr>
          <w:rFonts w:ascii="宋体" w:hAnsi="宋体" w:cs="宋体"/>
          <w:sz w:val="24"/>
        </w:rPr>
        <w:t>7</w:t>
      </w:r>
      <w:r>
        <w:rPr>
          <w:rFonts w:ascii="宋体" w:hAnsi="宋体" w:cs="宋体" w:hint="eastAsia"/>
          <w:sz w:val="24"/>
        </w:rPr>
        <w:t>－</w:t>
      </w:r>
      <w:r>
        <w:rPr>
          <w:rFonts w:ascii="宋体" w:hAnsi="宋体" w:cs="宋体"/>
          <w:sz w:val="24"/>
        </w:rPr>
        <w:t>16</w:t>
      </w:r>
      <w:r>
        <w:rPr>
          <w:rFonts w:ascii="宋体" w:hAnsi="宋体" w:cs="宋体" w:hint="eastAsia"/>
          <w:sz w:val="24"/>
        </w:rPr>
        <w:t>米。</w:t>
      </w:r>
    </w:p>
    <w:p w:rsidR="006328E6" w:rsidRDefault="006328E6">
      <w:pPr>
        <w:adjustRightInd w:val="0"/>
        <w:snapToGrid w:val="0"/>
        <w:spacing w:line="300" w:lineRule="auto"/>
        <w:ind w:firstLineChars="200" w:firstLine="482"/>
        <w:jc w:val="left"/>
        <w:rPr>
          <w:rFonts w:ascii="宋体" w:cs="宋体"/>
          <w:b/>
          <w:sz w:val="24"/>
        </w:rPr>
      </w:pPr>
    </w:p>
    <w:p w:rsidR="006328E6" w:rsidRDefault="006328E6">
      <w:pPr>
        <w:adjustRightInd w:val="0"/>
        <w:snapToGrid w:val="0"/>
        <w:spacing w:line="300" w:lineRule="auto"/>
        <w:ind w:firstLineChars="200" w:firstLine="482"/>
        <w:jc w:val="left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六、地块指标控制</w:t>
      </w:r>
    </w:p>
    <w:p w:rsidR="006328E6" w:rsidRDefault="006328E6">
      <w:pPr>
        <w:adjustRightInd w:val="0"/>
        <w:snapToGrid w:val="0"/>
        <w:spacing w:line="300" w:lineRule="auto"/>
        <w:ind w:firstLineChars="200" w:firstLine="4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）容积率控制：</w:t>
      </w:r>
    </w:p>
    <w:p w:rsidR="006328E6" w:rsidRDefault="006328E6">
      <w:pPr>
        <w:adjustRightInd w:val="0"/>
        <w:snapToGrid w:val="0"/>
        <w:spacing w:line="300" w:lineRule="auto"/>
        <w:ind w:firstLineChars="200" w:firstLine="4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将规划区地块容积率划分为</w:t>
      </w:r>
      <w:r>
        <w:rPr>
          <w:rFonts w:ascii="宋体" w:hAnsi="宋体" w:cs="宋体"/>
          <w:sz w:val="24"/>
        </w:rPr>
        <w:t>5</w:t>
      </w:r>
      <w:r>
        <w:rPr>
          <w:rFonts w:ascii="宋体" w:hAnsi="宋体" w:cs="宋体" w:hint="eastAsia"/>
          <w:sz w:val="24"/>
        </w:rPr>
        <w:t>个开发强度分区。</w:t>
      </w:r>
    </w:p>
    <w:p w:rsidR="006328E6" w:rsidRDefault="006328E6">
      <w:pPr>
        <w:numPr>
          <w:ilvl w:val="0"/>
          <w:numId w:val="2"/>
        </w:numPr>
        <w:adjustRightInd w:val="0"/>
        <w:snapToGrid w:val="0"/>
        <w:spacing w:line="300" w:lineRule="auto"/>
        <w:ind w:firstLineChars="200" w:firstLine="4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低开发强度分区：</w:t>
      </w:r>
      <w:r>
        <w:rPr>
          <w:rFonts w:ascii="宋体" w:hAnsi="宋体" w:cs="宋体"/>
          <w:sz w:val="24"/>
        </w:rPr>
        <w:t>FAR</w:t>
      </w:r>
      <w:r>
        <w:rPr>
          <w:rFonts w:ascii="宋体" w:hAnsi="宋体" w:cs="宋体" w:hint="eastAsia"/>
          <w:sz w:val="24"/>
        </w:rPr>
        <w:t>≤</w:t>
      </w:r>
      <w:r>
        <w:rPr>
          <w:rFonts w:ascii="宋体" w:hAnsi="宋体" w:cs="宋体"/>
          <w:sz w:val="24"/>
        </w:rPr>
        <w:t>1.0</w:t>
      </w:r>
      <w:r>
        <w:rPr>
          <w:rFonts w:ascii="宋体" w:hAnsi="宋体" w:cs="宋体" w:hint="eastAsia"/>
          <w:sz w:val="24"/>
        </w:rPr>
        <w:t>，主要由中小学用地、福利设施用地和公用设施用地构成。</w:t>
      </w:r>
    </w:p>
    <w:p w:rsidR="006328E6" w:rsidRDefault="006328E6">
      <w:pPr>
        <w:adjustRightInd w:val="0"/>
        <w:snapToGrid w:val="0"/>
        <w:spacing w:line="300" w:lineRule="auto"/>
        <w:ind w:firstLineChars="200" w:firstLine="4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其中公园绿地包括</w:t>
      </w:r>
      <w:r>
        <w:rPr>
          <w:rFonts w:ascii="宋体" w:hAnsi="宋体" w:cs="宋体"/>
          <w:sz w:val="24"/>
        </w:rPr>
        <w:t>BH-B0802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BH-B1704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BH-C0502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BH-E0501</w:t>
      </w:r>
      <w:r>
        <w:rPr>
          <w:rFonts w:ascii="宋体" w:hAnsi="宋体" w:cs="宋体" w:hint="eastAsia"/>
          <w:sz w:val="24"/>
        </w:rPr>
        <w:t>地块容积率控制在</w:t>
      </w:r>
      <w:r>
        <w:rPr>
          <w:rFonts w:ascii="宋体" w:hAnsi="宋体" w:cs="宋体"/>
          <w:sz w:val="24"/>
        </w:rPr>
        <w:t>0.6</w:t>
      </w:r>
      <w:r>
        <w:rPr>
          <w:rFonts w:ascii="宋体" w:hAnsi="宋体" w:cs="宋体" w:hint="eastAsia"/>
          <w:sz w:val="24"/>
        </w:rPr>
        <w:t>，用于建设停车楼，以缓解片区停车需求；</w:t>
      </w:r>
      <w:r>
        <w:rPr>
          <w:rFonts w:ascii="宋体" w:hAnsi="宋体" w:cs="宋体"/>
          <w:sz w:val="24"/>
        </w:rPr>
        <w:t>BH-B0207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BH-B0303</w:t>
      </w:r>
      <w:r>
        <w:rPr>
          <w:rFonts w:ascii="宋体" w:hAnsi="宋体" w:cs="宋体" w:hint="eastAsia"/>
          <w:sz w:val="24"/>
        </w:rPr>
        <w:t>地块容积率控制在</w:t>
      </w:r>
      <w:r>
        <w:rPr>
          <w:rFonts w:ascii="宋体" w:hAnsi="宋体" w:cs="宋体"/>
          <w:sz w:val="24"/>
        </w:rPr>
        <w:t>0.01</w:t>
      </w:r>
      <w:r>
        <w:rPr>
          <w:rFonts w:ascii="宋体" w:hAnsi="宋体" w:cs="宋体" w:hint="eastAsia"/>
          <w:sz w:val="24"/>
        </w:rPr>
        <w:t>，用于建设公园配套服务设施。</w:t>
      </w:r>
    </w:p>
    <w:p w:rsidR="006328E6" w:rsidRDefault="006328E6">
      <w:pPr>
        <w:numPr>
          <w:ilvl w:val="0"/>
          <w:numId w:val="2"/>
        </w:numPr>
        <w:adjustRightInd w:val="0"/>
        <w:snapToGrid w:val="0"/>
        <w:spacing w:line="300" w:lineRule="auto"/>
        <w:ind w:firstLineChars="200" w:firstLine="4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较低开发强度分区：</w:t>
      </w:r>
      <w:r>
        <w:rPr>
          <w:rFonts w:ascii="宋体" w:hAnsi="宋体" w:cs="宋体"/>
          <w:sz w:val="24"/>
        </w:rPr>
        <w:t>FAR</w:t>
      </w:r>
      <w:r>
        <w:rPr>
          <w:rFonts w:ascii="宋体" w:hAnsi="宋体" w:cs="宋体" w:hint="eastAsia"/>
          <w:sz w:val="24"/>
        </w:rPr>
        <w:t>≤</w:t>
      </w:r>
      <w:r>
        <w:rPr>
          <w:rFonts w:ascii="宋体" w:hAnsi="宋体" w:cs="宋体"/>
          <w:sz w:val="24"/>
        </w:rPr>
        <w:t>1.5</w:t>
      </w:r>
      <w:r>
        <w:rPr>
          <w:rFonts w:ascii="宋体" w:hAnsi="宋体" w:cs="宋体" w:hint="eastAsia"/>
          <w:sz w:val="24"/>
        </w:rPr>
        <w:t>，主要由行政办公用地、文化设施用地、科研用地、文物古迹用地以及以个人建房为主的二类居住用地或二类居住</w:t>
      </w:r>
      <w:r>
        <w:rPr>
          <w:rFonts w:ascii="宋体" w:hAnsi="宋体" w:cs="宋体"/>
          <w:sz w:val="24"/>
        </w:rPr>
        <w:t>/</w:t>
      </w:r>
      <w:r>
        <w:rPr>
          <w:rFonts w:ascii="宋体" w:hAnsi="宋体" w:cs="宋体" w:hint="eastAsia"/>
          <w:sz w:val="24"/>
        </w:rPr>
        <w:t>商业混合用地构成。</w:t>
      </w:r>
    </w:p>
    <w:p w:rsidR="006328E6" w:rsidRDefault="006328E6">
      <w:pPr>
        <w:numPr>
          <w:ilvl w:val="0"/>
          <w:numId w:val="2"/>
        </w:numPr>
        <w:adjustRightInd w:val="0"/>
        <w:snapToGrid w:val="0"/>
        <w:spacing w:line="300" w:lineRule="auto"/>
        <w:ind w:firstLineChars="200" w:firstLine="4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一般开发强度分区：</w:t>
      </w:r>
      <w:r>
        <w:rPr>
          <w:rFonts w:ascii="宋体" w:hAnsi="宋体" w:cs="宋体"/>
          <w:sz w:val="24"/>
        </w:rPr>
        <w:t>FAR</w:t>
      </w:r>
      <w:r>
        <w:rPr>
          <w:rFonts w:ascii="宋体" w:hAnsi="宋体" w:cs="宋体" w:hint="eastAsia"/>
          <w:sz w:val="24"/>
        </w:rPr>
        <w:t>≤</w:t>
      </w:r>
      <w:r>
        <w:rPr>
          <w:rFonts w:ascii="宋体" w:hAnsi="宋体" w:cs="宋体"/>
          <w:sz w:val="24"/>
        </w:rPr>
        <w:t>2.0</w:t>
      </w:r>
      <w:r>
        <w:rPr>
          <w:rFonts w:ascii="宋体" w:hAnsi="宋体" w:cs="宋体" w:hint="eastAsia"/>
          <w:sz w:val="24"/>
        </w:rPr>
        <w:t>，主要为平均分布于规划片区内的中高层和高层居住用地构成。</w:t>
      </w:r>
    </w:p>
    <w:p w:rsidR="006328E6" w:rsidRDefault="006328E6">
      <w:pPr>
        <w:numPr>
          <w:ilvl w:val="0"/>
          <w:numId w:val="2"/>
        </w:numPr>
        <w:adjustRightInd w:val="0"/>
        <w:snapToGrid w:val="0"/>
        <w:spacing w:line="300" w:lineRule="auto"/>
        <w:ind w:firstLineChars="200" w:firstLine="4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较高开发强度分区：</w:t>
      </w:r>
      <w:r>
        <w:rPr>
          <w:rFonts w:ascii="宋体" w:hAnsi="宋体" w:cs="宋体"/>
          <w:sz w:val="24"/>
        </w:rPr>
        <w:t>FAR</w:t>
      </w:r>
      <w:r>
        <w:rPr>
          <w:rFonts w:ascii="宋体" w:hAnsi="宋体" w:cs="宋体" w:hint="eastAsia"/>
          <w:sz w:val="24"/>
        </w:rPr>
        <w:t>≤</w:t>
      </w:r>
      <w:r>
        <w:rPr>
          <w:rFonts w:ascii="宋体" w:hAnsi="宋体" w:cs="宋体"/>
          <w:sz w:val="24"/>
        </w:rPr>
        <w:t>3.0</w:t>
      </w:r>
      <w:r>
        <w:rPr>
          <w:rFonts w:ascii="宋体" w:hAnsi="宋体" w:cs="宋体" w:hint="eastAsia"/>
          <w:sz w:val="24"/>
        </w:rPr>
        <w:t>，由现状已批的高层住宅项目，容积率控制在</w:t>
      </w:r>
      <w:r>
        <w:rPr>
          <w:rFonts w:ascii="宋体" w:hAnsi="宋体" w:cs="宋体"/>
          <w:sz w:val="24"/>
        </w:rPr>
        <w:t>2.14-2.63</w:t>
      </w:r>
      <w:r>
        <w:rPr>
          <w:rFonts w:ascii="宋体" w:hAnsi="宋体" w:cs="宋体" w:hint="eastAsia"/>
          <w:sz w:val="24"/>
        </w:rPr>
        <w:t>，以及规划容积率控制在</w:t>
      </w:r>
      <w:r>
        <w:rPr>
          <w:rFonts w:ascii="宋体" w:hAnsi="宋体" w:cs="宋体"/>
          <w:sz w:val="24"/>
        </w:rPr>
        <w:t>3.0</w:t>
      </w:r>
      <w:r>
        <w:rPr>
          <w:rFonts w:ascii="宋体" w:hAnsi="宋体" w:cs="宋体" w:hint="eastAsia"/>
          <w:sz w:val="24"/>
        </w:rPr>
        <w:t>的拆迁安置用地构成。</w:t>
      </w:r>
    </w:p>
    <w:p w:rsidR="006328E6" w:rsidRDefault="006328E6">
      <w:pPr>
        <w:numPr>
          <w:ilvl w:val="0"/>
          <w:numId w:val="2"/>
        </w:numPr>
        <w:adjustRightInd w:val="0"/>
        <w:snapToGrid w:val="0"/>
        <w:spacing w:line="300" w:lineRule="auto"/>
        <w:ind w:firstLineChars="200" w:firstLine="4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高开发强度分区：</w:t>
      </w:r>
      <w:r>
        <w:rPr>
          <w:rFonts w:ascii="宋体" w:hAnsi="宋体" w:cs="宋体"/>
          <w:sz w:val="24"/>
        </w:rPr>
        <w:t>FAR</w:t>
      </w:r>
      <w:r>
        <w:rPr>
          <w:rFonts w:ascii="宋体" w:hAnsi="宋体" w:cs="宋体" w:hint="eastAsia"/>
          <w:sz w:val="24"/>
        </w:rPr>
        <w:t>＜</w:t>
      </w:r>
      <w:r>
        <w:rPr>
          <w:rFonts w:ascii="宋体" w:hAnsi="宋体" w:cs="宋体"/>
          <w:sz w:val="24"/>
        </w:rPr>
        <w:t>5.0</w:t>
      </w:r>
      <w:r>
        <w:rPr>
          <w:rFonts w:ascii="宋体" w:hAnsi="宋体" w:cs="宋体" w:hint="eastAsia"/>
          <w:sz w:val="24"/>
        </w:rPr>
        <w:t>，为已批已建的项目，位于加浪河西侧的</w:t>
      </w:r>
      <w:r>
        <w:rPr>
          <w:rFonts w:ascii="宋体" w:hAnsi="宋体" w:cs="宋体"/>
          <w:sz w:val="24"/>
        </w:rPr>
        <w:t>BH-B0204</w:t>
      </w:r>
      <w:r>
        <w:rPr>
          <w:rFonts w:ascii="宋体" w:hAnsi="宋体" w:cs="宋体" w:hint="eastAsia"/>
          <w:sz w:val="24"/>
        </w:rPr>
        <w:t>和</w:t>
      </w:r>
      <w:r>
        <w:rPr>
          <w:rFonts w:ascii="宋体" w:hAnsi="宋体" w:cs="宋体"/>
          <w:sz w:val="24"/>
        </w:rPr>
        <w:t>BH-B1002</w:t>
      </w:r>
      <w:r>
        <w:rPr>
          <w:rFonts w:ascii="宋体" w:hAnsi="宋体" w:cs="宋体" w:hint="eastAsia"/>
          <w:sz w:val="24"/>
        </w:rPr>
        <w:t>地块，容积率分别为</w:t>
      </w:r>
      <w:r>
        <w:rPr>
          <w:rFonts w:ascii="宋体" w:hAnsi="宋体" w:cs="宋体"/>
          <w:sz w:val="24"/>
        </w:rPr>
        <w:t>4.99</w:t>
      </w:r>
      <w:r>
        <w:rPr>
          <w:rFonts w:ascii="宋体" w:hAnsi="宋体" w:cs="宋体" w:hint="eastAsia"/>
          <w:sz w:val="24"/>
        </w:rPr>
        <w:t>和</w:t>
      </w:r>
      <w:r>
        <w:rPr>
          <w:rFonts w:ascii="宋体" w:hAnsi="宋体" w:cs="宋体"/>
          <w:sz w:val="24"/>
        </w:rPr>
        <w:t>3.42</w:t>
      </w:r>
      <w:r>
        <w:rPr>
          <w:rFonts w:ascii="宋体" w:hAnsi="宋体" w:cs="宋体" w:hint="eastAsia"/>
          <w:sz w:val="24"/>
        </w:rPr>
        <w:t>。</w:t>
      </w:r>
    </w:p>
    <w:p w:rsidR="006328E6" w:rsidRDefault="006328E6">
      <w:pPr>
        <w:numPr>
          <w:ilvl w:val="0"/>
          <w:numId w:val="3"/>
        </w:numPr>
        <w:adjustRightInd w:val="0"/>
        <w:snapToGrid w:val="0"/>
        <w:spacing w:line="300" w:lineRule="auto"/>
        <w:ind w:firstLineChars="200" w:firstLine="4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建筑高度控制</w:t>
      </w:r>
    </w:p>
    <w:p w:rsidR="006328E6" w:rsidRDefault="006328E6">
      <w:pPr>
        <w:adjustRightInd w:val="0"/>
        <w:snapToGrid w:val="0"/>
        <w:spacing w:line="300" w:lineRule="auto"/>
        <w:ind w:firstLineChars="200" w:firstLine="4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将规划区地块建筑高度划分为</w:t>
      </w:r>
      <w:r>
        <w:rPr>
          <w:rFonts w:ascii="宋体" w:hAnsi="宋体" w:cs="宋体"/>
          <w:sz w:val="24"/>
        </w:rPr>
        <w:t>5</w:t>
      </w:r>
      <w:r>
        <w:rPr>
          <w:rFonts w:ascii="宋体" w:hAnsi="宋体" w:cs="宋体" w:hint="eastAsia"/>
          <w:sz w:val="24"/>
        </w:rPr>
        <w:t>建筑高度分区。</w:t>
      </w:r>
    </w:p>
    <w:p w:rsidR="006328E6" w:rsidRDefault="006328E6">
      <w:pPr>
        <w:numPr>
          <w:ilvl w:val="0"/>
          <w:numId w:val="4"/>
        </w:numPr>
        <w:adjustRightInd w:val="0"/>
        <w:snapToGrid w:val="0"/>
        <w:spacing w:line="300" w:lineRule="auto"/>
        <w:ind w:firstLineChars="200" w:firstLine="4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低建筑高度分区：</w:t>
      </w:r>
      <w:r>
        <w:rPr>
          <w:rFonts w:ascii="宋体" w:hAnsi="宋体" w:cs="宋体"/>
          <w:sz w:val="24"/>
        </w:rPr>
        <w:t>H</w:t>
      </w:r>
      <w:r>
        <w:rPr>
          <w:rFonts w:ascii="宋体" w:hAnsi="宋体" w:cs="宋体" w:hint="eastAsia"/>
          <w:sz w:val="24"/>
        </w:rPr>
        <w:t>≤</w:t>
      </w:r>
      <w:r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米，为基础设施用地和片区内个人建房的二类居住用地。</w:t>
      </w:r>
    </w:p>
    <w:p w:rsidR="006328E6" w:rsidRDefault="006328E6">
      <w:pPr>
        <w:numPr>
          <w:ilvl w:val="0"/>
          <w:numId w:val="4"/>
        </w:numPr>
        <w:adjustRightInd w:val="0"/>
        <w:snapToGrid w:val="0"/>
        <w:spacing w:line="300" w:lineRule="auto"/>
        <w:ind w:firstLineChars="200" w:firstLine="4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一般建筑高度分区：</w:t>
      </w:r>
      <w:r>
        <w:rPr>
          <w:rFonts w:ascii="宋体" w:hAnsi="宋体" w:cs="宋体"/>
          <w:sz w:val="24"/>
        </w:rPr>
        <w:t>H</w:t>
      </w:r>
      <w:r>
        <w:rPr>
          <w:rFonts w:ascii="宋体" w:hAnsi="宋体" w:cs="宋体" w:hint="eastAsia"/>
          <w:sz w:val="24"/>
        </w:rPr>
        <w:t>≤</w:t>
      </w:r>
      <w:r>
        <w:rPr>
          <w:rFonts w:ascii="宋体" w:hAnsi="宋体" w:cs="宋体"/>
          <w:sz w:val="24"/>
        </w:rPr>
        <w:t>40</w:t>
      </w:r>
      <w:r>
        <w:rPr>
          <w:rFonts w:ascii="宋体" w:hAnsi="宋体" w:cs="宋体" w:hint="eastAsia"/>
          <w:sz w:val="24"/>
        </w:rPr>
        <w:t>米，主要为沿街商业用地和沿街二类居住</w:t>
      </w:r>
      <w:r>
        <w:rPr>
          <w:rFonts w:ascii="宋体" w:hAnsi="宋体" w:cs="宋体"/>
          <w:sz w:val="24"/>
        </w:rPr>
        <w:t>/</w:t>
      </w:r>
      <w:r>
        <w:rPr>
          <w:rFonts w:ascii="宋体" w:hAnsi="宋体" w:cs="宋体" w:hint="eastAsia"/>
          <w:sz w:val="24"/>
        </w:rPr>
        <w:t>商业混合用地，以及部分中高层住宅用地。</w:t>
      </w:r>
    </w:p>
    <w:p w:rsidR="006328E6" w:rsidRDefault="006328E6">
      <w:pPr>
        <w:numPr>
          <w:ilvl w:val="0"/>
          <w:numId w:val="4"/>
        </w:numPr>
        <w:adjustRightInd w:val="0"/>
        <w:snapToGrid w:val="0"/>
        <w:spacing w:line="300" w:lineRule="auto"/>
        <w:ind w:firstLineChars="200" w:firstLine="4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较高建筑高度分区：</w:t>
      </w:r>
      <w:r>
        <w:rPr>
          <w:rFonts w:ascii="宋体" w:hAnsi="宋体" w:cs="宋体"/>
          <w:sz w:val="24"/>
        </w:rPr>
        <w:t>H</w:t>
      </w:r>
      <w:r>
        <w:rPr>
          <w:rFonts w:ascii="宋体" w:hAnsi="宋体" w:cs="宋体" w:hint="eastAsia"/>
          <w:sz w:val="24"/>
        </w:rPr>
        <w:t>≤</w:t>
      </w:r>
      <w:r>
        <w:rPr>
          <w:rFonts w:ascii="宋体" w:hAnsi="宋体" w:cs="宋体"/>
          <w:sz w:val="24"/>
        </w:rPr>
        <w:t>60</w:t>
      </w:r>
      <w:r>
        <w:rPr>
          <w:rFonts w:ascii="宋体" w:hAnsi="宋体" w:cs="宋体" w:hint="eastAsia"/>
          <w:sz w:val="24"/>
        </w:rPr>
        <w:t>米，主要分布片区西部、加浪河两岸高层住宅用地，以及规划新建的高层住宅用地和二类居住</w:t>
      </w:r>
      <w:r>
        <w:rPr>
          <w:rFonts w:ascii="宋体" w:hAnsi="宋体" w:cs="宋体"/>
          <w:sz w:val="24"/>
        </w:rPr>
        <w:t>/</w:t>
      </w:r>
      <w:r>
        <w:rPr>
          <w:rFonts w:ascii="宋体" w:hAnsi="宋体" w:cs="宋体" w:hint="eastAsia"/>
          <w:sz w:val="24"/>
        </w:rPr>
        <w:t>商业混合用地。</w:t>
      </w:r>
    </w:p>
    <w:p w:rsidR="006328E6" w:rsidRDefault="006328E6">
      <w:pPr>
        <w:numPr>
          <w:ilvl w:val="0"/>
          <w:numId w:val="4"/>
        </w:numPr>
        <w:adjustRightInd w:val="0"/>
        <w:snapToGrid w:val="0"/>
        <w:spacing w:line="300" w:lineRule="auto"/>
        <w:ind w:firstLineChars="200" w:firstLine="4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高建筑高度分区：</w:t>
      </w:r>
      <w:r>
        <w:rPr>
          <w:rFonts w:ascii="宋体" w:hAnsi="宋体" w:cs="宋体"/>
          <w:sz w:val="24"/>
        </w:rPr>
        <w:t>H</w:t>
      </w:r>
      <w:r>
        <w:rPr>
          <w:rFonts w:ascii="宋体" w:hAnsi="宋体" w:cs="宋体" w:hint="eastAsia"/>
          <w:sz w:val="24"/>
        </w:rPr>
        <w:t>≤</w:t>
      </w:r>
      <w:r>
        <w:rPr>
          <w:rFonts w:ascii="宋体" w:hAnsi="宋体" w:cs="宋体"/>
          <w:sz w:val="24"/>
        </w:rPr>
        <w:t>80</w:t>
      </w:r>
      <w:r>
        <w:rPr>
          <w:rFonts w:ascii="宋体" w:hAnsi="宋体" w:cs="宋体" w:hint="eastAsia"/>
          <w:sz w:val="24"/>
        </w:rPr>
        <w:t>米，为加浪河西侧的已建成住宅小区，建筑高度分别为</w:t>
      </w:r>
      <w:r>
        <w:rPr>
          <w:rFonts w:ascii="宋体" w:hAnsi="宋体" w:cs="宋体"/>
          <w:sz w:val="24"/>
        </w:rPr>
        <w:t>22</w:t>
      </w:r>
      <w:r>
        <w:rPr>
          <w:rFonts w:ascii="宋体" w:hAnsi="宋体" w:cs="宋体" w:hint="eastAsia"/>
          <w:sz w:val="24"/>
        </w:rPr>
        <w:t>层和</w:t>
      </w:r>
      <w:r>
        <w:rPr>
          <w:rFonts w:ascii="宋体" w:hAnsi="宋体" w:cs="宋体"/>
          <w:sz w:val="24"/>
        </w:rPr>
        <w:t>26</w:t>
      </w:r>
      <w:r>
        <w:rPr>
          <w:rFonts w:ascii="宋体" w:hAnsi="宋体" w:cs="宋体" w:hint="eastAsia"/>
          <w:sz w:val="24"/>
        </w:rPr>
        <w:t>层；以及新建的商业</w:t>
      </w:r>
      <w:r>
        <w:rPr>
          <w:rFonts w:ascii="宋体" w:hAnsi="宋体" w:cs="宋体"/>
          <w:sz w:val="24"/>
        </w:rPr>
        <w:t>/</w:t>
      </w:r>
      <w:r>
        <w:rPr>
          <w:rFonts w:ascii="宋体" w:hAnsi="宋体" w:cs="宋体" w:hint="eastAsia"/>
          <w:sz w:val="24"/>
        </w:rPr>
        <w:t>居住混合用地，规划商业高度</w:t>
      </w:r>
      <w:r>
        <w:rPr>
          <w:rFonts w:ascii="宋体" w:hAnsi="宋体" w:cs="宋体"/>
          <w:sz w:val="24"/>
        </w:rPr>
        <w:t>70</w:t>
      </w:r>
      <w:r>
        <w:rPr>
          <w:rFonts w:ascii="宋体" w:hAnsi="宋体" w:cs="宋体" w:hint="eastAsia"/>
          <w:sz w:val="24"/>
        </w:rPr>
        <w:t>米。</w:t>
      </w:r>
    </w:p>
    <w:p w:rsidR="006328E6" w:rsidRDefault="006328E6">
      <w:pPr>
        <w:numPr>
          <w:ilvl w:val="0"/>
          <w:numId w:val="4"/>
        </w:numPr>
        <w:adjustRightInd w:val="0"/>
        <w:snapToGrid w:val="0"/>
        <w:spacing w:line="300" w:lineRule="auto"/>
        <w:ind w:firstLineChars="200" w:firstLine="4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超高建筑高度分区：</w:t>
      </w:r>
      <w:r>
        <w:rPr>
          <w:rFonts w:ascii="宋体" w:hAnsi="宋体" w:cs="宋体"/>
          <w:sz w:val="24"/>
        </w:rPr>
        <w:t>H</w:t>
      </w:r>
      <w:r>
        <w:rPr>
          <w:rFonts w:ascii="宋体" w:hAnsi="宋体" w:cs="宋体" w:hint="eastAsia"/>
          <w:sz w:val="24"/>
        </w:rPr>
        <w:t>≤</w:t>
      </w:r>
      <w:r>
        <w:rPr>
          <w:rFonts w:ascii="宋体" w:hAnsi="宋体" w:cs="宋体"/>
          <w:sz w:val="24"/>
        </w:rPr>
        <w:t>100</w:t>
      </w:r>
      <w:r>
        <w:rPr>
          <w:rFonts w:ascii="宋体" w:hAnsi="宋体" w:cs="宋体" w:hint="eastAsia"/>
          <w:sz w:val="24"/>
        </w:rPr>
        <w:t>米，为银河路东侧的已建成的怡居万泉居住小区，已批建筑高度</w:t>
      </w:r>
      <w:r>
        <w:rPr>
          <w:rFonts w:ascii="宋体" w:hAnsi="宋体" w:cs="宋体"/>
          <w:sz w:val="24"/>
        </w:rPr>
        <w:t>98</w:t>
      </w:r>
      <w:r>
        <w:rPr>
          <w:rFonts w:ascii="宋体" w:hAnsi="宋体" w:cs="宋体" w:hint="eastAsia"/>
          <w:sz w:val="24"/>
        </w:rPr>
        <w:t>米。</w:t>
      </w:r>
    </w:p>
    <w:p w:rsidR="006328E6" w:rsidRDefault="006328E6">
      <w:pPr>
        <w:numPr>
          <w:ilvl w:val="0"/>
          <w:numId w:val="3"/>
        </w:numPr>
        <w:adjustRightInd w:val="0"/>
        <w:snapToGrid w:val="0"/>
        <w:spacing w:line="300" w:lineRule="auto"/>
        <w:ind w:firstLineChars="200" w:firstLine="4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建筑密度控制</w:t>
      </w:r>
    </w:p>
    <w:p w:rsidR="006328E6" w:rsidRDefault="006328E6">
      <w:pPr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不同性质用地的建筑密度要求详见下表。</w:t>
      </w:r>
      <w:r>
        <w:rPr>
          <w:rFonts w:ascii="宋体" w:hAnsi="宋体" w:cs="宋体"/>
          <w:sz w:val="24"/>
          <w:szCs w:val="24"/>
        </w:rPr>
        <w:t xml:space="preserve"> </w:t>
      </w:r>
    </w:p>
    <w:p w:rsidR="006328E6" w:rsidRDefault="006328E6">
      <w:pPr>
        <w:ind w:leftChars="200" w:left="420"/>
        <w:jc w:val="center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不同性质用地建筑密度要求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34"/>
        <w:gridCol w:w="1096"/>
        <w:gridCol w:w="2050"/>
        <w:gridCol w:w="2842"/>
      </w:tblGrid>
      <w:tr w:rsidR="006328E6" w:rsidRPr="00D3515E">
        <w:tc>
          <w:tcPr>
            <w:tcW w:w="2534" w:type="dxa"/>
            <w:vAlign w:val="center"/>
          </w:tcPr>
          <w:p w:rsidR="006328E6" w:rsidRPr="00D3515E" w:rsidRDefault="006328E6">
            <w:pPr>
              <w:spacing w:line="42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用地性质分类</w:t>
            </w:r>
          </w:p>
        </w:tc>
        <w:tc>
          <w:tcPr>
            <w:tcW w:w="3146" w:type="dxa"/>
            <w:gridSpan w:val="2"/>
            <w:vAlign w:val="center"/>
          </w:tcPr>
          <w:p w:rsidR="006328E6" w:rsidRPr="00D3515E" w:rsidRDefault="006328E6">
            <w:pPr>
              <w:spacing w:line="42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具体分类</w:t>
            </w:r>
          </w:p>
        </w:tc>
        <w:tc>
          <w:tcPr>
            <w:tcW w:w="2842" w:type="dxa"/>
            <w:vAlign w:val="center"/>
          </w:tcPr>
          <w:p w:rsidR="006328E6" w:rsidRPr="00D3515E" w:rsidRDefault="006328E6">
            <w:pPr>
              <w:spacing w:line="42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建筑密度控制（上限）</w:t>
            </w:r>
          </w:p>
        </w:tc>
      </w:tr>
      <w:tr w:rsidR="006328E6" w:rsidRPr="00D3515E">
        <w:trPr>
          <w:trHeight w:val="253"/>
        </w:trPr>
        <w:tc>
          <w:tcPr>
            <w:tcW w:w="2534" w:type="dxa"/>
            <w:vMerge w:val="restart"/>
            <w:vAlign w:val="center"/>
          </w:tcPr>
          <w:p w:rsidR="006328E6" w:rsidRPr="00D3515E" w:rsidRDefault="006328E6">
            <w:pPr>
              <w:spacing w:line="42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居住用地</w:t>
            </w:r>
          </w:p>
        </w:tc>
        <w:tc>
          <w:tcPr>
            <w:tcW w:w="1096" w:type="dxa"/>
            <w:vMerge w:val="restart"/>
            <w:vAlign w:val="center"/>
          </w:tcPr>
          <w:p w:rsidR="006328E6" w:rsidRPr="00D3515E" w:rsidRDefault="006328E6">
            <w:pPr>
              <w:spacing w:line="42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二类居住用地</w:t>
            </w:r>
          </w:p>
        </w:tc>
        <w:tc>
          <w:tcPr>
            <w:tcW w:w="2050" w:type="dxa"/>
            <w:vAlign w:val="center"/>
          </w:tcPr>
          <w:p w:rsidR="006328E6" w:rsidRPr="00D3515E" w:rsidRDefault="006328E6">
            <w:pPr>
              <w:spacing w:line="42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整体开发住宅小区</w:t>
            </w:r>
          </w:p>
        </w:tc>
        <w:tc>
          <w:tcPr>
            <w:tcW w:w="2842" w:type="dxa"/>
            <w:vAlign w:val="center"/>
          </w:tcPr>
          <w:p w:rsidR="006328E6" w:rsidRPr="00D3515E" w:rsidRDefault="006328E6">
            <w:pPr>
              <w:spacing w:line="42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18%-25%</w:t>
            </w:r>
          </w:p>
        </w:tc>
      </w:tr>
      <w:tr w:rsidR="006328E6" w:rsidRPr="00D3515E">
        <w:trPr>
          <w:trHeight w:val="225"/>
        </w:trPr>
        <w:tc>
          <w:tcPr>
            <w:tcW w:w="2534" w:type="dxa"/>
            <w:vMerge/>
            <w:vAlign w:val="center"/>
          </w:tcPr>
          <w:p w:rsidR="006328E6" w:rsidRPr="00D3515E" w:rsidRDefault="006328E6">
            <w:pPr>
              <w:spacing w:line="4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096" w:type="dxa"/>
            <w:vMerge/>
            <w:vAlign w:val="center"/>
          </w:tcPr>
          <w:p w:rsidR="006328E6" w:rsidRPr="00D3515E" w:rsidRDefault="006328E6">
            <w:pPr>
              <w:spacing w:line="4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050" w:type="dxa"/>
            <w:vAlign w:val="center"/>
          </w:tcPr>
          <w:p w:rsidR="006328E6" w:rsidRPr="00D3515E" w:rsidRDefault="006328E6">
            <w:pPr>
              <w:spacing w:line="42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个人建房居住用地</w:t>
            </w:r>
          </w:p>
        </w:tc>
        <w:tc>
          <w:tcPr>
            <w:tcW w:w="2842" w:type="dxa"/>
            <w:vAlign w:val="center"/>
          </w:tcPr>
          <w:p w:rsidR="006328E6" w:rsidRPr="00D3515E" w:rsidRDefault="006328E6">
            <w:pPr>
              <w:spacing w:line="42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30%-35%</w:t>
            </w:r>
          </w:p>
        </w:tc>
      </w:tr>
      <w:tr w:rsidR="006328E6" w:rsidRPr="00D3515E">
        <w:tc>
          <w:tcPr>
            <w:tcW w:w="2534" w:type="dxa"/>
            <w:vMerge/>
            <w:vAlign w:val="center"/>
          </w:tcPr>
          <w:p w:rsidR="006328E6" w:rsidRPr="00D3515E" w:rsidRDefault="006328E6">
            <w:pPr>
              <w:spacing w:line="4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146" w:type="dxa"/>
            <w:gridSpan w:val="2"/>
            <w:vAlign w:val="center"/>
          </w:tcPr>
          <w:p w:rsidR="006328E6" w:rsidRPr="00D3515E" w:rsidRDefault="006328E6">
            <w:pPr>
              <w:spacing w:line="42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二类居住用地</w:t>
            </w:r>
            <w:r>
              <w:rPr>
                <w:rFonts w:ascii="宋体" w:hAnsi="宋体" w:cs="宋体"/>
                <w:sz w:val="22"/>
              </w:rPr>
              <w:t>/</w:t>
            </w:r>
            <w:r>
              <w:rPr>
                <w:rFonts w:ascii="宋体" w:hAnsi="宋体" w:cs="宋体" w:hint="eastAsia"/>
                <w:sz w:val="22"/>
              </w:rPr>
              <w:t>商业混合用地</w:t>
            </w:r>
          </w:p>
        </w:tc>
        <w:tc>
          <w:tcPr>
            <w:tcW w:w="2842" w:type="dxa"/>
            <w:vAlign w:val="center"/>
          </w:tcPr>
          <w:p w:rsidR="006328E6" w:rsidRPr="00D3515E" w:rsidRDefault="006328E6">
            <w:pPr>
              <w:spacing w:line="42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35%</w:t>
            </w:r>
          </w:p>
        </w:tc>
      </w:tr>
      <w:tr w:rsidR="006328E6" w:rsidRPr="00D3515E">
        <w:tc>
          <w:tcPr>
            <w:tcW w:w="2534" w:type="dxa"/>
            <w:vMerge/>
            <w:vAlign w:val="center"/>
          </w:tcPr>
          <w:p w:rsidR="006328E6" w:rsidRPr="00D3515E" w:rsidRDefault="006328E6">
            <w:pPr>
              <w:spacing w:line="4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146" w:type="dxa"/>
            <w:gridSpan w:val="2"/>
            <w:vAlign w:val="center"/>
          </w:tcPr>
          <w:p w:rsidR="006328E6" w:rsidRPr="00D3515E" w:rsidRDefault="006328E6">
            <w:pPr>
              <w:spacing w:line="42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商业</w:t>
            </w:r>
            <w:r>
              <w:rPr>
                <w:rFonts w:ascii="宋体" w:hAnsi="宋体" w:cs="宋体"/>
                <w:sz w:val="22"/>
              </w:rPr>
              <w:t>/</w:t>
            </w:r>
            <w:r>
              <w:rPr>
                <w:rFonts w:ascii="宋体" w:hAnsi="宋体" w:cs="宋体" w:hint="eastAsia"/>
                <w:sz w:val="22"/>
              </w:rPr>
              <w:t>居住混合用地</w:t>
            </w:r>
          </w:p>
        </w:tc>
        <w:tc>
          <w:tcPr>
            <w:tcW w:w="2842" w:type="dxa"/>
            <w:vAlign w:val="center"/>
          </w:tcPr>
          <w:p w:rsidR="006328E6" w:rsidRPr="00D3515E" w:rsidRDefault="006328E6">
            <w:pPr>
              <w:spacing w:line="42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35%-50%</w:t>
            </w:r>
          </w:p>
        </w:tc>
      </w:tr>
      <w:tr w:rsidR="006328E6" w:rsidRPr="00D3515E">
        <w:tc>
          <w:tcPr>
            <w:tcW w:w="2534" w:type="dxa"/>
            <w:vMerge w:val="restart"/>
            <w:vAlign w:val="center"/>
          </w:tcPr>
          <w:p w:rsidR="006328E6" w:rsidRPr="00D3515E" w:rsidRDefault="006328E6">
            <w:pPr>
              <w:spacing w:line="42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公共管理及公共服务</w:t>
            </w:r>
          </w:p>
          <w:p w:rsidR="006328E6" w:rsidRPr="00D3515E" w:rsidRDefault="006328E6">
            <w:pPr>
              <w:spacing w:line="42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设施用地</w:t>
            </w:r>
          </w:p>
        </w:tc>
        <w:tc>
          <w:tcPr>
            <w:tcW w:w="3146" w:type="dxa"/>
            <w:gridSpan w:val="2"/>
            <w:vAlign w:val="center"/>
          </w:tcPr>
          <w:p w:rsidR="006328E6" w:rsidRPr="00D3515E" w:rsidRDefault="006328E6">
            <w:pPr>
              <w:spacing w:line="42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行政办公、文教卫用地</w:t>
            </w:r>
          </w:p>
        </w:tc>
        <w:tc>
          <w:tcPr>
            <w:tcW w:w="2842" w:type="dxa"/>
            <w:vAlign w:val="center"/>
          </w:tcPr>
          <w:p w:rsidR="006328E6" w:rsidRPr="00D3515E" w:rsidRDefault="006328E6">
            <w:pPr>
              <w:spacing w:line="42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20%-25%</w:t>
            </w:r>
          </w:p>
        </w:tc>
      </w:tr>
      <w:tr w:rsidR="006328E6" w:rsidRPr="00D3515E">
        <w:tc>
          <w:tcPr>
            <w:tcW w:w="2534" w:type="dxa"/>
            <w:vMerge/>
            <w:vAlign w:val="center"/>
          </w:tcPr>
          <w:p w:rsidR="006328E6" w:rsidRPr="00D3515E" w:rsidRDefault="006328E6">
            <w:pPr>
              <w:spacing w:line="4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146" w:type="dxa"/>
            <w:gridSpan w:val="2"/>
            <w:vAlign w:val="center"/>
          </w:tcPr>
          <w:p w:rsidR="006328E6" w:rsidRPr="00D3515E" w:rsidRDefault="006328E6">
            <w:pPr>
              <w:spacing w:line="42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文物古迹用地</w:t>
            </w:r>
          </w:p>
        </w:tc>
        <w:tc>
          <w:tcPr>
            <w:tcW w:w="2842" w:type="dxa"/>
            <w:vAlign w:val="center"/>
          </w:tcPr>
          <w:p w:rsidR="006328E6" w:rsidRPr="00D3515E" w:rsidRDefault="006328E6">
            <w:pPr>
              <w:spacing w:line="42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50%</w:t>
            </w:r>
          </w:p>
        </w:tc>
      </w:tr>
      <w:tr w:rsidR="006328E6" w:rsidRPr="00D3515E">
        <w:tc>
          <w:tcPr>
            <w:tcW w:w="2534" w:type="dxa"/>
            <w:vMerge w:val="restart"/>
            <w:vAlign w:val="center"/>
          </w:tcPr>
          <w:p w:rsidR="006328E6" w:rsidRPr="00D3515E" w:rsidRDefault="006328E6">
            <w:pPr>
              <w:spacing w:line="42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商业服务业用地</w:t>
            </w:r>
          </w:p>
        </w:tc>
        <w:tc>
          <w:tcPr>
            <w:tcW w:w="3146" w:type="dxa"/>
            <w:gridSpan w:val="2"/>
            <w:vAlign w:val="center"/>
          </w:tcPr>
          <w:p w:rsidR="006328E6" w:rsidRPr="00D3515E" w:rsidRDefault="006328E6">
            <w:pPr>
              <w:spacing w:line="42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商业用地</w:t>
            </w:r>
          </w:p>
        </w:tc>
        <w:tc>
          <w:tcPr>
            <w:tcW w:w="2842" w:type="dxa"/>
            <w:vAlign w:val="center"/>
          </w:tcPr>
          <w:p w:rsidR="006328E6" w:rsidRPr="00D3515E" w:rsidRDefault="006328E6">
            <w:pPr>
              <w:spacing w:line="42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30%-50%</w:t>
            </w:r>
          </w:p>
        </w:tc>
      </w:tr>
      <w:tr w:rsidR="006328E6" w:rsidRPr="00D3515E">
        <w:tc>
          <w:tcPr>
            <w:tcW w:w="2534" w:type="dxa"/>
            <w:vMerge/>
            <w:vAlign w:val="center"/>
          </w:tcPr>
          <w:p w:rsidR="006328E6" w:rsidRPr="00D3515E" w:rsidRDefault="006328E6">
            <w:pPr>
              <w:spacing w:line="42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146" w:type="dxa"/>
            <w:gridSpan w:val="2"/>
            <w:vAlign w:val="center"/>
          </w:tcPr>
          <w:p w:rsidR="006328E6" w:rsidRPr="00D3515E" w:rsidRDefault="006328E6">
            <w:pPr>
              <w:spacing w:line="42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公用设施营业网点用地</w:t>
            </w:r>
          </w:p>
        </w:tc>
        <w:tc>
          <w:tcPr>
            <w:tcW w:w="2842" w:type="dxa"/>
            <w:vAlign w:val="center"/>
          </w:tcPr>
          <w:p w:rsidR="006328E6" w:rsidRPr="00D3515E" w:rsidRDefault="006328E6">
            <w:pPr>
              <w:spacing w:line="42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20%-35%</w:t>
            </w:r>
          </w:p>
        </w:tc>
      </w:tr>
      <w:tr w:rsidR="006328E6" w:rsidRPr="00D3515E">
        <w:tc>
          <w:tcPr>
            <w:tcW w:w="2534" w:type="dxa"/>
            <w:vAlign w:val="center"/>
          </w:tcPr>
          <w:p w:rsidR="006328E6" w:rsidRPr="00D3515E" w:rsidRDefault="006328E6">
            <w:pPr>
              <w:spacing w:line="42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公用设施用地</w:t>
            </w:r>
          </w:p>
        </w:tc>
        <w:tc>
          <w:tcPr>
            <w:tcW w:w="3146" w:type="dxa"/>
            <w:gridSpan w:val="2"/>
            <w:vAlign w:val="center"/>
          </w:tcPr>
          <w:p w:rsidR="006328E6" w:rsidRPr="00D3515E" w:rsidRDefault="006328E6">
            <w:pPr>
              <w:spacing w:line="42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——</w:t>
            </w:r>
          </w:p>
        </w:tc>
        <w:tc>
          <w:tcPr>
            <w:tcW w:w="2842" w:type="dxa"/>
            <w:vAlign w:val="center"/>
          </w:tcPr>
          <w:p w:rsidR="006328E6" w:rsidRPr="00D3515E" w:rsidRDefault="006328E6">
            <w:pPr>
              <w:spacing w:line="42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30%</w:t>
            </w:r>
          </w:p>
        </w:tc>
      </w:tr>
    </w:tbl>
    <w:p w:rsidR="006328E6" w:rsidRDefault="006328E6" w:rsidP="0026367B">
      <w:pPr>
        <w:adjustRightInd w:val="0"/>
        <w:snapToGrid w:val="0"/>
        <w:spacing w:line="300" w:lineRule="auto"/>
        <w:jc w:val="left"/>
        <w:rPr>
          <w:rFonts w:ascii="宋体" w:cs="宋体"/>
          <w:sz w:val="24"/>
        </w:rPr>
      </w:pPr>
    </w:p>
    <w:sectPr w:rsidR="006328E6" w:rsidSect="00C805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8E6" w:rsidRDefault="006328E6">
      <w:r>
        <w:separator/>
      </w:r>
    </w:p>
  </w:endnote>
  <w:endnote w:type="continuationSeparator" w:id="0">
    <w:p w:rsidR="006328E6" w:rsidRDefault="00632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8E6" w:rsidRDefault="006328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8E6" w:rsidRDefault="006328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8E6" w:rsidRDefault="006328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8E6" w:rsidRDefault="006328E6">
      <w:r>
        <w:separator/>
      </w:r>
    </w:p>
  </w:footnote>
  <w:footnote w:type="continuationSeparator" w:id="0">
    <w:p w:rsidR="006328E6" w:rsidRDefault="00632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8E6" w:rsidRDefault="006328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8E6" w:rsidRDefault="006328E6" w:rsidP="0026367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8E6" w:rsidRDefault="006328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50F58A"/>
    <w:multiLevelType w:val="singleLevel"/>
    <w:tmpl w:val="9C50F58A"/>
    <w:lvl w:ilvl="0">
      <w:start w:val="1"/>
      <w:numFmt w:val="decimalEnclosedCircleChinese"/>
      <w:suff w:val="nothing"/>
      <w:lvlText w:val="%1　"/>
      <w:lvlJc w:val="left"/>
      <w:pPr>
        <w:ind w:firstLine="400"/>
      </w:pPr>
      <w:rPr>
        <w:rFonts w:cs="Times New Roman" w:hint="eastAsia"/>
      </w:rPr>
    </w:lvl>
  </w:abstractNum>
  <w:abstractNum w:abstractNumId="1">
    <w:nsid w:val="10F1BBB4"/>
    <w:multiLevelType w:val="singleLevel"/>
    <w:tmpl w:val="10F1BBB4"/>
    <w:lvl w:ilvl="0">
      <w:start w:val="1"/>
      <w:numFmt w:val="decimalEnclosedCircleChinese"/>
      <w:suff w:val="nothing"/>
      <w:lvlText w:val="%1　"/>
      <w:lvlJc w:val="left"/>
      <w:pPr>
        <w:ind w:firstLine="400"/>
      </w:pPr>
      <w:rPr>
        <w:rFonts w:cs="Times New Roman" w:hint="eastAsia"/>
      </w:rPr>
    </w:lvl>
  </w:abstractNum>
  <w:abstractNum w:abstractNumId="2">
    <w:nsid w:val="5604AE07"/>
    <w:multiLevelType w:val="multilevel"/>
    <w:tmpl w:val="5604AE07"/>
    <w:lvl w:ilvl="0">
      <w:start w:val="1"/>
      <w:numFmt w:val="chineseCounting"/>
      <w:suff w:val="nothing"/>
      <w:lvlText w:val="第%1章 "/>
      <w:lvlJc w:val="left"/>
      <w:pPr>
        <w:ind w:left="432" w:hanging="432"/>
      </w:pPr>
      <w:rPr>
        <w:rFonts w:cs="Times New Roman" w:hint="eastAsia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left" w:pos="425"/>
        </w:tabs>
        <w:ind w:left="680" w:hanging="680"/>
      </w:pPr>
      <w:rPr>
        <w:rFonts w:ascii="宋体" w:eastAsia="宋体" w:hAnsi="宋体" w:cs="宋体"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宋体" w:eastAsia="宋体" w:hAnsi="宋体" w:cs="宋体" w:hint="eastAsia"/>
      </w:rPr>
    </w:lvl>
    <w:lvl w:ilvl="3">
      <w:start w:val="1"/>
      <w:numFmt w:val="decimal"/>
      <w:isLgl/>
      <w:lvlText w:val="%1.%2.%3.%4."/>
      <w:lvlJc w:val="left"/>
      <w:pPr>
        <w:ind w:left="864" w:hanging="864"/>
      </w:pPr>
      <w:rPr>
        <w:rFonts w:cs="Times New Roman" w:hint="eastAsia"/>
      </w:rPr>
    </w:lvl>
    <w:lvl w:ilvl="4">
      <w:start w:val="1"/>
      <w:numFmt w:val="decimal"/>
      <w:isLgl/>
      <w:lvlText w:val="%1.%2.%3.%4.%5."/>
      <w:lvlJc w:val="left"/>
      <w:pPr>
        <w:ind w:left="1008" w:hanging="1008"/>
      </w:pPr>
      <w:rPr>
        <w:rFonts w:cs="Times New Roman" w:hint="eastAsia"/>
      </w:rPr>
    </w:lvl>
    <w:lvl w:ilvl="5">
      <w:start w:val="1"/>
      <w:numFmt w:val="decimal"/>
      <w:isLgl/>
      <w:lvlText w:val="%1.%2.%3.%4.%5.%6."/>
      <w:lvlJc w:val="left"/>
      <w:pPr>
        <w:ind w:left="1151" w:hanging="1151"/>
      </w:pPr>
      <w:rPr>
        <w:rFonts w:cs="Times New Roman" w:hint="eastAsia"/>
      </w:rPr>
    </w:lvl>
    <w:lvl w:ilvl="6">
      <w:start w:val="1"/>
      <w:numFmt w:val="decimal"/>
      <w:isLgl/>
      <w:lvlText w:val="%1.%2.%3.%4.%5.%6.%7."/>
      <w:lvlJc w:val="left"/>
      <w:pPr>
        <w:ind w:left="1296" w:hanging="1296"/>
      </w:pPr>
      <w:rPr>
        <w:rFonts w:cs="Times New Roman" w:hint="eastAsi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eastAsia"/>
      </w:rPr>
    </w:lvl>
    <w:lvl w:ilvl="8">
      <w:start w:val="1"/>
      <w:numFmt w:val="decimal"/>
      <w:isLgl/>
      <w:lvlText w:val="%1.%2.%3.%4.%5.%6.%7.%8.%9."/>
      <w:lvlJc w:val="left"/>
      <w:pPr>
        <w:ind w:left="1583" w:hanging="1583"/>
      </w:pPr>
      <w:rPr>
        <w:rFonts w:cs="Times New Roman" w:hint="eastAsia"/>
      </w:rPr>
    </w:lvl>
  </w:abstractNum>
  <w:abstractNum w:abstractNumId="3">
    <w:nsid w:val="70A7DC6E"/>
    <w:multiLevelType w:val="singleLevel"/>
    <w:tmpl w:val="70A7DC6E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E9A"/>
    <w:rsid w:val="001A6179"/>
    <w:rsid w:val="0026367B"/>
    <w:rsid w:val="0042646B"/>
    <w:rsid w:val="00435459"/>
    <w:rsid w:val="00442927"/>
    <w:rsid w:val="004921D2"/>
    <w:rsid w:val="004A0F22"/>
    <w:rsid w:val="005813CF"/>
    <w:rsid w:val="005D4C3B"/>
    <w:rsid w:val="006328E6"/>
    <w:rsid w:val="00754039"/>
    <w:rsid w:val="00776A88"/>
    <w:rsid w:val="00896A85"/>
    <w:rsid w:val="00B65E9A"/>
    <w:rsid w:val="00C261C0"/>
    <w:rsid w:val="00C80533"/>
    <w:rsid w:val="00D3515E"/>
    <w:rsid w:val="00EA78F0"/>
    <w:rsid w:val="06B46024"/>
    <w:rsid w:val="0A193E89"/>
    <w:rsid w:val="0B4052A8"/>
    <w:rsid w:val="0D3A495D"/>
    <w:rsid w:val="0D641434"/>
    <w:rsid w:val="0FD60CDC"/>
    <w:rsid w:val="10EF6FA2"/>
    <w:rsid w:val="16B76F1B"/>
    <w:rsid w:val="16CC1141"/>
    <w:rsid w:val="179A755B"/>
    <w:rsid w:val="193E7575"/>
    <w:rsid w:val="196E7658"/>
    <w:rsid w:val="1D686190"/>
    <w:rsid w:val="1E2E7358"/>
    <w:rsid w:val="1EA15DCA"/>
    <w:rsid w:val="283B7E55"/>
    <w:rsid w:val="2BA44033"/>
    <w:rsid w:val="35C46815"/>
    <w:rsid w:val="35D04D74"/>
    <w:rsid w:val="35F02B56"/>
    <w:rsid w:val="411B1578"/>
    <w:rsid w:val="43163844"/>
    <w:rsid w:val="431A552E"/>
    <w:rsid w:val="491256B1"/>
    <w:rsid w:val="4B616AEB"/>
    <w:rsid w:val="4BEA31F5"/>
    <w:rsid w:val="4F653559"/>
    <w:rsid w:val="4FCD5730"/>
    <w:rsid w:val="57BE27EB"/>
    <w:rsid w:val="5A9A0703"/>
    <w:rsid w:val="5DF241D5"/>
    <w:rsid w:val="636647B5"/>
    <w:rsid w:val="64A463CE"/>
    <w:rsid w:val="6D3E2359"/>
    <w:rsid w:val="6F455A8B"/>
    <w:rsid w:val="6FE73FE1"/>
    <w:rsid w:val="71196C5B"/>
    <w:rsid w:val="76B656B1"/>
    <w:rsid w:val="781F463E"/>
    <w:rsid w:val="78B51EC0"/>
    <w:rsid w:val="7ACE52FE"/>
    <w:rsid w:val="7DEC3BF7"/>
    <w:rsid w:val="7E39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2"/>
    <w:qFormat/>
    <w:rsid w:val="00C80533"/>
    <w:pPr>
      <w:widowControl w:val="0"/>
      <w:jc w:val="both"/>
    </w:pPr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0533"/>
    <w:pPr>
      <w:keepNext/>
      <w:keepLines/>
      <w:numPr>
        <w:ilvl w:val="1"/>
        <w:numId w:val="1"/>
      </w:numPr>
      <w:tabs>
        <w:tab w:val="clear" w:pos="425"/>
        <w:tab w:val="left" w:pos="420"/>
        <w:tab w:val="left" w:pos="481"/>
      </w:tabs>
      <w:spacing w:line="360" w:lineRule="auto"/>
      <w:ind w:left="0" w:firstLine="0"/>
      <w:jc w:val="left"/>
      <w:outlineLvl w:val="1"/>
    </w:pPr>
    <w:rPr>
      <w:rFonts w:ascii="Arial" w:hAnsi="Arial"/>
      <w:b/>
      <w:bCs/>
      <w:sz w:val="28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A18D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C80533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18D7"/>
    <w:rPr>
      <w:rFonts w:ascii="宋体" w:hAnsi="Courier New" w:cs="Courier New"/>
      <w:szCs w:val="21"/>
    </w:rPr>
  </w:style>
  <w:style w:type="paragraph" w:styleId="Footer">
    <w:name w:val="footer"/>
    <w:basedOn w:val="Normal"/>
    <w:link w:val="FooterChar"/>
    <w:uiPriority w:val="99"/>
    <w:rsid w:val="00C80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053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80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0533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C80533"/>
    <w:pPr>
      <w:ind w:firstLineChars="200" w:firstLine="420"/>
    </w:pPr>
  </w:style>
  <w:style w:type="paragraph" w:customStyle="1" w:styleId="Default">
    <w:name w:val="Default"/>
    <w:uiPriority w:val="99"/>
    <w:rsid w:val="00C80533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450</Words>
  <Characters>2567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微软用户</cp:lastModifiedBy>
  <cp:revision>7</cp:revision>
  <dcterms:created xsi:type="dcterms:W3CDTF">2018-09-11T15:39:00Z</dcterms:created>
  <dcterms:modified xsi:type="dcterms:W3CDTF">2019-11-18T08:08:00Z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2052-11.1.0.9175</vt:lpwstr>
  </property>
</Properties>
</file>