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64" w:rsidRDefault="00E76764" w:rsidP="002F574A">
      <w:pPr>
        <w:spacing w:beforeLines="150" w:line="360" w:lineRule="auto"/>
        <w:jc w:val="center"/>
        <w:rPr>
          <w:rFonts w:ascii="宋体"/>
          <w:b/>
          <w:sz w:val="36"/>
          <w:szCs w:val="36"/>
        </w:rPr>
      </w:pPr>
      <w:r w:rsidRPr="004921D2">
        <w:rPr>
          <w:rFonts w:ascii="宋体" w:hAnsi="宋体" w:hint="eastAsia"/>
          <w:b/>
          <w:sz w:val="36"/>
          <w:szCs w:val="36"/>
        </w:rPr>
        <w:t>琼海</w:t>
      </w:r>
      <w:r>
        <w:rPr>
          <w:rFonts w:ascii="宋体" w:hAnsi="宋体" w:hint="eastAsia"/>
          <w:b/>
          <w:sz w:val="36"/>
          <w:szCs w:val="36"/>
        </w:rPr>
        <w:t>市嘉积城区城北片区</w:t>
      </w:r>
      <w:r w:rsidRPr="004921D2">
        <w:rPr>
          <w:rFonts w:ascii="宋体" w:hAnsi="宋体" w:hint="eastAsia"/>
          <w:b/>
          <w:sz w:val="36"/>
          <w:szCs w:val="36"/>
        </w:rPr>
        <w:t>控制性详细规划</w:t>
      </w:r>
      <w:r>
        <w:rPr>
          <w:rFonts w:ascii="宋体" w:hAnsi="宋体" w:hint="eastAsia"/>
          <w:b/>
          <w:sz w:val="36"/>
          <w:szCs w:val="36"/>
        </w:rPr>
        <w:t>（修编）</w:t>
      </w:r>
    </w:p>
    <w:p w:rsidR="00E76764" w:rsidRPr="00F721F9" w:rsidRDefault="00E76764" w:rsidP="00F721F9">
      <w:pPr>
        <w:spacing w:line="360" w:lineRule="auto"/>
        <w:jc w:val="center"/>
        <w:rPr>
          <w:rFonts w:ascii="宋体"/>
          <w:b/>
          <w:sz w:val="36"/>
          <w:szCs w:val="36"/>
        </w:rPr>
      </w:pPr>
      <w:r w:rsidRPr="004921D2">
        <w:rPr>
          <w:rFonts w:ascii="宋体" w:hAnsi="宋体" w:hint="eastAsia"/>
          <w:b/>
          <w:sz w:val="36"/>
          <w:szCs w:val="36"/>
        </w:rPr>
        <w:t>简介</w:t>
      </w:r>
    </w:p>
    <w:p w:rsidR="00E76764" w:rsidRPr="00754039" w:rsidRDefault="00E76764" w:rsidP="002F574A">
      <w:pPr>
        <w:adjustRightInd w:val="0"/>
        <w:snapToGrid w:val="0"/>
        <w:spacing w:beforeLines="50" w:line="300" w:lineRule="auto"/>
        <w:ind w:firstLineChars="200" w:firstLine="482"/>
        <w:jc w:val="left"/>
        <w:rPr>
          <w:b/>
          <w:sz w:val="24"/>
        </w:rPr>
      </w:pPr>
      <w:r w:rsidRPr="00754039">
        <w:rPr>
          <w:rFonts w:hint="eastAsia"/>
          <w:b/>
          <w:sz w:val="24"/>
        </w:rPr>
        <w:t>一、规划概况</w:t>
      </w:r>
    </w:p>
    <w:p w:rsidR="00E76764" w:rsidRDefault="00E76764" w:rsidP="004921D2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 w:rsidRPr="00435459">
        <w:rPr>
          <w:rFonts w:hint="eastAsia"/>
          <w:sz w:val="24"/>
        </w:rPr>
        <w:t>（</w:t>
      </w:r>
      <w:r w:rsidRPr="00435459">
        <w:rPr>
          <w:sz w:val="24"/>
        </w:rPr>
        <w:t>1</w:t>
      </w:r>
      <w:r w:rsidRPr="00435459">
        <w:rPr>
          <w:rFonts w:hint="eastAsia"/>
          <w:sz w:val="24"/>
        </w:rPr>
        <w:t>）地理区位</w:t>
      </w:r>
    </w:p>
    <w:p w:rsidR="00E76764" w:rsidRPr="00AD54F1" w:rsidRDefault="00E76764" w:rsidP="00BD2A49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 w:rsidRPr="00AD54F1">
        <w:rPr>
          <w:rFonts w:hint="eastAsia"/>
          <w:sz w:val="24"/>
        </w:rPr>
        <w:t>位于</w:t>
      </w:r>
      <w:r>
        <w:rPr>
          <w:rFonts w:hint="eastAsia"/>
          <w:sz w:val="24"/>
        </w:rPr>
        <w:t>海南省</w:t>
      </w:r>
      <w:r w:rsidRPr="00AD54F1">
        <w:rPr>
          <w:rFonts w:hint="eastAsia"/>
          <w:sz w:val="24"/>
        </w:rPr>
        <w:t>琼海市嘉积城区西北部，东邻富海片区，南与滨河、老城、城南片区接壤。交通区位便捷，可通过银海路与东线高速公路及海榆东线相衔接，构建与省内主要交通枢纽之间便捷联系。</w:t>
      </w:r>
    </w:p>
    <w:p w:rsidR="00E76764" w:rsidRDefault="00E76764" w:rsidP="002F574A">
      <w:pPr>
        <w:adjustRightInd w:val="0"/>
        <w:snapToGrid w:val="0"/>
        <w:spacing w:beforeLines="50" w:line="30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）规划范围</w:t>
      </w:r>
    </w:p>
    <w:p w:rsidR="00E76764" w:rsidRPr="00215598" w:rsidRDefault="00E76764" w:rsidP="004921D2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 w:rsidRPr="00215598">
        <w:rPr>
          <w:rFonts w:hint="eastAsia"/>
          <w:sz w:val="24"/>
        </w:rPr>
        <w:t>规划区北至富海片区，东至海榆东线，南至银海路，西至新海路</w:t>
      </w:r>
      <w:r>
        <w:rPr>
          <w:rFonts w:hint="eastAsia"/>
          <w:sz w:val="24"/>
        </w:rPr>
        <w:t>，</w:t>
      </w:r>
      <w:r w:rsidRPr="00215598">
        <w:rPr>
          <w:rFonts w:hint="eastAsia"/>
          <w:sz w:val="24"/>
        </w:rPr>
        <w:t>总规划用地面积约为</w:t>
      </w:r>
      <w:r w:rsidRPr="00215598">
        <w:rPr>
          <w:sz w:val="24"/>
        </w:rPr>
        <w:t>728.75</w:t>
      </w:r>
      <w:r w:rsidRPr="00215598">
        <w:rPr>
          <w:rFonts w:hint="eastAsia"/>
          <w:sz w:val="24"/>
        </w:rPr>
        <w:t>公顷。</w:t>
      </w:r>
    </w:p>
    <w:p w:rsidR="00E76764" w:rsidRPr="00435459" w:rsidRDefault="00E76764" w:rsidP="004921D2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</w:p>
    <w:p w:rsidR="00E76764" w:rsidRPr="00754039" w:rsidRDefault="00E76764" w:rsidP="004921D2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  <w:r w:rsidRPr="00754039">
        <w:rPr>
          <w:rFonts w:hint="eastAsia"/>
          <w:b/>
          <w:sz w:val="24"/>
        </w:rPr>
        <w:t>二、规划定位</w:t>
      </w:r>
      <w:r>
        <w:rPr>
          <w:rFonts w:hint="eastAsia"/>
          <w:b/>
          <w:sz w:val="24"/>
        </w:rPr>
        <w:t>与功能</w:t>
      </w:r>
    </w:p>
    <w:p w:rsidR="00E76764" w:rsidRDefault="00E76764" w:rsidP="004921D2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、发展定位</w:t>
      </w:r>
    </w:p>
    <w:p w:rsidR="00E76764" w:rsidRDefault="00E76764" w:rsidP="000570B6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 w:rsidRPr="000570B6">
        <w:rPr>
          <w:rFonts w:hint="eastAsia"/>
          <w:sz w:val="24"/>
        </w:rPr>
        <w:t>以生活居住、商贸办公、教育服务为主兼具行政、文化等功能为一体的现代综合型城市新区。</w:t>
      </w:r>
    </w:p>
    <w:p w:rsidR="00E76764" w:rsidRPr="00F240D6" w:rsidRDefault="00E76764" w:rsidP="002F574A">
      <w:pPr>
        <w:adjustRightInd w:val="0"/>
        <w:snapToGrid w:val="0"/>
        <w:spacing w:beforeLines="100" w:line="360" w:lineRule="auto"/>
        <w:ind w:firstLineChars="200" w:firstLine="480"/>
        <w:jc w:val="left"/>
        <w:rPr>
          <w:sz w:val="24"/>
        </w:rPr>
      </w:pPr>
      <w:r w:rsidRPr="00F240D6">
        <w:rPr>
          <w:sz w:val="24"/>
        </w:rPr>
        <w:t>2</w:t>
      </w:r>
      <w:r w:rsidRPr="00F240D6">
        <w:rPr>
          <w:rFonts w:hint="eastAsia"/>
          <w:sz w:val="24"/>
        </w:rPr>
        <w:t>、主要功能</w:t>
      </w:r>
    </w:p>
    <w:p w:rsidR="00E76764" w:rsidRPr="006067EF" w:rsidRDefault="00E76764" w:rsidP="006067EF">
      <w:pPr>
        <w:pStyle w:val="ListParagraph"/>
        <w:spacing w:line="360" w:lineRule="auto"/>
        <w:ind w:firstLine="480"/>
        <w:rPr>
          <w:sz w:val="24"/>
        </w:rPr>
      </w:pPr>
      <w:r w:rsidRPr="00F240D6"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）生活居住</w:t>
      </w:r>
      <w:r w:rsidRPr="00F240D6">
        <w:rPr>
          <w:rFonts w:hint="eastAsia"/>
          <w:sz w:val="24"/>
        </w:rPr>
        <w:t>：</w:t>
      </w:r>
      <w:r>
        <w:rPr>
          <w:rFonts w:hint="eastAsia"/>
          <w:sz w:val="24"/>
        </w:rPr>
        <w:t>将片区建成环境优美、功能布局合理、设施配套完善的生活居住</w:t>
      </w:r>
      <w:r w:rsidRPr="006067EF">
        <w:rPr>
          <w:rFonts w:hint="eastAsia"/>
          <w:sz w:val="24"/>
        </w:rPr>
        <w:t>功能区。</w:t>
      </w:r>
    </w:p>
    <w:p w:rsidR="00E76764" w:rsidRPr="00F240D6" w:rsidRDefault="00E76764" w:rsidP="00D50DA4">
      <w:pPr>
        <w:pStyle w:val="ListParagraph"/>
        <w:spacing w:line="360" w:lineRule="auto"/>
        <w:ind w:firstLine="480"/>
        <w:rPr>
          <w:sz w:val="24"/>
        </w:rPr>
      </w:pPr>
      <w:r w:rsidRPr="00F240D6">
        <w:rPr>
          <w:rFonts w:hint="eastAsia"/>
          <w:sz w:val="24"/>
        </w:rPr>
        <w:t>（</w:t>
      </w:r>
      <w:r>
        <w:rPr>
          <w:sz w:val="24"/>
        </w:rPr>
        <w:t>2</w:t>
      </w:r>
      <w:r w:rsidRPr="00F240D6">
        <w:rPr>
          <w:rFonts w:hint="eastAsia"/>
          <w:sz w:val="24"/>
        </w:rPr>
        <w:t>）商业商务：</w:t>
      </w:r>
      <w:r w:rsidRPr="00D50DA4">
        <w:rPr>
          <w:rFonts w:hint="eastAsia"/>
          <w:sz w:val="24"/>
        </w:rPr>
        <w:t>引入孵化机构、产业公共平台、甲级写字楼等，为城北片区注入新活力，提升内生动力，同时完善片区</w:t>
      </w:r>
      <w:r>
        <w:rPr>
          <w:rFonts w:hint="eastAsia"/>
          <w:sz w:val="24"/>
        </w:rPr>
        <w:t>城市</w:t>
      </w:r>
      <w:r w:rsidRPr="00D50DA4">
        <w:rPr>
          <w:rFonts w:hint="eastAsia"/>
          <w:sz w:val="24"/>
        </w:rPr>
        <w:t>功能配套，形成商业商贸中心。</w:t>
      </w:r>
    </w:p>
    <w:p w:rsidR="00E76764" w:rsidRPr="00F240D6" w:rsidRDefault="00E76764" w:rsidP="00F25A24">
      <w:pPr>
        <w:pStyle w:val="ListParagraph"/>
        <w:spacing w:line="360" w:lineRule="auto"/>
        <w:ind w:firstLine="480"/>
        <w:rPr>
          <w:sz w:val="24"/>
        </w:rPr>
      </w:pPr>
      <w:r w:rsidRPr="00F240D6">
        <w:rPr>
          <w:rFonts w:hint="eastAsia"/>
          <w:sz w:val="24"/>
        </w:rPr>
        <w:t>（</w:t>
      </w:r>
      <w:r>
        <w:rPr>
          <w:sz w:val="24"/>
        </w:rPr>
        <w:t>3</w:t>
      </w:r>
      <w:r w:rsidRPr="00F240D6">
        <w:rPr>
          <w:rFonts w:hint="eastAsia"/>
          <w:sz w:val="24"/>
        </w:rPr>
        <w:t>）</w:t>
      </w:r>
      <w:r>
        <w:rPr>
          <w:rFonts w:hint="eastAsia"/>
          <w:sz w:val="24"/>
        </w:rPr>
        <w:t>教育服务</w:t>
      </w:r>
      <w:r w:rsidRPr="00F240D6">
        <w:rPr>
          <w:rFonts w:hint="eastAsia"/>
          <w:sz w:val="24"/>
        </w:rPr>
        <w:t>：</w:t>
      </w:r>
      <w:r w:rsidRPr="00BF6F26">
        <w:rPr>
          <w:rFonts w:hint="eastAsia"/>
          <w:sz w:val="24"/>
        </w:rPr>
        <w:t>结合海桂中学</w:t>
      </w:r>
      <w:r>
        <w:rPr>
          <w:rFonts w:hint="eastAsia"/>
          <w:sz w:val="24"/>
        </w:rPr>
        <w:t>、职业中等专业学校、</w:t>
      </w:r>
      <w:r w:rsidRPr="00BF6F26">
        <w:rPr>
          <w:rFonts w:hint="eastAsia"/>
          <w:sz w:val="24"/>
        </w:rPr>
        <w:t>建设小学及幼儿园，形成教育中心，构建片区从幼儿园到小学、中学教育一体化的教育设施。</w:t>
      </w:r>
    </w:p>
    <w:p w:rsidR="00E76764" w:rsidRPr="000C3E26" w:rsidRDefault="00E76764" w:rsidP="000C3E26">
      <w:pPr>
        <w:pStyle w:val="ListParagraph"/>
        <w:spacing w:line="360" w:lineRule="auto"/>
        <w:ind w:firstLine="480"/>
        <w:rPr>
          <w:sz w:val="24"/>
        </w:rPr>
      </w:pPr>
      <w:r w:rsidRPr="00F240D6">
        <w:rPr>
          <w:rFonts w:hint="eastAsia"/>
          <w:sz w:val="24"/>
        </w:rPr>
        <w:t>（</w:t>
      </w:r>
      <w:r>
        <w:rPr>
          <w:sz w:val="24"/>
        </w:rPr>
        <w:t>4</w:t>
      </w:r>
      <w:r w:rsidRPr="00F240D6">
        <w:rPr>
          <w:rFonts w:hint="eastAsia"/>
          <w:sz w:val="24"/>
        </w:rPr>
        <w:t>）</w:t>
      </w:r>
      <w:r>
        <w:rPr>
          <w:rFonts w:hint="eastAsia"/>
          <w:sz w:val="24"/>
        </w:rPr>
        <w:t>行政文化</w:t>
      </w:r>
      <w:r w:rsidRPr="00F240D6">
        <w:rPr>
          <w:rFonts w:hint="eastAsia"/>
          <w:sz w:val="24"/>
        </w:rPr>
        <w:t>：结合</w:t>
      </w:r>
      <w:r>
        <w:rPr>
          <w:rFonts w:hint="eastAsia"/>
          <w:sz w:val="24"/>
        </w:rPr>
        <w:t>市政府</w:t>
      </w:r>
      <w:r w:rsidRPr="00F240D6">
        <w:rPr>
          <w:rFonts w:hint="eastAsia"/>
          <w:sz w:val="24"/>
        </w:rPr>
        <w:t>、</w:t>
      </w:r>
      <w:r>
        <w:rPr>
          <w:rFonts w:hint="eastAsia"/>
          <w:sz w:val="24"/>
        </w:rPr>
        <w:t>药监局、质监局等</w:t>
      </w:r>
      <w:r w:rsidRPr="00F240D6">
        <w:rPr>
          <w:rFonts w:hint="eastAsia"/>
          <w:sz w:val="24"/>
        </w:rPr>
        <w:t>，打造嘉积城区</w:t>
      </w:r>
      <w:r w:rsidRPr="00AF7636">
        <w:rPr>
          <w:rFonts w:hint="eastAsia"/>
          <w:sz w:val="24"/>
        </w:rPr>
        <w:t>行政办公中心</w:t>
      </w:r>
      <w:r w:rsidRPr="00F240D6">
        <w:rPr>
          <w:rFonts w:hint="eastAsia"/>
          <w:sz w:val="24"/>
        </w:rPr>
        <w:t>。</w:t>
      </w:r>
    </w:p>
    <w:p w:rsidR="00E76764" w:rsidRPr="003D2193" w:rsidRDefault="00E76764" w:rsidP="000C3E26">
      <w:pPr>
        <w:adjustRightInd w:val="0"/>
        <w:snapToGrid w:val="0"/>
        <w:spacing w:line="300" w:lineRule="auto"/>
        <w:jc w:val="left"/>
        <w:rPr>
          <w:sz w:val="24"/>
        </w:rPr>
      </w:pPr>
    </w:p>
    <w:p w:rsidR="00E76764" w:rsidRPr="00754039" w:rsidRDefault="00E76764" w:rsidP="004921D2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  <w:r w:rsidRPr="00754039">
        <w:rPr>
          <w:rFonts w:hint="eastAsia"/>
          <w:b/>
          <w:sz w:val="24"/>
        </w:rPr>
        <w:t>三、规划结构</w:t>
      </w:r>
    </w:p>
    <w:p w:rsidR="00E76764" w:rsidRDefault="00E76764" w:rsidP="004921D2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 w:rsidRPr="001808AA">
        <w:rPr>
          <w:rFonts w:hint="eastAsia"/>
          <w:sz w:val="24"/>
        </w:rPr>
        <w:t>“一带、三轴、三区、五心”。</w:t>
      </w:r>
    </w:p>
    <w:p w:rsidR="00E76764" w:rsidRPr="004A0F22" w:rsidRDefault="00E76764" w:rsidP="004921D2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 w:rsidRPr="001808AA">
        <w:rPr>
          <w:rFonts w:hint="eastAsia"/>
          <w:sz w:val="24"/>
        </w:rPr>
        <w:t>“一带”</w:t>
      </w:r>
      <w:r>
        <w:rPr>
          <w:sz w:val="24"/>
        </w:rPr>
        <w:t>——</w:t>
      </w:r>
      <w:r w:rsidRPr="00593564">
        <w:rPr>
          <w:rFonts w:hint="eastAsia"/>
          <w:sz w:val="24"/>
        </w:rPr>
        <w:t>由加浪河本体、两侧城市建设及生态自然景观构成，衔接滨河片区</w:t>
      </w:r>
      <w:r>
        <w:rPr>
          <w:rFonts w:hint="eastAsia"/>
          <w:sz w:val="24"/>
        </w:rPr>
        <w:t>段滨水景观</w:t>
      </w:r>
      <w:r w:rsidRPr="00593564">
        <w:rPr>
          <w:rFonts w:hint="eastAsia"/>
          <w:sz w:val="24"/>
        </w:rPr>
        <w:t>，共同构成集公共功能与生态保障功能为一体的生态滨河景观带。</w:t>
      </w:r>
    </w:p>
    <w:p w:rsidR="00E76764" w:rsidRPr="00AF7636" w:rsidRDefault="00E76764" w:rsidP="00637504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 w:rsidRPr="00593564">
        <w:rPr>
          <w:rFonts w:ascii="宋体" w:hint="eastAsia"/>
          <w:sz w:val="24"/>
        </w:rPr>
        <w:t>“</w:t>
      </w:r>
      <w:r>
        <w:rPr>
          <w:rFonts w:ascii="宋体" w:hAnsi="宋体" w:hint="eastAsia"/>
          <w:sz w:val="24"/>
        </w:rPr>
        <w:t>三</w:t>
      </w:r>
      <w:r w:rsidRPr="00593564">
        <w:rPr>
          <w:rFonts w:ascii="宋体" w:hAnsi="宋体" w:hint="eastAsia"/>
          <w:sz w:val="24"/>
        </w:rPr>
        <w:t>轴</w:t>
      </w:r>
      <w:r w:rsidRPr="00593564">
        <w:rPr>
          <w:rFonts w:ascii="宋体" w:hint="eastAsia"/>
          <w:sz w:val="24"/>
        </w:rPr>
        <w:t>”</w:t>
      </w:r>
      <w:r>
        <w:rPr>
          <w:sz w:val="24"/>
        </w:rPr>
        <w:t>——</w:t>
      </w:r>
      <w:r>
        <w:rPr>
          <w:rFonts w:hint="eastAsia"/>
          <w:sz w:val="24"/>
        </w:rPr>
        <w:t>指一条</w:t>
      </w:r>
      <w:r w:rsidRPr="002F665E">
        <w:rPr>
          <w:rFonts w:hint="eastAsia"/>
          <w:sz w:val="24"/>
        </w:rPr>
        <w:t>沿金海北路向北延伸形成的纵向城市发展主轴</w:t>
      </w:r>
      <w:r>
        <w:rPr>
          <w:rFonts w:hint="eastAsia"/>
          <w:sz w:val="24"/>
        </w:rPr>
        <w:t>，以及两条</w:t>
      </w:r>
      <w:r w:rsidRPr="002F665E">
        <w:rPr>
          <w:rFonts w:hint="eastAsia"/>
          <w:sz w:val="24"/>
        </w:rPr>
        <w:t>由银海路、新海路构成的自西向东联系周边片区的横向城市发展次轴。</w:t>
      </w:r>
    </w:p>
    <w:p w:rsidR="00E76764" w:rsidRDefault="00E76764" w:rsidP="009A6B32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 w:rsidRPr="009A6B32">
        <w:rPr>
          <w:rFonts w:ascii="宋体" w:hint="eastAsia"/>
          <w:sz w:val="24"/>
        </w:rPr>
        <w:t>“</w:t>
      </w:r>
      <w:r w:rsidRPr="009A6B32">
        <w:rPr>
          <w:rFonts w:ascii="宋体" w:hAnsi="宋体" w:hint="eastAsia"/>
          <w:sz w:val="24"/>
        </w:rPr>
        <w:t>三区</w:t>
      </w:r>
      <w:r w:rsidRPr="009A6B32">
        <w:rPr>
          <w:rFonts w:ascii="宋体" w:hint="eastAsia"/>
          <w:sz w:val="24"/>
        </w:rPr>
        <w:t>”</w:t>
      </w:r>
      <w:r>
        <w:rPr>
          <w:sz w:val="24"/>
        </w:rPr>
        <w:t>——</w:t>
      </w:r>
      <w:r w:rsidRPr="004A0F22">
        <w:rPr>
          <w:rFonts w:hint="eastAsia"/>
          <w:sz w:val="24"/>
        </w:rPr>
        <w:t>分别指</w:t>
      </w:r>
      <w:r w:rsidRPr="009A6B32">
        <w:rPr>
          <w:rFonts w:hint="eastAsia"/>
          <w:sz w:val="24"/>
        </w:rPr>
        <w:t>北部商住综合服务区</w:t>
      </w:r>
      <w:r>
        <w:rPr>
          <w:rFonts w:hint="eastAsia"/>
          <w:sz w:val="24"/>
        </w:rPr>
        <w:t>、</w:t>
      </w:r>
      <w:r w:rsidRPr="009A6B32">
        <w:rPr>
          <w:rFonts w:hint="eastAsia"/>
          <w:sz w:val="24"/>
        </w:rPr>
        <w:t>中部商贸教育中心区</w:t>
      </w:r>
      <w:r>
        <w:rPr>
          <w:rFonts w:hint="eastAsia"/>
          <w:sz w:val="24"/>
        </w:rPr>
        <w:t>、</w:t>
      </w:r>
      <w:r w:rsidRPr="009A6B32">
        <w:rPr>
          <w:rFonts w:hint="eastAsia"/>
          <w:sz w:val="24"/>
        </w:rPr>
        <w:t>南部居住生活配套区</w:t>
      </w:r>
      <w:r>
        <w:rPr>
          <w:rFonts w:hint="eastAsia"/>
          <w:sz w:val="24"/>
        </w:rPr>
        <w:t>。</w:t>
      </w:r>
    </w:p>
    <w:p w:rsidR="00E76764" w:rsidRPr="004A0F22" w:rsidRDefault="00E76764" w:rsidP="009A6B32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 w:rsidRPr="00EF6219">
        <w:rPr>
          <w:rFonts w:ascii="宋体" w:hint="eastAsia"/>
          <w:sz w:val="24"/>
        </w:rPr>
        <w:t>“</w:t>
      </w:r>
      <w:r>
        <w:rPr>
          <w:rFonts w:ascii="宋体" w:hAnsi="宋体" w:hint="eastAsia"/>
          <w:sz w:val="24"/>
        </w:rPr>
        <w:t>五</w:t>
      </w:r>
      <w:r w:rsidRPr="00EF6219">
        <w:rPr>
          <w:rFonts w:ascii="宋体" w:hAnsi="宋体" w:hint="eastAsia"/>
          <w:sz w:val="24"/>
        </w:rPr>
        <w:t>心</w:t>
      </w:r>
      <w:r w:rsidRPr="00EF6219">
        <w:rPr>
          <w:rFonts w:ascii="宋体" w:hint="eastAsia"/>
          <w:sz w:val="24"/>
        </w:rPr>
        <w:t>”</w:t>
      </w:r>
      <w:r>
        <w:rPr>
          <w:sz w:val="24"/>
        </w:rPr>
        <w:t>——</w:t>
      </w:r>
      <w:r w:rsidRPr="00AF7636">
        <w:rPr>
          <w:rFonts w:hint="eastAsia"/>
          <w:sz w:val="24"/>
        </w:rPr>
        <w:t>五个重要功能性中心，包括教育服务中心、商业办公中心、商业商贸中心、行政办公中心以及综合服务中心。</w:t>
      </w:r>
    </w:p>
    <w:p w:rsidR="00E76764" w:rsidRDefault="00E76764" w:rsidP="004921D2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</w:p>
    <w:p w:rsidR="00E76764" w:rsidRPr="00754039" w:rsidRDefault="00E76764" w:rsidP="004921D2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  <w:r w:rsidRPr="00754039">
        <w:rPr>
          <w:rFonts w:hint="eastAsia"/>
          <w:b/>
          <w:sz w:val="24"/>
        </w:rPr>
        <w:t>四、用地布局</w:t>
      </w:r>
    </w:p>
    <w:p w:rsidR="00E76764" w:rsidRDefault="00E76764" w:rsidP="00D1395E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 w:rsidRPr="007D212E">
        <w:rPr>
          <w:rFonts w:hint="eastAsia"/>
          <w:sz w:val="24"/>
        </w:rPr>
        <w:t>规划范围用地面积</w:t>
      </w:r>
      <w:r w:rsidRPr="007D212E">
        <w:rPr>
          <w:sz w:val="24"/>
        </w:rPr>
        <w:t>728.75</w:t>
      </w:r>
      <w:r w:rsidRPr="007D212E">
        <w:rPr>
          <w:rFonts w:hint="eastAsia"/>
          <w:sz w:val="24"/>
        </w:rPr>
        <w:t>公顷，其中城市建设用地面积</w:t>
      </w:r>
      <w:r w:rsidRPr="007D212E">
        <w:rPr>
          <w:sz w:val="24"/>
        </w:rPr>
        <w:t>666.57</w:t>
      </w:r>
      <w:r w:rsidRPr="007D212E">
        <w:rPr>
          <w:rFonts w:hint="eastAsia"/>
          <w:sz w:val="24"/>
        </w:rPr>
        <w:t>公顷，村庄建设用地</w:t>
      </w:r>
      <w:r>
        <w:rPr>
          <w:sz w:val="24"/>
        </w:rPr>
        <w:t>4.99</w:t>
      </w:r>
      <w:r w:rsidRPr="007D212E">
        <w:rPr>
          <w:rFonts w:hint="eastAsia"/>
          <w:sz w:val="24"/>
        </w:rPr>
        <w:t>公顷、军事用地</w:t>
      </w:r>
      <w:r>
        <w:rPr>
          <w:sz w:val="24"/>
        </w:rPr>
        <w:t>6.29</w:t>
      </w:r>
      <w:r w:rsidRPr="007D212E">
        <w:rPr>
          <w:rFonts w:hint="eastAsia"/>
          <w:sz w:val="24"/>
        </w:rPr>
        <w:t>公顷、水域</w:t>
      </w:r>
      <w:r w:rsidRPr="007D212E">
        <w:rPr>
          <w:sz w:val="24"/>
        </w:rPr>
        <w:t>9.</w:t>
      </w:r>
      <w:r>
        <w:rPr>
          <w:sz w:val="24"/>
        </w:rPr>
        <w:t>73</w:t>
      </w:r>
      <w:r w:rsidRPr="007D212E">
        <w:rPr>
          <w:rFonts w:hint="eastAsia"/>
          <w:sz w:val="24"/>
        </w:rPr>
        <w:t>公顷</w:t>
      </w:r>
      <w:r>
        <w:rPr>
          <w:rFonts w:hint="eastAsia"/>
          <w:sz w:val="24"/>
        </w:rPr>
        <w:t>、</w:t>
      </w:r>
      <w:r w:rsidRPr="007D212E">
        <w:rPr>
          <w:rFonts w:hint="eastAsia"/>
          <w:sz w:val="24"/>
        </w:rPr>
        <w:t>基本农田</w:t>
      </w:r>
      <w:r w:rsidRPr="007D212E">
        <w:rPr>
          <w:sz w:val="24"/>
        </w:rPr>
        <w:t>0.41</w:t>
      </w:r>
      <w:r w:rsidRPr="007D212E">
        <w:rPr>
          <w:rFonts w:hint="eastAsia"/>
          <w:sz w:val="24"/>
        </w:rPr>
        <w:t>公顷和农林用地</w:t>
      </w:r>
      <w:r>
        <w:rPr>
          <w:sz w:val="24"/>
        </w:rPr>
        <w:t>40.76</w:t>
      </w:r>
      <w:r w:rsidRPr="007D212E">
        <w:rPr>
          <w:rFonts w:hint="eastAsia"/>
          <w:sz w:val="24"/>
        </w:rPr>
        <w:t>公顷。</w:t>
      </w:r>
      <w:r>
        <w:rPr>
          <w:rFonts w:hint="eastAsia"/>
          <w:sz w:val="24"/>
        </w:rPr>
        <w:t>（详见表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Pr="00F240D6">
        <w:rPr>
          <w:rFonts w:hint="eastAsia"/>
          <w:sz w:val="24"/>
        </w:rPr>
        <w:t>。</w:t>
      </w:r>
    </w:p>
    <w:p w:rsidR="00E76764" w:rsidRPr="00A07732" w:rsidRDefault="00E76764" w:rsidP="00C33548">
      <w:pPr>
        <w:adjustRightInd w:val="0"/>
        <w:snapToGrid w:val="0"/>
        <w:spacing w:line="360" w:lineRule="auto"/>
        <w:ind w:firstLineChars="200" w:firstLine="420"/>
        <w:jc w:val="center"/>
        <w:rPr>
          <w:rFonts w:ascii="宋体"/>
          <w:szCs w:val="21"/>
        </w:rPr>
      </w:pPr>
      <w:r w:rsidRPr="00A07732">
        <w:rPr>
          <w:rFonts w:ascii="宋体" w:hAnsi="宋体" w:hint="eastAsia"/>
          <w:szCs w:val="21"/>
        </w:rPr>
        <w:t>表</w:t>
      </w:r>
      <w:r>
        <w:rPr>
          <w:rFonts w:ascii="宋体" w:hAnsi="宋体"/>
          <w:szCs w:val="21"/>
        </w:rPr>
        <w:t>1</w:t>
      </w:r>
      <w:r w:rsidRPr="00A07732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规划</w:t>
      </w:r>
      <w:r w:rsidRPr="00A07732">
        <w:rPr>
          <w:rFonts w:ascii="宋体" w:hAnsi="宋体" w:hint="eastAsia"/>
          <w:szCs w:val="21"/>
        </w:rPr>
        <w:t>用地汇总表</w:t>
      </w:r>
    </w:p>
    <w:tbl>
      <w:tblPr>
        <w:tblW w:w="8804" w:type="dxa"/>
        <w:tblInd w:w="93" w:type="dxa"/>
        <w:tblLook w:val="00A0"/>
      </w:tblPr>
      <w:tblGrid>
        <w:gridCol w:w="960"/>
        <w:gridCol w:w="1720"/>
        <w:gridCol w:w="2940"/>
        <w:gridCol w:w="1580"/>
        <w:gridCol w:w="1604"/>
      </w:tblGrid>
      <w:tr w:rsidR="00E76764" w:rsidRPr="009B4ABD" w:rsidTr="00422644">
        <w:trPr>
          <w:trHeight w:val="55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203E9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9B4AB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用地代码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9B4AB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用地名称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4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用地面积</w:t>
            </w:r>
            <w:r w:rsidRPr="009B4ABD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(ha)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9B4AB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占城市建设用地比例</w:t>
            </w:r>
            <w:r w:rsidRPr="009B4ABD">
              <w:rPr>
                <w:rFonts w:ascii="宋体" w:hAnsi="宋体" w:cs="宋体"/>
                <w:b/>
                <w:bCs/>
                <w:kern w:val="0"/>
                <w:sz w:val="22"/>
              </w:rPr>
              <w:t>(%)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中、小类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kern w:val="0"/>
                <w:szCs w:val="21"/>
              </w:rPr>
              <w:t>R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kern w:val="0"/>
                <w:szCs w:val="21"/>
              </w:rPr>
              <w:t>居住用地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323.92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kern w:val="0"/>
                <w:szCs w:val="21"/>
              </w:rPr>
              <w:t>48.60%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R21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二类居住用地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321.08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48.17%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R22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服务设施用地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2.84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0.43%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kern w:val="0"/>
                <w:szCs w:val="21"/>
              </w:rPr>
              <w:t>RB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kern w:val="0"/>
                <w:szCs w:val="21"/>
              </w:rPr>
              <w:t>商住混合用地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26.89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kern w:val="0"/>
                <w:szCs w:val="21"/>
              </w:rPr>
              <w:t>4.03%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R2B1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居住商业混合用地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>24.44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3.67%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R2B2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居住商务用地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2.46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0.37%</w:t>
            </w:r>
          </w:p>
        </w:tc>
      </w:tr>
      <w:tr w:rsidR="00E76764" w:rsidRPr="009B4ABD" w:rsidTr="00422644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kern w:val="0"/>
                <w:szCs w:val="21"/>
              </w:rPr>
              <w:t>A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kern w:val="0"/>
                <w:szCs w:val="21"/>
              </w:rPr>
              <w:t>公共管理与公共服务设施用地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75.31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kern w:val="0"/>
                <w:szCs w:val="21"/>
              </w:rPr>
              <w:t>11.30%</w:t>
            </w:r>
          </w:p>
        </w:tc>
      </w:tr>
      <w:tr w:rsidR="00E76764" w:rsidRPr="009B4ABD" w:rsidTr="0042264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A1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行政办公用地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 xml:space="preserve">18.11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2.72%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A22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文化活动用地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 xml:space="preserve">0.86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0.13%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A32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中等专业学校用地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14.97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2.25%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A33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中小学用地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27.49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4.12%</w:t>
            </w:r>
          </w:p>
        </w:tc>
      </w:tr>
      <w:tr w:rsidR="00E76764" w:rsidRPr="009B4ABD" w:rsidTr="00422644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A51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医院用地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12.31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1.85%</w:t>
            </w:r>
          </w:p>
        </w:tc>
      </w:tr>
      <w:tr w:rsidR="00E76764" w:rsidRPr="009B4ABD" w:rsidTr="00D177B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A6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社会福利用地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1.56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0.23%</w:t>
            </w:r>
          </w:p>
        </w:tc>
      </w:tr>
      <w:tr w:rsidR="00E76764" w:rsidRPr="009B4ABD" w:rsidTr="00D177B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kern w:val="0"/>
                <w:szCs w:val="21"/>
              </w:rPr>
              <w:t>B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kern w:val="0"/>
                <w:szCs w:val="21"/>
              </w:rPr>
              <w:t>商业服务业设施用地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101.22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kern w:val="0"/>
                <w:szCs w:val="21"/>
              </w:rPr>
              <w:t>15.19%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B1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商业用地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51.35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7.70%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B12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批发市场用地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4.28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0.64%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B14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旅馆用地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4.69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0.70%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B29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其他商务用地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0.13%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B2B1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商务商业混合用地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37.78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5.67%</w:t>
            </w:r>
          </w:p>
        </w:tc>
      </w:tr>
      <w:tr w:rsidR="00E76764" w:rsidRPr="009B4ABD" w:rsidTr="0042264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B41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加油加气站用地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0.13%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B9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其他服务设施用地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0.21%</w:t>
            </w:r>
          </w:p>
        </w:tc>
      </w:tr>
      <w:tr w:rsidR="00E76764" w:rsidRPr="009B4ABD" w:rsidTr="00422644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kern w:val="0"/>
                <w:szCs w:val="21"/>
              </w:rPr>
              <w:t>S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kern w:val="0"/>
                <w:szCs w:val="21"/>
              </w:rPr>
              <w:t>道路与交通设施用地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113.86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kern w:val="0"/>
                <w:szCs w:val="21"/>
              </w:rPr>
              <w:t>17.08%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S1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城市道路用地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109.07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16.36%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S42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社会停车场用地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4.80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0.72%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kern w:val="0"/>
                <w:szCs w:val="21"/>
              </w:rPr>
              <w:t>U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kern w:val="0"/>
                <w:szCs w:val="21"/>
              </w:rPr>
              <w:t>公用设施用地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2.44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kern w:val="0"/>
                <w:szCs w:val="21"/>
              </w:rPr>
              <w:t>0.37%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U12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供电用地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0.05%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U15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通信用地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0.09%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U22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环卫用地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0.06%</w:t>
            </w:r>
          </w:p>
        </w:tc>
      </w:tr>
      <w:tr w:rsidR="00E76764" w:rsidRPr="009B4ABD" w:rsidTr="0042264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U31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消防用地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0.16%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kern w:val="0"/>
                <w:szCs w:val="21"/>
              </w:rPr>
              <w:t>G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kern w:val="0"/>
                <w:szCs w:val="21"/>
              </w:rPr>
              <w:t>绿地与广场用地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22.92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kern w:val="0"/>
                <w:szCs w:val="21"/>
              </w:rPr>
              <w:t>3.44%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G1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公园绿地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13.36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2.00%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G2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防护绿地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9.55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1.43%</w:t>
            </w:r>
          </w:p>
        </w:tc>
      </w:tr>
      <w:tr w:rsidR="00E76764" w:rsidRPr="009B4ABD" w:rsidTr="00422644">
        <w:trPr>
          <w:trHeight w:val="27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kern w:val="0"/>
                <w:szCs w:val="21"/>
              </w:rPr>
              <w:t>H11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城市建设用地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666.57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100.00%</w:t>
            </w:r>
          </w:p>
        </w:tc>
      </w:tr>
      <w:tr w:rsidR="00E76764" w:rsidRPr="009B4ABD" w:rsidTr="00422644">
        <w:trPr>
          <w:trHeight w:val="25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H14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村庄建设用地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4.99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764" w:rsidRPr="009B4ABD" w:rsidTr="00422644">
        <w:trPr>
          <w:trHeight w:val="25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H41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军事用地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6.29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kern w:val="0"/>
                <w:szCs w:val="21"/>
              </w:rPr>
              <w:t>E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非建设用地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50.90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/>
                <w:kern w:val="0"/>
                <w:sz w:val="20"/>
                <w:szCs w:val="20"/>
              </w:rPr>
              <w:t>E1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 w:hint="eastAsia"/>
                <w:kern w:val="0"/>
                <w:sz w:val="20"/>
                <w:szCs w:val="20"/>
              </w:rPr>
              <w:t>水域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9.73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E2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kern w:val="0"/>
                <w:szCs w:val="21"/>
              </w:rPr>
              <w:t>基本农田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764" w:rsidRPr="009B4ABD" w:rsidTr="0042264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4ABD">
              <w:rPr>
                <w:rFonts w:ascii="宋体" w:hAnsi="宋体" w:cs="宋体"/>
                <w:kern w:val="0"/>
                <w:szCs w:val="21"/>
              </w:rPr>
              <w:t>E2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农林用地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40.76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764" w:rsidRPr="009B4ABD" w:rsidTr="00422644">
        <w:trPr>
          <w:trHeight w:val="255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B4AB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规划用地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64" w:rsidRPr="009B4ABD" w:rsidRDefault="00E76764" w:rsidP="004226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B4ABD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728.75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4" w:rsidRPr="009B4ABD" w:rsidRDefault="00E76764" w:rsidP="0042264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B4A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76764" w:rsidRDefault="00E76764" w:rsidP="00C54318">
      <w:pPr>
        <w:adjustRightInd w:val="0"/>
        <w:snapToGrid w:val="0"/>
        <w:spacing w:line="300" w:lineRule="auto"/>
        <w:jc w:val="left"/>
        <w:rPr>
          <w:sz w:val="24"/>
        </w:rPr>
      </w:pPr>
    </w:p>
    <w:p w:rsidR="00E76764" w:rsidRDefault="00E76764" w:rsidP="004921D2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</w:p>
    <w:p w:rsidR="00E76764" w:rsidRPr="00754039" w:rsidRDefault="00E76764" w:rsidP="004921D2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  <w:r w:rsidRPr="00754039">
        <w:rPr>
          <w:rFonts w:hint="eastAsia"/>
          <w:b/>
          <w:sz w:val="24"/>
        </w:rPr>
        <w:t>五、道路交通规划</w:t>
      </w:r>
    </w:p>
    <w:p w:rsidR="00E76764" w:rsidRDefault="00E76764" w:rsidP="004921D2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）对外交通：规划区西临</w:t>
      </w:r>
      <w:r w:rsidRPr="00153941">
        <w:rPr>
          <w:rFonts w:hint="eastAsia"/>
          <w:sz w:val="24"/>
        </w:rPr>
        <w:t>东线高速公路、东</w:t>
      </w:r>
      <w:r>
        <w:rPr>
          <w:rFonts w:hint="eastAsia"/>
          <w:sz w:val="24"/>
        </w:rPr>
        <w:t>靠</w:t>
      </w:r>
      <w:r w:rsidRPr="00153941">
        <w:rPr>
          <w:rFonts w:hint="eastAsia"/>
          <w:sz w:val="24"/>
        </w:rPr>
        <w:t>海榆东线，对外联系便捷。</w:t>
      </w:r>
      <w:r>
        <w:rPr>
          <w:rFonts w:hint="eastAsia"/>
          <w:sz w:val="24"/>
        </w:rPr>
        <w:t>规划区主要</w:t>
      </w:r>
      <w:r w:rsidRPr="00153941">
        <w:rPr>
          <w:rFonts w:hint="eastAsia"/>
          <w:sz w:val="24"/>
        </w:rPr>
        <w:t>通过银海路从琼海互通出入口接入</w:t>
      </w:r>
      <w:r>
        <w:rPr>
          <w:rFonts w:hint="eastAsia"/>
          <w:sz w:val="24"/>
        </w:rPr>
        <w:t>东线</w:t>
      </w:r>
      <w:r w:rsidRPr="00153941">
        <w:rPr>
          <w:rFonts w:hint="eastAsia"/>
          <w:sz w:val="24"/>
        </w:rPr>
        <w:t>高速公路，向北可达海口，向南</w:t>
      </w:r>
      <w:r>
        <w:rPr>
          <w:rFonts w:hint="eastAsia"/>
          <w:sz w:val="24"/>
        </w:rPr>
        <w:t>可至</w:t>
      </w:r>
      <w:r w:rsidRPr="00153941">
        <w:rPr>
          <w:rFonts w:hint="eastAsia"/>
          <w:sz w:val="24"/>
        </w:rPr>
        <w:t>三亚</w:t>
      </w:r>
      <w:r>
        <w:rPr>
          <w:rFonts w:hint="eastAsia"/>
          <w:sz w:val="24"/>
        </w:rPr>
        <w:t>。</w:t>
      </w:r>
    </w:p>
    <w:p w:rsidR="00E76764" w:rsidRPr="00F240D6" w:rsidRDefault="00E76764" w:rsidP="002B02C1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）内部交通：</w:t>
      </w:r>
      <w:r w:rsidRPr="00F240D6">
        <w:rPr>
          <w:rFonts w:hint="eastAsia"/>
          <w:sz w:val="24"/>
        </w:rPr>
        <w:t>形成主干路、次干路以及支路三级道路体系。主干路道路红线控制在</w:t>
      </w:r>
      <w:r>
        <w:rPr>
          <w:sz w:val="24"/>
        </w:rPr>
        <w:t>32</w:t>
      </w:r>
      <w:r w:rsidRPr="00F240D6">
        <w:rPr>
          <w:sz w:val="24"/>
        </w:rPr>
        <w:t>m-</w:t>
      </w:r>
      <w:r>
        <w:rPr>
          <w:sz w:val="24"/>
        </w:rPr>
        <w:t>67</w:t>
      </w:r>
      <w:r w:rsidRPr="00F240D6">
        <w:rPr>
          <w:sz w:val="24"/>
        </w:rPr>
        <w:t>m</w:t>
      </w:r>
      <w:r>
        <w:rPr>
          <w:rFonts w:hint="eastAsia"/>
          <w:sz w:val="24"/>
        </w:rPr>
        <w:t>，形成“三纵四横</w:t>
      </w:r>
      <w:r w:rsidRPr="00F240D6">
        <w:rPr>
          <w:rFonts w:hint="eastAsia"/>
          <w:sz w:val="24"/>
        </w:rPr>
        <w:t>”的框架，负责连接规划区各主要分区以及衔接对外交通口，主要以交通功能为主；次干路道路红线宽度控制为</w:t>
      </w:r>
      <w:r>
        <w:rPr>
          <w:sz w:val="24"/>
        </w:rPr>
        <w:t>25m-32</w:t>
      </w:r>
      <w:r w:rsidRPr="00F240D6">
        <w:rPr>
          <w:sz w:val="24"/>
        </w:rPr>
        <w:t>m</w:t>
      </w:r>
      <w:r w:rsidRPr="00F240D6">
        <w:rPr>
          <w:rFonts w:hint="eastAsia"/>
          <w:sz w:val="24"/>
        </w:rPr>
        <w:t>，主要分流主干路交通，以集散交通的功能为主；支路道路红线控制在</w:t>
      </w:r>
      <w:r>
        <w:rPr>
          <w:sz w:val="24"/>
        </w:rPr>
        <w:t>7m-2</w:t>
      </w:r>
      <w:r w:rsidRPr="00F240D6">
        <w:rPr>
          <w:sz w:val="24"/>
        </w:rPr>
        <w:t>0m</w:t>
      </w:r>
      <w:r w:rsidRPr="00F240D6">
        <w:rPr>
          <w:rFonts w:hint="eastAsia"/>
          <w:sz w:val="24"/>
        </w:rPr>
        <w:t>。</w:t>
      </w:r>
    </w:p>
    <w:p w:rsidR="00E76764" w:rsidRDefault="00E76764" w:rsidP="004921D2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</w:p>
    <w:p w:rsidR="00E76764" w:rsidRPr="005B495F" w:rsidRDefault="00E76764" w:rsidP="004921D2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</w:p>
    <w:p w:rsidR="00E76764" w:rsidRPr="00754039" w:rsidRDefault="00E76764" w:rsidP="004921D2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  <w:r w:rsidRPr="00754039">
        <w:rPr>
          <w:rFonts w:hint="eastAsia"/>
          <w:b/>
          <w:sz w:val="24"/>
        </w:rPr>
        <w:t>六、开发强度</w:t>
      </w:r>
    </w:p>
    <w:p w:rsidR="00E76764" w:rsidRDefault="00E76764" w:rsidP="00BD674F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）容积率控制：二类居住用地容积率控制为</w:t>
      </w:r>
      <w:r>
        <w:rPr>
          <w:sz w:val="24"/>
        </w:rPr>
        <w:t>1.5-2.0</w:t>
      </w:r>
      <w:r>
        <w:rPr>
          <w:rFonts w:hint="eastAsia"/>
          <w:sz w:val="24"/>
        </w:rPr>
        <w:t>；安置用地容积率控制为</w:t>
      </w:r>
      <w:r>
        <w:rPr>
          <w:sz w:val="24"/>
        </w:rPr>
        <w:t>2.5</w:t>
      </w:r>
      <w:r>
        <w:rPr>
          <w:rFonts w:hint="eastAsia"/>
          <w:sz w:val="24"/>
        </w:rPr>
        <w:t>，</w:t>
      </w:r>
      <w:r w:rsidRPr="002E058F">
        <w:rPr>
          <w:rFonts w:hint="eastAsia"/>
          <w:sz w:val="24"/>
        </w:rPr>
        <w:t>商住混合用地</w:t>
      </w:r>
      <w:r>
        <w:rPr>
          <w:rFonts w:hint="eastAsia"/>
          <w:sz w:val="24"/>
        </w:rPr>
        <w:t>容积率控制为</w:t>
      </w:r>
      <w:r>
        <w:rPr>
          <w:sz w:val="24"/>
        </w:rPr>
        <w:t>1.5-2.0</w:t>
      </w:r>
      <w:r>
        <w:rPr>
          <w:rFonts w:hint="eastAsia"/>
          <w:sz w:val="24"/>
        </w:rPr>
        <w:t>；商业用地容积率主要控制为</w:t>
      </w:r>
      <w:r>
        <w:rPr>
          <w:sz w:val="24"/>
        </w:rPr>
        <w:t>1.5-3.0</w:t>
      </w:r>
      <w:r>
        <w:rPr>
          <w:rFonts w:hint="eastAsia"/>
          <w:sz w:val="24"/>
        </w:rPr>
        <w:t>；其他商务用地容积率控制为</w:t>
      </w:r>
      <w:r>
        <w:rPr>
          <w:sz w:val="24"/>
        </w:rPr>
        <w:t>2.5</w:t>
      </w:r>
      <w:r>
        <w:rPr>
          <w:rFonts w:hint="eastAsia"/>
          <w:sz w:val="24"/>
        </w:rPr>
        <w:t>米；商业商务混合用地容积率控制为</w:t>
      </w:r>
      <w:r>
        <w:rPr>
          <w:sz w:val="24"/>
        </w:rPr>
        <w:t>1.5-3.0</w:t>
      </w:r>
      <w:r>
        <w:rPr>
          <w:rFonts w:hint="eastAsia"/>
          <w:sz w:val="24"/>
        </w:rPr>
        <w:t>；公共服务设施容积率控制为</w:t>
      </w:r>
      <w:r>
        <w:rPr>
          <w:sz w:val="24"/>
        </w:rPr>
        <w:t>0.8-1.5</w:t>
      </w:r>
      <w:r>
        <w:rPr>
          <w:rFonts w:hint="eastAsia"/>
          <w:sz w:val="24"/>
        </w:rPr>
        <w:t>；公用设施用地容积控制为</w:t>
      </w:r>
      <w:r>
        <w:rPr>
          <w:sz w:val="24"/>
        </w:rPr>
        <w:t>0.5-0.8</w:t>
      </w:r>
      <w:r>
        <w:rPr>
          <w:rFonts w:hint="eastAsia"/>
          <w:sz w:val="24"/>
        </w:rPr>
        <w:t>。</w:t>
      </w:r>
    </w:p>
    <w:p w:rsidR="00E76764" w:rsidRDefault="00E76764" w:rsidP="00BD674F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</w:p>
    <w:p w:rsidR="00E76764" w:rsidRDefault="00E76764" w:rsidP="000272A9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）建筑高度控制：二类居住用地建筑高度控制为</w:t>
      </w:r>
      <w:r>
        <w:rPr>
          <w:sz w:val="24"/>
        </w:rPr>
        <w:t>36</w:t>
      </w:r>
      <w:r>
        <w:rPr>
          <w:rFonts w:hint="eastAsia"/>
          <w:sz w:val="24"/>
        </w:rPr>
        <w:t>米</w:t>
      </w:r>
      <w:r>
        <w:rPr>
          <w:sz w:val="24"/>
        </w:rPr>
        <w:t>-60</w:t>
      </w:r>
      <w:r>
        <w:rPr>
          <w:rFonts w:hint="eastAsia"/>
          <w:sz w:val="24"/>
        </w:rPr>
        <w:t>米以下；安置用地建筑高度控制为</w:t>
      </w:r>
      <w:r>
        <w:rPr>
          <w:sz w:val="24"/>
        </w:rPr>
        <w:t>24</w:t>
      </w:r>
      <w:r>
        <w:rPr>
          <w:rFonts w:hint="eastAsia"/>
          <w:sz w:val="24"/>
        </w:rPr>
        <w:t>米；</w:t>
      </w:r>
      <w:r w:rsidRPr="002E058F">
        <w:rPr>
          <w:rFonts w:hint="eastAsia"/>
          <w:sz w:val="24"/>
        </w:rPr>
        <w:t>商住混合用地</w:t>
      </w:r>
      <w:r>
        <w:rPr>
          <w:rFonts w:hint="eastAsia"/>
          <w:sz w:val="24"/>
        </w:rPr>
        <w:t>建筑高度控制为</w:t>
      </w:r>
      <w:r>
        <w:rPr>
          <w:sz w:val="24"/>
        </w:rPr>
        <w:t>36</w:t>
      </w:r>
      <w:r>
        <w:rPr>
          <w:rFonts w:hint="eastAsia"/>
          <w:sz w:val="24"/>
        </w:rPr>
        <w:t>米</w:t>
      </w:r>
      <w:r>
        <w:rPr>
          <w:sz w:val="24"/>
        </w:rPr>
        <w:t>-45</w:t>
      </w:r>
      <w:r>
        <w:rPr>
          <w:rFonts w:hint="eastAsia"/>
          <w:sz w:val="24"/>
        </w:rPr>
        <w:t>米；商业用地建筑高度控制为</w:t>
      </w:r>
      <w:r>
        <w:rPr>
          <w:sz w:val="24"/>
        </w:rPr>
        <w:t>36</w:t>
      </w:r>
      <w:r>
        <w:rPr>
          <w:rFonts w:hint="eastAsia"/>
          <w:sz w:val="24"/>
        </w:rPr>
        <w:t>米</w:t>
      </w:r>
      <w:r>
        <w:rPr>
          <w:sz w:val="24"/>
        </w:rPr>
        <w:t>-100</w:t>
      </w:r>
      <w:r>
        <w:rPr>
          <w:rFonts w:hint="eastAsia"/>
          <w:sz w:val="24"/>
        </w:rPr>
        <w:t>米，其中</w:t>
      </w:r>
      <w:r>
        <w:rPr>
          <w:sz w:val="24"/>
        </w:rPr>
        <w:t>100</w:t>
      </w:r>
      <w:r>
        <w:rPr>
          <w:rFonts w:hint="eastAsia"/>
          <w:sz w:val="24"/>
        </w:rPr>
        <w:t>米建筑为已批富达美商业广场；其他商务用地建筑高度控制为</w:t>
      </w:r>
      <w:r>
        <w:rPr>
          <w:sz w:val="24"/>
        </w:rPr>
        <w:t>60</w:t>
      </w:r>
      <w:r>
        <w:rPr>
          <w:rFonts w:hint="eastAsia"/>
          <w:sz w:val="24"/>
        </w:rPr>
        <w:t>米；商业商务混合用地建筑高度控制为</w:t>
      </w:r>
      <w:r>
        <w:rPr>
          <w:sz w:val="24"/>
        </w:rPr>
        <w:t>60</w:t>
      </w:r>
      <w:r>
        <w:rPr>
          <w:rFonts w:hint="eastAsia"/>
          <w:sz w:val="24"/>
        </w:rPr>
        <w:t>米</w:t>
      </w:r>
      <w:r>
        <w:rPr>
          <w:sz w:val="24"/>
        </w:rPr>
        <w:t>-100</w:t>
      </w:r>
      <w:r>
        <w:rPr>
          <w:rFonts w:hint="eastAsia"/>
          <w:sz w:val="24"/>
        </w:rPr>
        <w:t>米；公共服务设施建筑高度控制为</w:t>
      </w:r>
      <w:r>
        <w:rPr>
          <w:sz w:val="24"/>
        </w:rPr>
        <w:t>24</w:t>
      </w:r>
      <w:r>
        <w:rPr>
          <w:rFonts w:hint="eastAsia"/>
          <w:sz w:val="24"/>
        </w:rPr>
        <w:t>米</w:t>
      </w:r>
      <w:r>
        <w:rPr>
          <w:sz w:val="24"/>
        </w:rPr>
        <w:t>-36</w:t>
      </w:r>
      <w:r>
        <w:rPr>
          <w:rFonts w:hint="eastAsia"/>
          <w:sz w:val="24"/>
        </w:rPr>
        <w:t>米；公用设施用地建筑高度控制为</w:t>
      </w:r>
      <w:r>
        <w:rPr>
          <w:sz w:val="24"/>
        </w:rPr>
        <w:t>9</w:t>
      </w:r>
      <w:r>
        <w:rPr>
          <w:rFonts w:hint="eastAsia"/>
          <w:sz w:val="24"/>
        </w:rPr>
        <w:t>米</w:t>
      </w:r>
      <w:r>
        <w:rPr>
          <w:sz w:val="24"/>
        </w:rPr>
        <w:t>-24</w:t>
      </w:r>
      <w:r>
        <w:rPr>
          <w:rFonts w:hint="eastAsia"/>
          <w:sz w:val="24"/>
        </w:rPr>
        <w:t>米。</w:t>
      </w:r>
    </w:p>
    <w:p w:rsidR="00E76764" w:rsidRPr="002F574A" w:rsidRDefault="00E76764" w:rsidP="002F574A">
      <w:pPr>
        <w:adjustRightInd w:val="0"/>
        <w:snapToGrid w:val="0"/>
        <w:spacing w:line="30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）建筑密度控制：二类居住用地建筑密度控制为</w:t>
      </w:r>
      <w:r>
        <w:rPr>
          <w:sz w:val="24"/>
        </w:rPr>
        <w:t>20%-25%</w:t>
      </w:r>
      <w:r>
        <w:rPr>
          <w:rFonts w:hint="eastAsia"/>
          <w:sz w:val="24"/>
        </w:rPr>
        <w:t>；安置用地建筑密度控制为</w:t>
      </w:r>
      <w:r>
        <w:rPr>
          <w:sz w:val="24"/>
        </w:rPr>
        <w:t>50%-55%</w:t>
      </w:r>
      <w:r>
        <w:rPr>
          <w:rFonts w:hint="eastAsia"/>
          <w:sz w:val="24"/>
        </w:rPr>
        <w:t>；</w:t>
      </w:r>
      <w:r w:rsidRPr="002E058F">
        <w:rPr>
          <w:rFonts w:hint="eastAsia"/>
          <w:sz w:val="24"/>
        </w:rPr>
        <w:t>商住混合用地</w:t>
      </w:r>
      <w:r>
        <w:rPr>
          <w:rFonts w:hint="eastAsia"/>
          <w:sz w:val="24"/>
        </w:rPr>
        <w:t>建筑密度控制为</w:t>
      </w:r>
      <w:r>
        <w:rPr>
          <w:sz w:val="24"/>
        </w:rPr>
        <w:t>40%</w:t>
      </w:r>
      <w:r>
        <w:rPr>
          <w:rFonts w:hint="eastAsia"/>
          <w:sz w:val="24"/>
        </w:rPr>
        <w:t>；商业用地建筑密度控制为</w:t>
      </w:r>
      <w:r>
        <w:rPr>
          <w:sz w:val="24"/>
        </w:rPr>
        <w:t>35%-40%</w:t>
      </w:r>
      <w:r>
        <w:rPr>
          <w:rFonts w:hint="eastAsia"/>
          <w:sz w:val="24"/>
        </w:rPr>
        <w:t>；其他商务用地建筑密度控制为</w:t>
      </w:r>
      <w:r>
        <w:rPr>
          <w:sz w:val="24"/>
        </w:rPr>
        <w:t>30%</w:t>
      </w:r>
      <w:r>
        <w:rPr>
          <w:rFonts w:hint="eastAsia"/>
          <w:sz w:val="24"/>
        </w:rPr>
        <w:t>；商业商务混合用地建筑密度控制为</w:t>
      </w:r>
      <w:r>
        <w:rPr>
          <w:sz w:val="24"/>
        </w:rPr>
        <w:t>35%</w:t>
      </w:r>
      <w:r>
        <w:rPr>
          <w:rFonts w:hint="eastAsia"/>
          <w:sz w:val="24"/>
        </w:rPr>
        <w:t>；公共服务设施建筑密度控制为</w:t>
      </w:r>
      <w:r>
        <w:rPr>
          <w:sz w:val="24"/>
        </w:rPr>
        <w:t>20%-25%</w:t>
      </w:r>
      <w:r>
        <w:rPr>
          <w:rFonts w:hint="eastAsia"/>
          <w:sz w:val="24"/>
        </w:rPr>
        <w:t>；公用设施用地建筑密度控制为</w:t>
      </w:r>
      <w:r>
        <w:rPr>
          <w:sz w:val="24"/>
        </w:rPr>
        <w:t>20% -25%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E76764" w:rsidRPr="002F574A" w:rsidSect="00BC2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30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64" w:rsidRDefault="00E76764" w:rsidP="005813CF">
      <w:r>
        <w:separator/>
      </w:r>
    </w:p>
  </w:endnote>
  <w:endnote w:type="continuationSeparator" w:id="0">
    <w:p w:rsidR="00E76764" w:rsidRDefault="00E76764" w:rsidP="0058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64" w:rsidRDefault="00E767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64" w:rsidRDefault="00E767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64" w:rsidRDefault="00E76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64" w:rsidRDefault="00E76764" w:rsidP="005813CF">
      <w:r>
        <w:separator/>
      </w:r>
    </w:p>
  </w:footnote>
  <w:footnote w:type="continuationSeparator" w:id="0">
    <w:p w:rsidR="00E76764" w:rsidRDefault="00E76764" w:rsidP="00581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64" w:rsidRDefault="00E767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64" w:rsidRDefault="00E76764" w:rsidP="002F574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64" w:rsidRDefault="00E76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9A"/>
    <w:rsid w:val="000033BE"/>
    <w:rsid w:val="00016826"/>
    <w:rsid w:val="000174CA"/>
    <w:rsid w:val="00023BE1"/>
    <w:rsid w:val="00024555"/>
    <w:rsid w:val="000272A9"/>
    <w:rsid w:val="00031A92"/>
    <w:rsid w:val="00037CAF"/>
    <w:rsid w:val="0005149A"/>
    <w:rsid w:val="000570B6"/>
    <w:rsid w:val="000729A1"/>
    <w:rsid w:val="00074CD2"/>
    <w:rsid w:val="000C3E26"/>
    <w:rsid w:val="000C576A"/>
    <w:rsid w:val="000D078D"/>
    <w:rsid w:val="0011236C"/>
    <w:rsid w:val="00114DC8"/>
    <w:rsid w:val="001151CB"/>
    <w:rsid w:val="00115D8A"/>
    <w:rsid w:val="001323DC"/>
    <w:rsid w:val="001328F3"/>
    <w:rsid w:val="00153941"/>
    <w:rsid w:val="00156819"/>
    <w:rsid w:val="001572BF"/>
    <w:rsid w:val="00164421"/>
    <w:rsid w:val="00165ECF"/>
    <w:rsid w:val="00175CD3"/>
    <w:rsid w:val="001808AA"/>
    <w:rsid w:val="001A6179"/>
    <w:rsid w:val="001B2851"/>
    <w:rsid w:val="001B376D"/>
    <w:rsid w:val="001B4959"/>
    <w:rsid w:val="001F5752"/>
    <w:rsid w:val="001F68CA"/>
    <w:rsid w:val="00203E9A"/>
    <w:rsid w:val="00215598"/>
    <w:rsid w:val="00250228"/>
    <w:rsid w:val="00252FB4"/>
    <w:rsid w:val="002569B0"/>
    <w:rsid w:val="00291DFD"/>
    <w:rsid w:val="00292769"/>
    <w:rsid w:val="002A33AB"/>
    <w:rsid w:val="002B02C1"/>
    <w:rsid w:val="002C69D1"/>
    <w:rsid w:val="002D0CAE"/>
    <w:rsid w:val="002E058F"/>
    <w:rsid w:val="002E4F41"/>
    <w:rsid w:val="002F574A"/>
    <w:rsid w:val="002F665E"/>
    <w:rsid w:val="00310073"/>
    <w:rsid w:val="00325BE5"/>
    <w:rsid w:val="0033089E"/>
    <w:rsid w:val="00332B47"/>
    <w:rsid w:val="00336FDC"/>
    <w:rsid w:val="003415DC"/>
    <w:rsid w:val="00352311"/>
    <w:rsid w:val="00353A41"/>
    <w:rsid w:val="00356FB1"/>
    <w:rsid w:val="00366AF9"/>
    <w:rsid w:val="003A0DFF"/>
    <w:rsid w:val="003C43D7"/>
    <w:rsid w:val="003C736E"/>
    <w:rsid w:val="003D2193"/>
    <w:rsid w:val="003E4FB6"/>
    <w:rsid w:val="003F7A1D"/>
    <w:rsid w:val="0040106F"/>
    <w:rsid w:val="004078FF"/>
    <w:rsid w:val="00422644"/>
    <w:rsid w:val="0042646B"/>
    <w:rsid w:val="00432169"/>
    <w:rsid w:val="00433C2C"/>
    <w:rsid w:val="00435459"/>
    <w:rsid w:val="004426DD"/>
    <w:rsid w:val="00446BD7"/>
    <w:rsid w:val="00450D89"/>
    <w:rsid w:val="004630EB"/>
    <w:rsid w:val="00486AED"/>
    <w:rsid w:val="004921D2"/>
    <w:rsid w:val="0049338D"/>
    <w:rsid w:val="004A0CC3"/>
    <w:rsid w:val="004A0F22"/>
    <w:rsid w:val="004C053C"/>
    <w:rsid w:val="004C0D2E"/>
    <w:rsid w:val="004C32F7"/>
    <w:rsid w:val="004D15E5"/>
    <w:rsid w:val="004F7070"/>
    <w:rsid w:val="00505194"/>
    <w:rsid w:val="005160D5"/>
    <w:rsid w:val="005544E8"/>
    <w:rsid w:val="00560841"/>
    <w:rsid w:val="005640ED"/>
    <w:rsid w:val="00565AFE"/>
    <w:rsid w:val="005813CF"/>
    <w:rsid w:val="00581966"/>
    <w:rsid w:val="00593564"/>
    <w:rsid w:val="005A1F3D"/>
    <w:rsid w:val="005A417E"/>
    <w:rsid w:val="005B495F"/>
    <w:rsid w:val="005C23F4"/>
    <w:rsid w:val="005C3C17"/>
    <w:rsid w:val="005D19F8"/>
    <w:rsid w:val="005D30EE"/>
    <w:rsid w:val="005D4C3B"/>
    <w:rsid w:val="006067EF"/>
    <w:rsid w:val="00606CF6"/>
    <w:rsid w:val="0061336A"/>
    <w:rsid w:val="006138A4"/>
    <w:rsid w:val="00637504"/>
    <w:rsid w:val="00651F6F"/>
    <w:rsid w:val="00653297"/>
    <w:rsid w:val="00675417"/>
    <w:rsid w:val="00696421"/>
    <w:rsid w:val="006C21D2"/>
    <w:rsid w:val="006C4A6A"/>
    <w:rsid w:val="006D777B"/>
    <w:rsid w:val="006F0338"/>
    <w:rsid w:val="006F7047"/>
    <w:rsid w:val="0071158E"/>
    <w:rsid w:val="007173A6"/>
    <w:rsid w:val="007233DC"/>
    <w:rsid w:val="00733262"/>
    <w:rsid w:val="00747C9A"/>
    <w:rsid w:val="00754039"/>
    <w:rsid w:val="00760ABE"/>
    <w:rsid w:val="007658FD"/>
    <w:rsid w:val="00765BA7"/>
    <w:rsid w:val="00776A88"/>
    <w:rsid w:val="00780F5A"/>
    <w:rsid w:val="00787E19"/>
    <w:rsid w:val="00795833"/>
    <w:rsid w:val="007C2A78"/>
    <w:rsid w:val="007D212E"/>
    <w:rsid w:val="007D4489"/>
    <w:rsid w:val="007F5F40"/>
    <w:rsid w:val="008366DE"/>
    <w:rsid w:val="00842935"/>
    <w:rsid w:val="00853529"/>
    <w:rsid w:val="0085761B"/>
    <w:rsid w:val="00896A85"/>
    <w:rsid w:val="008977D7"/>
    <w:rsid w:val="008B2588"/>
    <w:rsid w:val="008D7E5D"/>
    <w:rsid w:val="00910B9A"/>
    <w:rsid w:val="00914E83"/>
    <w:rsid w:val="00936AE5"/>
    <w:rsid w:val="009418F1"/>
    <w:rsid w:val="009422D8"/>
    <w:rsid w:val="009460B2"/>
    <w:rsid w:val="0096075C"/>
    <w:rsid w:val="00966DD9"/>
    <w:rsid w:val="00972906"/>
    <w:rsid w:val="00980E19"/>
    <w:rsid w:val="00986A9A"/>
    <w:rsid w:val="009A268B"/>
    <w:rsid w:val="009A6B32"/>
    <w:rsid w:val="009A7005"/>
    <w:rsid w:val="009B45A9"/>
    <w:rsid w:val="009B4ABD"/>
    <w:rsid w:val="009B51F3"/>
    <w:rsid w:val="009D366E"/>
    <w:rsid w:val="009D4869"/>
    <w:rsid w:val="009E12D9"/>
    <w:rsid w:val="009E58B5"/>
    <w:rsid w:val="00A07732"/>
    <w:rsid w:val="00A148B7"/>
    <w:rsid w:val="00A17D6A"/>
    <w:rsid w:val="00A32542"/>
    <w:rsid w:val="00A35484"/>
    <w:rsid w:val="00A435F8"/>
    <w:rsid w:val="00A63107"/>
    <w:rsid w:val="00A74BE4"/>
    <w:rsid w:val="00AA3722"/>
    <w:rsid w:val="00AA4C7A"/>
    <w:rsid w:val="00AA56C3"/>
    <w:rsid w:val="00AA5F77"/>
    <w:rsid w:val="00AA63A7"/>
    <w:rsid w:val="00AD0CE0"/>
    <w:rsid w:val="00AD37F0"/>
    <w:rsid w:val="00AD54F1"/>
    <w:rsid w:val="00AF60A3"/>
    <w:rsid w:val="00AF7636"/>
    <w:rsid w:val="00B0336B"/>
    <w:rsid w:val="00B04B25"/>
    <w:rsid w:val="00B3575C"/>
    <w:rsid w:val="00B51BBB"/>
    <w:rsid w:val="00B61DE9"/>
    <w:rsid w:val="00B64390"/>
    <w:rsid w:val="00B65E9A"/>
    <w:rsid w:val="00B96B2B"/>
    <w:rsid w:val="00BC280C"/>
    <w:rsid w:val="00BC6D58"/>
    <w:rsid w:val="00BD1540"/>
    <w:rsid w:val="00BD2A49"/>
    <w:rsid w:val="00BD674F"/>
    <w:rsid w:val="00BE0E25"/>
    <w:rsid w:val="00BF28AC"/>
    <w:rsid w:val="00BF6F26"/>
    <w:rsid w:val="00C03616"/>
    <w:rsid w:val="00C15A77"/>
    <w:rsid w:val="00C261C0"/>
    <w:rsid w:val="00C272EF"/>
    <w:rsid w:val="00C33548"/>
    <w:rsid w:val="00C50771"/>
    <w:rsid w:val="00C54318"/>
    <w:rsid w:val="00C63F5D"/>
    <w:rsid w:val="00C91B2D"/>
    <w:rsid w:val="00C94704"/>
    <w:rsid w:val="00C97404"/>
    <w:rsid w:val="00CA1A97"/>
    <w:rsid w:val="00CA2A65"/>
    <w:rsid w:val="00CB2661"/>
    <w:rsid w:val="00CB4325"/>
    <w:rsid w:val="00CC0DF1"/>
    <w:rsid w:val="00CF4A7A"/>
    <w:rsid w:val="00CF6B68"/>
    <w:rsid w:val="00D06A8E"/>
    <w:rsid w:val="00D1395E"/>
    <w:rsid w:val="00D177BB"/>
    <w:rsid w:val="00D2117D"/>
    <w:rsid w:val="00D44A08"/>
    <w:rsid w:val="00D50DA4"/>
    <w:rsid w:val="00D55721"/>
    <w:rsid w:val="00D57AB2"/>
    <w:rsid w:val="00D64902"/>
    <w:rsid w:val="00D92A77"/>
    <w:rsid w:val="00DB3388"/>
    <w:rsid w:val="00DC3CCB"/>
    <w:rsid w:val="00DE6BB3"/>
    <w:rsid w:val="00E12300"/>
    <w:rsid w:val="00E37E62"/>
    <w:rsid w:val="00E4151F"/>
    <w:rsid w:val="00E51802"/>
    <w:rsid w:val="00E526B1"/>
    <w:rsid w:val="00E53314"/>
    <w:rsid w:val="00E53EB4"/>
    <w:rsid w:val="00E61950"/>
    <w:rsid w:val="00E75A72"/>
    <w:rsid w:val="00E76764"/>
    <w:rsid w:val="00E812ED"/>
    <w:rsid w:val="00E96533"/>
    <w:rsid w:val="00EA78F0"/>
    <w:rsid w:val="00EB781C"/>
    <w:rsid w:val="00EC444D"/>
    <w:rsid w:val="00EF0162"/>
    <w:rsid w:val="00EF6219"/>
    <w:rsid w:val="00F1011B"/>
    <w:rsid w:val="00F16220"/>
    <w:rsid w:val="00F240D6"/>
    <w:rsid w:val="00F25A24"/>
    <w:rsid w:val="00F2783B"/>
    <w:rsid w:val="00F41127"/>
    <w:rsid w:val="00F43A5D"/>
    <w:rsid w:val="00F44CC6"/>
    <w:rsid w:val="00F62018"/>
    <w:rsid w:val="00F6634A"/>
    <w:rsid w:val="00F721F9"/>
    <w:rsid w:val="00F83C8A"/>
    <w:rsid w:val="00F862BD"/>
    <w:rsid w:val="00F94DE2"/>
    <w:rsid w:val="00FA2561"/>
    <w:rsid w:val="00FA7708"/>
    <w:rsid w:val="00FC506E"/>
    <w:rsid w:val="00FD64BF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F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459"/>
    <w:pPr>
      <w:ind w:firstLineChars="200" w:firstLine="420"/>
    </w:pPr>
  </w:style>
  <w:style w:type="paragraph" w:customStyle="1" w:styleId="Default">
    <w:name w:val="Default"/>
    <w:uiPriority w:val="99"/>
    <w:rsid w:val="004A0F22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13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13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388</Words>
  <Characters>2213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14</cp:revision>
  <dcterms:created xsi:type="dcterms:W3CDTF">2019-11-18T09:39:00Z</dcterms:created>
  <dcterms:modified xsi:type="dcterms:W3CDTF">2019-11-19T01:37:00Z</dcterms:modified>
</cp:coreProperties>
</file>