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val="en-US" w:eastAsia="zh-CN"/>
        </w:rPr>
        <w:t>2021</w:t>
      </w:r>
      <w:r>
        <w:rPr>
          <w:rFonts w:hint="eastAsia"/>
          <w:sz w:val="52"/>
          <w:szCs w:val="52"/>
        </w:rPr>
        <w:t>年</w:t>
      </w:r>
      <w:r>
        <w:rPr>
          <w:rFonts w:hint="eastAsia"/>
          <w:sz w:val="52"/>
          <w:szCs w:val="52"/>
          <w:lang w:eastAsia="zh-CN"/>
        </w:rPr>
        <w:t>琼海市不动产登记中心</w:t>
      </w:r>
    </w:p>
    <w:p>
      <w:pPr>
        <w:jc w:val="center"/>
        <w:rPr>
          <w:sz w:val="52"/>
          <w:szCs w:val="52"/>
        </w:rPr>
      </w:pPr>
      <w:r>
        <w:rPr>
          <w:rFonts w:hint="eastAsia"/>
          <w:sz w:val="52"/>
          <w:szCs w:val="52"/>
          <w:lang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琼海市不动产登记中心概况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2021年</w:t>
      </w:r>
      <w:r>
        <w:rPr>
          <w:rFonts w:hint="eastAsia" w:ascii="黑体" w:hAnsi="黑体" w:eastAsia="黑体"/>
          <w:sz w:val="32"/>
          <w:szCs w:val="32"/>
        </w:rPr>
        <w:t>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2021年</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琼海市不动产登记中心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ind w:leftChars="0" w:firstLine="640"/>
        <w:jc w:val="left"/>
        <w:rPr>
          <w:rFonts w:hint="eastAsia" w:ascii="仿宋_GB2312" w:hAnsi="黑体" w:eastAsia="仿宋_GB2312" w:cs="仿宋_GB2312"/>
          <w:kern w:val="2"/>
          <w:sz w:val="32"/>
          <w:szCs w:val="32"/>
          <w:lang w:val="en-US" w:eastAsia="zh-CN" w:bidi="ar-SA"/>
        </w:rPr>
      </w:pPr>
      <w:r>
        <w:rPr>
          <w:rFonts w:hint="eastAsia" w:ascii="黑体" w:hAnsi="黑体" w:eastAsia="黑体" w:cs="仿宋_GB2312"/>
          <w:sz w:val="32"/>
          <w:szCs w:val="32"/>
          <w:lang w:val="en-US" w:eastAsia="zh-CN"/>
        </w:rPr>
        <w:t>1、</w:t>
      </w:r>
      <w:r>
        <w:rPr>
          <w:rFonts w:hint="eastAsia" w:ascii="仿宋_GB2312" w:hAnsi="黑体" w:eastAsia="仿宋_GB2312" w:cs="仿宋_GB2312"/>
          <w:kern w:val="2"/>
          <w:sz w:val="32"/>
          <w:szCs w:val="32"/>
          <w:lang w:val="en-US" w:eastAsia="zh-CN" w:bidi="ar-SA"/>
        </w:rPr>
        <w:t>统一规范、保障权益、便民利民、廉洁高效的服务宗旨。</w:t>
      </w:r>
    </w:p>
    <w:p>
      <w:pPr>
        <w:pStyle w:val="6"/>
        <w:numPr>
          <w:ilvl w:val="0"/>
          <w:numId w:val="0"/>
        </w:numPr>
        <w:ind w:leftChars="0" w:firstLine="64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2、贯彻执行国家、省有关不动产登记方面的政策、法律、法规、规定，参与我市土地、房屋、林权、海域、农业等不动产登记地方性管理规定制定工作，落实不动产统一登记制度。</w:t>
      </w:r>
    </w:p>
    <w:p>
      <w:pPr>
        <w:pStyle w:val="6"/>
        <w:numPr>
          <w:ilvl w:val="0"/>
          <w:numId w:val="0"/>
        </w:numPr>
        <w:ind w:leftChars="0" w:firstLine="640"/>
        <w:jc w:val="left"/>
        <w:rPr>
          <w:rFonts w:hint="eastAsia" w:ascii="黑体" w:hAnsi="黑体" w:eastAsia="黑体" w:cs="仿宋_GB2312"/>
          <w:sz w:val="32"/>
          <w:szCs w:val="32"/>
          <w:lang w:val="en-US" w:eastAsia="zh-CN"/>
        </w:rPr>
      </w:pPr>
      <w:r>
        <w:rPr>
          <w:rFonts w:hint="eastAsia" w:ascii="仿宋_GB2312" w:hAnsi="黑体" w:eastAsia="仿宋_GB2312" w:cs="仿宋_GB2312"/>
          <w:kern w:val="2"/>
          <w:sz w:val="32"/>
          <w:szCs w:val="32"/>
          <w:lang w:val="en-US" w:eastAsia="zh-CN" w:bidi="ar-SA"/>
        </w:rPr>
        <w:t>3、负责全市不动产登记发证工作。</w:t>
      </w: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800" w:firstLineChars="250"/>
        <w:jc w:val="left"/>
        <w:rPr>
          <w:rFonts w:hint="eastAsia" w:ascii="仿宋_GB2312" w:hAnsi="黑体" w:eastAsia="仿宋_GB2312" w:cs="仿宋_GB2312"/>
          <w:sz w:val="32"/>
          <w:szCs w:val="32"/>
          <w:lang w:eastAsia="zh-CN"/>
        </w:rPr>
      </w:pP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2021年</w:t>
      </w:r>
      <w:r>
        <w:rPr>
          <w:rFonts w:hint="eastAsia" w:ascii="黑体" w:hAnsi="黑体" w:eastAsia="黑体"/>
          <w:sz w:val="32"/>
          <w:szCs w:val="32"/>
        </w:rPr>
        <w:t>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286.04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63</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21.89</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31.77</w:t>
      </w:r>
      <w:r>
        <w:rPr>
          <w:rFonts w:hint="eastAsia" w:ascii="仿宋_GB2312" w:hAnsi="黑体" w:eastAsia="仿宋_GB2312"/>
          <w:sz w:val="32"/>
          <w:szCs w:val="32"/>
        </w:rPr>
        <w:t>万元</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63万元、自然资源海洋气象等支出212.64万元、住房保障支出19.73万元，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286.04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19.23</w:t>
      </w:r>
      <w:r>
        <w:rPr>
          <w:rFonts w:hint="eastAsia" w:ascii="仿宋_GB2312" w:hAnsi="黑体" w:eastAsia="仿宋_GB2312"/>
          <w:sz w:val="32"/>
          <w:szCs w:val="32"/>
        </w:rPr>
        <w:t>万元，</w:t>
      </w:r>
      <w:r>
        <w:rPr>
          <w:rFonts w:hint="eastAsia" w:ascii="仿宋" w:hAnsi="仿宋" w:eastAsia="仿宋"/>
          <w:sz w:val="32"/>
          <w:szCs w:val="32"/>
        </w:rPr>
        <w:t>主要是</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度</w:t>
      </w:r>
      <w:r>
        <w:rPr>
          <w:rFonts w:hint="eastAsia" w:ascii="仿宋" w:hAnsi="仿宋" w:eastAsia="仿宋"/>
          <w:sz w:val="32"/>
          <w:szCs w:val="32"/>
        </w:rPr>
        <w:t>自然资源海洋气象等支出预算</w:t>
      </w:r>
      <w:r>
        <w:rPr>
          <w:rFonts w:hint="eastAsia" w:ascii="仿宋" w:hAnsi="仿宋" w:eastAsia="仿宋" w:cs="仿宋_GB2312"/>
          <w:sz w:val="32"/>
          <w:szCs w:val="32"/>
        </w:rPr>
        <w:t>增加</w:t>
      </w:r>
      <w:r>
        <w:rPr>
          <w:rFonts w:hint="eastAsia" w:ascii="仿宋" w:hAnsi="仿宋" w:eastAsia="仿宋"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cs="仿宋_GB2312"/>
          <w:sz w:val="32"/>
          <w:szCs w:val="32"/>
        </w:rPr>
      </w:pP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21.89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7.66</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31.77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11.1</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自然资源海洋气象等支出212.64万元，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74.34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住房保障支出19.73万元，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6.9</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1.社会保障和就业（类）行政事业单位养老（款）机关事业单位基本养老保险缴费支出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21.89万元，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3.11万元。</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卫生健康（类）行政事业单位医疗（款）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11.63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1.67万元。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 xml:space="preserve"> 卫生健康（类）行政事业单位医疗（款）公务员医疗补助（项）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20.15</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自然资源海洋气象等（类）自然资源事务（款）事业运行（项）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158.41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20.13万元。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住房保障（类）住房改革（款）住房公积金（项）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19.73</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p>
    <w:p>
      <w:pPr>
        <w:ind w:firstLine="640" w:firstLineChars="200"/>
        <w:rPr>
          <w:rFonts w:hint="eastAsia" w:ascii="仿宋_GB2312" w:hAnsi="黑体" w:eastAsia="仿宋_GB2312" w:cs="仿宋_GB2312"/>
          <w:sz w:val="32"/>
          <w:szCs w:val="32"/>
          <w:lang w:val="en-US" w:eastAsia="zh-CN"/>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231.81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220.97</w:t>
      </w:r>
      <w:r>
        <w:rPr>
          <w:rFonts w:hint="eastAsia" w:ascii="仿宋_GB2312" w:hAnsi="黑体" w:eastAsia="仿宋_GB2312"/>
          <w:sz w:val="32"/>
          <w:szCs w:val="32"/>
        </w:rPr>
        <w:t>万元，主要包括：基本工资、津贴补贴、绩效工资、社会保障缴费、住房公积金、</w:t>
      </w:r>
      <w:r>
        <w:rPr>
          <w:rFonts w:hint="eastAsia" w:ascii="仿宋_GB2312" w:hAnsi="黑体" w:eastAsia="仿宋_GB2312"/>
          <w:sz w:val="32"/>
          <w:szCs w:val="32"/>
          <w:lang w:eastAsia="zh-CN"/>
        </w:rPr>
        <w:t>医疗补助</w:t>
      </w:r>
      <w:r>
        <w:rPr>
          <w:rFonts w:hint="eastAsia" w:ascii="仿宋_GB2312" w:hAnsi="黑体" w:eastAsia="仿宋_GB2312"/>
          <w:sz w:val="32"/>
          <w:szCs w:val="32"/>
        </w:rPr>
        <w:t>、</w:t>
      </w:r>
      <w:r>
        <w:rPr>
          <w:rFonts w:hint="eastAsia" w:ascii="仿宋_GB2312" w:hAnsi="黑体" w:eastAsia="仿宋_GB2312"/>
          <w:sz w:val="32"/>
          <w:szCs w:val="32"/>
          <w:lang w:eastAsia="zh-CN"/>
        </w:rPr>
        <w:t>商品和服务支出等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10.84</w:t>
      </w:r>
      <w:r>
        <w:rPr>
          <w:rFonts w:hint="eastAsia" w:ascii="仿宋_GB2312" w:hAnsi="黑体" w:eastAsia="仿宋_GB2312"/>
          <w:sz w:val="32"/>
          <w:szCs w:val="32"/>
        </w:rPr>
        <w:t>万元，主要包括：办公费、水费、电费、邮电费、物业管理费、差旅费、维修（护）费、会议费、培训费、工会经费</w:t>
      </w:r>
      <w:r>
        <w:rPr>
          <w:rFonts w:hint="eastAsia" w:ascii="仿宋_GB2312" w:hAnsi="黑体" w:eastAsia="仿宋_GB2312"/>
          <w:sz w:val="32"/>
          <w:szCs w:val="32"/>
          <w:lang w:eastAsia="zh-CN"/>
        </w:rPr>
        <w:t>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w:t>
      </w:r>
      <w:r>
        <w:rPr>
          <w:rFonts w:ascii="Times New Roman" w:hAnsi="Times New Roman" w:eastAsia="仿宋_GB2312" w:cs="Times New Roman"/>
          <w:sz w:val="32"/>
          <w:shd w:val="clear" w:color="auto" w:fill="FFFFFF"/>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1万元。上年预算中无该项支出，今年由于工作需要新增此项支出，故预算比</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1万元。</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eastAsia" w:ascii="仿宋_GB2312" w:hAnsi="黑体" w:eastAsia="仿宋_GB2312" w:cs="仿宋_GB2312"/>
          <w:sz w:val="32"/>
          <w:szCs w:val="32"/>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rPr>
          <w:rFonts w:hint="eastAsia" w:ascii="仿宋_GB2312" w:hAnsi="黑体" w:eastAsia="仿宋_GB2312" w:cs="仿宋_GB2312"/>
          <w:sz w:val="32"/>
          <w:szCs w:val="32"/>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64</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s="仿宋_GB2312"/>
          <w:sz w:val="32"/>
          <w:szCs w:val="32"/>
        </w:rPr>
      </w:pP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lang w:eastAsia="zh-CN"/>
        </w:rPr>
        <w:t>支出（类）国有土地使用权出让收入安排的支出（款）其他国有土地使用权出让收入安排的支出（项）</w:t>
      </w:r>
      <w:r>
        <w:rPr>
          <w:rFonts w:hint="eastAsia" w:ascii="仿宋" w:hAnsi="仿宋" w:eastAsia="仿宋" w:cs="仿宋_GB2312"/>
          <w:sz w:val="32"/>
          <w:szCs w:val="32"/>
          <w:lang w:val="en-US" w:eastAsia="zh-CN"/>
        </w:rPr>
        <w:t>63</w:t>
      </w:r>
      <w:r>
        <w:rPr>
          <w:rFonts w:hint="eastAsia" w:ascii="仿宋" w:hAnsi="仿宋" w:eastAsia="仿宋" w:cs="仿宋_GB2312"/>
          <w:sz w:val="32"/>
          <w:szCs w:val="32"/>
        </w:rPr>
        <w:t>万元</w:t>
      </w:r>
      <w:r>
        <w:rPr>
          <w:rFonts w:hint="eastAsia" w:ascii="仿宋" w:hAnsi="仿宋" w:eastAsia="仿宋"/>
          <w:sz w:val="32"/>
          <w:szCs w:val="32"/>
        </w:rPr>
        <w:t>，占</w:t>
      </w:r>
      <w:r>
        <w:rPr>
          <w:rFonts w:ascii="仿宋" w:hAnsi="仿宋" w:eastAsia="仿宋" w:cs="仿宋_GB2312"/>
          <w:sz w:val="32"/>
          <w:szCs w:val="32"/>
        </w:rPr>
        <w:t>100</w:t>
      </w:r>
      <w:r>
        <w:rPr>
          <w:rFonts w:ascii="仿宋" w:hAnsi="仿宋" w:eastAsia="仿宋"/>
          <w:sz w:val="32"/>
          <w:szCs w:val="32"/>
        </w:rPr>
        <w:t>%</w:t>
      </w:r>
      <w:r>
        <w:rPr>
          <w:rFonts w:hint="eastAsia" w:ascii="仿宋" w:hAnsi="仿宋" w:eastAsia="仿宋"/>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s="仿宋_GB2312"/>
          <w:sz w:val="32"/>
          <w:szCs w:val="32"/>
        </w:rPr>
      </w:pP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lang w:eastAsia="zh-CN"/>
        </w:rPr>
        <w:t>支出（类）国有土地使用权出让收入安排的支出（款）其他国有土地使用权出让收入安排的支出（项）</w:t>
      </w:r>
      <w:r>
        <w:rPr>
          <w:rFonts w:hint="eastAsia" w:ascii="仿宋" w:hAnsi="仿宋" w:eastAsia="仿宋" w:cs="仿宋_GB2312"/>
          <w:sz w:val="32"/>
          <w:szCs w:val="32"/>
          <w:lang w:val="en-US" w:eastAsia="zh-CN"/>
        </w:rPr>
        <w:t>63</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44.77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zCs w:val="32"/>
          <w:lang w:eastAsia="zh-CN"/>
        </w:rPr>
        <w:t>琼海市不动产登记中心</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349.04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231.81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66.41</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117.23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33.59</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1.8</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w:t>
      </w:r>
      <w:r>
        <w:rPr>
          <w:rFonts w:hint="eastAsia" w:ascii="仿宋_GB2312" w:hAnsi="黑体" w:eastAsia="仿宋_GB2312"/>
          <w:sz w:val="32"/>
          <w:szCs w:val="32"/>
          <w:lang w:eastAsia="zh-CN"/>
        </w:rPr>
        <w:t>琼海市不动产登记中心</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sz w:val="32"/>
          <w:szCs w:val="32"/>
          <w:lang w:eastAsia="zh-CN"/>
        </w:rPr>
        <w:t>琼海市不动产登记中心</w:t>
      </w:r>
      <w:r>
        <w:rPr>
          <w:rFonts w:hint="eastAsia" w:ascii="仿宋_GB2312" w:hAnsi="黑体" w:eastAsia="仿宋_GB2312"/>
          <w:sz w:val="32"/>
          <w:szCs w:val="32"/>
          <w:lang w:val="en-US" w:eastAsia="zh-CN"/>
        </w:rPr>
        <w:t>有13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286.04</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63.00</w:t>
      </w:r>
      <w:r>
        <w:rPr>
          <w:rFonts w:hint="eastAsia" w:ascii="仿宋_GB2312" w:hAnsi="黑体" w:eastAsia="仿宋_GB2312"/>
          <w:sz w:val="32"/>
          <w:szCs w:val="32"/>
        </w:rPr>
        <w:t>万元。</w:t>
      </w:r>
    </w:p>
    <w:p>
      <w:pPr>
        <w:jc w:val="center"/>
        <w:rPr>
          <w:rFonts w:ascii="黑体" w:hAnsi="黑体" w:eastAsia="黑体"/>
          <w:sz w:val="32"/>
          <w:szCs w:val="32"/>
        </w:rPr>
      </w:pPr>
      <w:bookmarkStart w:id="0" w:name="_GoBack"/>
      <w:bookmarkEnd w:id="0"/>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宋体"/>
          <w:color w:val="000000"/>
          <w:kern w:val="0"/>
          <w:sz w:val="32"/>
          <w:szCs w:val="30"/>
          <w:lang w:eastAsia="zh-CN"/>
        </w:rPr>
        <w:t>十三、</w:t>
      </w:r>
      <w:r>
        <w:rPr>
          <w:rFonts w:hint="eastAsia" w:ascii="仿宋_GB2312" w:hAnsi="黑体" w:eastAsia="仿宋_GB2312" w:cs="仿宋_GB2312"/>
          <w:sz w:val="32"/>
          <w:szCs w:val="32"/>
        </w:rPr>
        <w:t>社会保障和就业（类）行政事业单位养老（款）机关事业单位基本养老保险缴费支出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反映机关事业单位实施养老保险制度由单位缴纳的基本养老保险费支出。</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十四、</w:t>
      </w:r>
      <w:r>
        <w:rPr>
          <w:rFonts w:hint="eastAsia" w:ascii="仿宋_GB2312" w:hAnsi="黑体" w:eastAsia="仿宋_GB2312" w:cs="仿宋_GB2312"/>
          <w:sz w:val="32"/>
          <w:szCs w:val="32"/>
        </w:rPr>
        <w:t>卫生健康（类）行政事业单位医疗（款）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单位医疗（项）</w:t>
      </w:r>
      <w:r>
        <w:rPr>
          <w:rFonts w:hint="eastAsia" w:ascii="仿宋_GB2312" w:hAnsi="黑体" w:eastAsia="仿宋_GB2312" w:cs="仿宋_GB2312"/>
          <w:sz w:val="32"/>
          <w:szCs w:val="32"/>
          <w:lang w:eastAsia="zh-CN"/>
        </w:rPr>
        <w:t>反映财政部门安排的事业单位基本医疗保险缴费经费，未参加医疗保险的事业单位的公费医疗经费，岸国家规定享受离休人员待遇的医疗经费。</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十五、</w:t>
      </w:r>
      <w:r>
        <w:rPr>
          <w:rFonts w:hint="eastAsia" w:ascii="仿宋_GB2312" w:hAnsi="黑体" w:eastAsia="仿宋_GB2312" w:cs="仿宋_GB2312"/>
          <w:sz w:val="32"/>
          <w:szCs w:val="32"/>
        </w:rPr>
        <w:t xml:space="preserve">卫生健康（类）行政事业单位医疗（款）公务员医疗补助（项）反映财政部门安排的公务员医疗补助经费。 </w:t>
      </w:r>
    </w:p>
    <w:p>
      <w:pPr>
        <w:ind w:firstLine="640" w:firstLineChars="200"/>
        <w:jc w:val="left"/>
        <w:rPr>
          <w:rFonts w:hint="eastAsia" w:ascii="仿宋_GB2312" w:hAnsi="黑体" w:eastAsia="仿宋_GB2312" w:cs="仿宋_GB2312"/>
          <w:sz w:val="32"/>
          <w:szCs w:val="32"/>
          <w:lang w:eastAsia="zh-CN"/>
        </w:rPr>
      </w:pPr>
      <w:r>
        <w:rPr>
          <w:rFonts w:hint="eastAsia" w:ascii="仿宋_GB2312" w:hAnsi="宋体" w:eastAsia="仿宋_GB2312" w:cs="宋体"/>
          <w:color w:val="000000"/>
          <w:kern w:val="0"/>
          <w:sz w:val="32"/>
          <w:szCs w:val="30"/>
          <w:lang w:eastAsia="zh-CN"/>
        </w:rPr>
        <w:t>十六、</w:t>
      </w:r>
      <w:r>
        <w:rPr>
          <w:rFonts w:hint="eastAsia" w:ascii="仿宋_GB2312" w:hAnsi="黑体" w:eastAsia="仿宋_GB2312" w:cs="仿宋_GB2312"/>
          <w:sz w:val="32"/>
          <w:szCs w:val="32"/>
        </w:rPr>
        <w:t>自然资源海洋气象等（类）自然资源事务（款）事业运行（项）</w:t>
      </w:r>
      <w:r>
        <w:rPr>
          <w:rFonts w:hint="eastAsia" w:ascii="仿宋_GB2312" w:hAnsi="黑体" w:eastAsia="仿宋_GB2312" w:cs="仿宋_GB2312"/>
          <w:sz w:val="32"/>
          <w:szCs w:val="32"/>
          <w:lang w:eastAsia="zh-CN"/>
        </w:rPr>
        <w:t>反映事业单位的基本支出，不包括行政单位（包括实行公务员管理的事业单位）后勤服务中心、医疗室等附属事业单位。</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十七、</w:t>
      </w:r>
      <w:r>
        <w:rPr>
          <w:rFonts w:hint="eastAsia" w:ascii="仿宋_GB2312" w:hAnsi="黑体" w:eastAsia="仿宋_GB2312" w:cs="仿宋_GB2312"/>
          <w:sz w:val="32"/>
          <w:szCs w:val="32"/>
        </w:rPr>
        <w:t>住房保障支出（类）住房改革支出（款）住房公积金（项）反映行政事业单位按人力资源和社会保障部、财政部规定的基本工资和津贴补贴以及规定比例为职工缴纳的住房公积金。</w:t>
      </w: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0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5"/>
    <w:multiLevelType w:val="multilevel"/>
    <w:tmpl w:val="000000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27E1F40"/>
    <w:rsid w:val="070154FA"/>
    <w:rsid w:val="0915400E"/>
    <w:rsid w:val="0BD35F01"/>
    <w:rsid w:val="106568F1"/>
    <w:rsid w:val="280649CF"/>
    <w:rsid w:val="29F367CF"/>
    <w:rsid w:val="317E03F9"/>
    <w:rsid w:val="34A306F9"/>
    <w:rsid w:val="3918275B"/>
    <w:rsid w:val="3DDD1548"/>
    <w:rsid w:val="411A7056"/>
    <w:rsid w:val="4211017C"/>
    <w:rsid w:val="42AA68F4"/>
    <w:rsid w:val="43720A71"/>
    <w:rsid w:val="461032DA"/>
    <w:rsid w:val="4E475FAD"/>
    <w:rsid w:val="57E049F7"/>
    <w:rsid w:val="5E8E2E82"/>
    <w:rsid w:val="657513C6"/>
    <w:rsid w:val="671D3584"/>
    <w:rsid w:val="67F50C07"/>
    <w:rsid w:val="685C5160"/>
    <w:rsid w:val="6D755844"/>
    <w:rsid w:val="715645DD"/>
    <w:rsid w:val="76C779B2"/>
    <w:rsid w:val="776C0EE7"/>
    <w:rsid w:val="78D63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_8bb30b41-7097-446e-a156-2f1396e1d677"/>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font71"/>
    <w:basedOn w:val="5"/>
    <w:qFormat/>
    <w:uiPriority w:val="0"/>
    <w:rPr>
      <w:rFonts w:hint="default" w:ascii="Times New Roman" w:hAnsi="楷体_GB2312"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3709</Words>
  <Characters>3804</Characters>
  <Lines>0</Lines>
  <Paragraphs>111</Paragraphs>
  <TotalTime>4</TotalTime>
  <ScaleCrop>false</ScaleCrop>
  <LinksUpToDate>false</LinksUpToDate>
  <CharactersWithSpaces>3833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2021-03-26T09:07:16Z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A4E88BA26B5B4DABB56A74380F284109</vt:lpwstr>
  </property>
</Properties>
</file>