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u w:val="single"/>
        </w:rPr>
      </w:pPr>
    </w:p>
    <w:p>
      <w:pPr>
        <w:jc w:val="center"/>
        <w:rPr>
          <w:sz w:val="84"/>
          <w:szCs w:val="84"/>
          <w:u w:val="single"/>
        </w:rPr>
      </w:pPr>
    </w:p>
    <w:p>
      <w:pPr>
        <w:jc w:val="center"/>
        <w:rPr>
          <w:sz w:val="84"/>
          <w:szCs w:val="84"/>
          <w:u w:val="single"/>
        </w:rPr>
      </w:pPr>
    </w:p>
    <w:p>
      <w:pPr>
        <w:jc w:val="center"/>
        <w:rPr>
          <w:sz w:val="84"/>
          <w:szCs w:val="84"/>
          <w:u w:val="single"/>
        </w:rPr>
      </w:pPr>
    </w:p>
    <w:p>
      <w:pPr>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202</w:t>
      </w:r>
      <w:r>
        <w:rPr>
          <w:rFonts w:hint="eastAsia" w:ascii="宋体" w:hAnsi="宋体" w:cs="宋体"/>
          <w:b/>
          <w:bCs/>
          <w:sz w:val="52"/>
          <w:szCs w:val="52"/>
          <w:lang w:val="en-US" w:eastAsia="zh-CN"/>
        </w:rPr>
        <w:t>4</w:t>
      </w:r>
      <w:r>
        <w:rPr>
          <w:rFonts w:hint="eastAsia" w:ascii="宋体" w:hAnsi="宋体" w:eastAsia="宋体" w:cs="宋体"/>
          <w:b/>
          <w:bCs/>
          <w:sz w:val="52"/>
          <w:szCs w:val="52"/>
        </w:rPr>
        <w:t>年</w:t>
      </w:r>
    </w:p>
    <w:p>
      <w:pPr>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琼海市土地储备整理交易中心</w:t>
      </w:r>
      <w:bookmarkStart w:id="0" w:name="_GoBack"/>
      <w:bookmarkEnd w:id="0"/>
    </w:p>
    <w:p>
      <w:pPr>
        <w:jc w:val="center"/>
        <w:rPr>
          <w:b/>
          <w:bCs/>
          <w:sz w:val="52"/>
          <w:szCs w:val="52"/>
        </w:rPr>
      </w:pPr>
      <w:r>
        <w:rPr>
          <w:rFonts w:hint="eastAsia" w:ascii="宋体" w:hAnsi="宋体" w:eastAsia="宋体" w:cs="宋体"/>
          <w:b/>
          <w:bCs/>
          <w:sz w:val="52"/>
          <w:szCs w:val="52"/>
          <w:lang w:eastAsia="zh-CN"/>
        </w:rPr>
        <w:t>单位</w:t>
      </w:r>
      <w:r>
        <w:rPr>
          <w:rFonts w:hint="eastAsia" w:ascii="宋体" w:hAnsi="宋体" w:eastAsia="宋体" w:cs="宋体"/>
          <w:b/>
          <w:bCs/>
          <w:sz w:val="52"/>
          <w:szCs w:val="52"/>
        </w:rPr>
        <w:t>预算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琼海市土地储备整理交易中心</w:t>
      </w:r>
      <w:r>
        <w:rPr>
          <w:rFonts w:hint="eastAsia" w:ascii="黑体" w:hAnsi="黑体" w:eastAsia="黑体"/>
          <w:sz w:val="32"/>
          <w:szCs w:val="32"/>
        </w:rPr>
        <w:t>概况</w:t>
      </w:r>
    </w:p>
    <w:p>
      <w:pPr>
        <w:pStyle w:val="10"/>
        <w:numPr>
          <w:ilvl w:val="0"/>
          <w:numId w:val="2"/>
        </w:numPr>
        <w:ind w:firstLineChars="0"/>
        <w:jc w:val="left"/>
        <w:rPr>
          <w:rFonts w:hint="eastAsia" w:ascii="仿宋_GB2312" w:hAnsi="黑体" w:eastAsia="仿宋_GB2312" w:cs="黑体"/>
          <w:kern w:val="2"/>
          <w:sz w:val="32"/>
          <w:szCs w:val="32"/>
          <w:lang w:val="en-US" w:eastAsia="zh-CN" w:bidi="ar-SA"/>
        </w:rPr>
      </w:pPr>
      <w:r>
        <w:rPr>
          <w:rFonts w:hint="eastAsia" w:ascii="仿宋_GB2312" w:hAnsi="黑体" w:eastAsia="仿宋_GB2312" w:cs="黑体"/>
          <w:kern w:val="2"/>
          <w:sz w:val="32"/>
          <w:szCs w:val="32"/>
          <w:lang w:val="en-US" w:eastAsia="zh-CN" w:bidi="ar-SA"/>
        </w:rPr>
        <w:t>主要职能</w:t>
      </w:r>
    </w:p>
    <w:p>
      <w:pPr>
        <w:pStyle w:val="10"/>
        <w:numPr>
          <w:ilvl w:val="0"/>
          <w:numId w:val="2"/>
        </w:numPr>
        <w:ind w:firstLineChars="0"/>
        <w:jc w:val="left"/>
        <w:rPr>
          <w:rFonts w:hint="eastAsia" w:ascii="仿宋_GB2312" w:hAnsi="黑体" w:eastAsia="仿宋_GB2312" w:cs="黑体"/>
          <w:kern w:val="2"/>
          <w:sz w:val="32"/>
          <w:szCs w:val="32"/>
          <w:lang w:val="en-US" w:eastAsia="zh-CN" w:bidi="ar-SA"/>
        </w:rPr>
      </w:pPr>
      <w:r>
        <w:rPr>
          <w:rFonts w:hint="eastAsia" w:ascii="仿宋_GB2312" w:hAnsi="黑体" w:eastAsia="仿宋_GB2312" w:cs="黑体"/>
          <w:kern w:val="2"/>
          <w:sz w:val="32"/>
          <w:szCs w:val="32"/>
          <w:lang w:val="en-US" w:eastAsia="zh-CN" w:bidi="ar-SA"/>
        </w:rPr>
        <w:t>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琼海市土地储备整理交易中心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琼海市土地储备整理交易中心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w:t>
      </w:r>
    </w:p>
    <w:p>
      <w:pPr>
        <w:pStyle w:val="6"/>
        <w:numPr>
          <w:ilvl w:val="-1"/>
          <w:numId w:val="0"/>
        </w:numPr>
        <w:ind w:left="0" w:firstLine="1600" w:firstLineChars="500"/>
        <w:jc w:val="left"/>
        <w:rPr>
          <w:rFonts w:ascii="仿宋_GB2312" w:hAnsi="仿宋_GB2312" w:eastAsia="仿宋_GB2312" w:cs="仿宋_GB2312"/>
          <w:sz w:val="32"/>
          <w:szCs w:val="32"/>
        </w:rPr>
      </w:pPr>
      <w:r>
        <w:rPr>
          <w:rFonts w:hint="eastAsia" w:ascii="黑体" w:hAnsi="黑体" w:eastAsia="黑体"/>
          <w:sz w:val="32"/>
          <w:szCs w:val="32"/>
        </w:rPr>
        <w:t>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0" w:leftChars="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0"/>
        </w:numPr>
        <w:ind w:leftChars="0"/>
        <w:jc w:val="center"/>
        <w:rPr>
          <w:rFonts w:hint="eastAsia" w:ascii="黑体" w:hAnsi="黑体" w:eastAsia="黑体" w:cs="黑体"/>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cs="黑体"/>
          <w:sz w:val="32"/>
          <w:szCs w:val="32"/>
          <w:lang w:eastAsia="zh-CN"/>
        </w:rPr>
        <w:t>琼海市土地储备整理交易中心</w:t>
      </w:r>
      <w:r>
        <w:rPr>
          <w:rFonts w:hint="eastAsia" w:ascii="黑体" w:hAnsi="黑体" w:eastAsia="黑体"/>
          <w:sz w:val="32"/>
          <w:szCs w:val="32"/>
        </w:rPr>
        <w:t>概况</w:t>
      </w:r>
    </w:p>
    <w:p>
      <w:pPr>
        <w:pStyle w:val="6"/>
        <w:numPr>
          <w:ilvl w:val="-1"/>
          <w:numId w:val="0"/>
        </w:numPr>
        <w:ind w:left="0" w:firstLine="0" w:firstLineChars="0"/>
        <w:jc w:val="left"/>
        <w:rPr>
          <w:rFonts w:ascii="黑体" w:hAnsi="黑体" w:eastAsia="黑体" w:cs="仿宋_GB2312"/>
          <w:sz w:val="32"/>
          <w:szCs w:val="32"/>
        </w:rPr>
      </w:pPr>
    </w:p>
    <w:p>
      <w:pPr>
        <w:pStyle w:val="6"/>
        <w:numPr>
          <w:ilvl w:val="-1"/>
          <w:numId w:val="0"/>
        </w:numPr>
        <w:ind w:left="0" w:leftChars="0" w:firstLine="640" w:firstLineChars="200"/>
        <w:jc w:val="both"/>
        <w:rPr>
          <w:rFonts w:hint="eastAsia" w:ascii="仿宋_GB2312" w:hAnsi="黑体" w:eastAsia="仿宋_GB2312" w:cs="黑体"/>
          <w:kern w:val="2"/>
          <w:sz w:val="32"/>
          <w:szCs w:val="32"/>
          <w:lang w:val="en-US" w:eastAsia="zh-CN" w:bidi="ar-SA"/>
        </w:rPr>
      </w:pPr>
      <w:r>
        <w:rPr>
          <w:rFonts w:hint="eastAsia" w:ascii="黑体" w:hAnsi="黑体" w:eastAsia="黑体" w:cs="黑体"/>
          <w:kern w:val="2"/>
          <w:sz w:val="32"/>
          <w:szCs w:val="32"/>
          <w:lang w:val="en-US" w:eastAsia="zh-CN" w:bidi="ar-SA"/>
        </w:rPr>
        <w:t>一、主要职能</w:t>
      </w:r>
    </w:p>
    <w:p>
      <w:pPr>
        <w:pStyle w:val="6"/>
        <w:numPr>
          <w:ilvl w:val="-1"/>
          <w:numId w:val="0"/>
        </w:numPr>
        <w:ind w:left="0" w:leftChars="0" w:firstLine="640" w:firstLineChars="200"/>
        <w:jc w:val="both"/>
        <w:rPr>
          <w:rFonts w:hint="eastAsia" w:ascii="仿宋_GB2312" w:hAnsi="黑体" w:eastAsia="仿宋_GB2312" w:cs="黑体"/>
          <w:kern w:val="2"/>
          <w:sz w:val="32"/>
          <w:szCs w:val="32"/>
          <w:lang w:val="en-US" w:eastAsia="zh-CN" w:bidi="ar-SA"/>
        </w:rPr>
      </w:pPr>
      <w:r>
        <w:rPr>
          <w:rFonts w:hint="eastAsia" w:ascii="仿宋_GB2312" w:hAnsi="黑体" w:eastAsia="仿宋_GB2312" w:cs="黑体"/>
          <w:kern w:val="2"/>
          <w:sz w:val="32"/>
          <w:szCs w:val="32"/>
          <w:lang w:val="en-US" w:eastAsia="zh-CN" w:bidi="ar-SA"/>
        </w:rPr>
        <w:t>琼海市土地储备整理交易中心成立于2006年6月，隶属于琼海市自然资源和规划局，是为了保护与合理利用土地提供专业技术和交易服务的副科级事业单位，纳入</w:t>
      </w:r>
      <w:r>
        <w:rPr>
          <w:rFonts w:hint="eastAsia" w:ascii="仿宋" w:hAnsi="仿宋" w:eastAsia="仿宋" w:cs="Times New Roman"/>
          <w:kern w:val="2"/>
          <w:sz w:val="32"/>
          <w:szCs w:val="32"/>
          <w:lang w:val="en-US" w:eastAsia="zh-CN" w:bidi="ar"/>
        </w:rPr>
        <w:t>财政预算管理</w:t>
      </w:r>
      <w:r>
        <w:rPr>
          <w:rFonts w:hint="eastAsia" w:ascii="仿宋_GB2312" w:hAnsi="黑体" w:eastAsia="仿宋_GB2312" w:cs="黑体"/>
          <w:kern w:val="2"/>
          <w:sz w:val="32"/>
          <w:szCs w:val="32"/>
          <w:lang w:val="en-US" w:eastAsia="zh-CN" w:bidi="ar-SA"/>
        </w:rPr>
        <w:t>。主要工作任务和职责范围是：1、协助实施市政府的土地收购、储备工作计划，负责管理和使用土地储备整理专项资金，对政府征用、回收、收购的土地进行评估、整理与储备；2、受市政府委托，实施国有土地使用权招标、拍卖、挂牌交易等活动；3、提供储备土地交易场所，开展交易信息和咨询服务，办理交易相关手续事宜；4、承办上级主管部门交办的其他工作。</w:t>
      </w:r>
    </w:p>
    <w:p>
      <w:pPr>
        <w:pStyle w:val="6"/>
        <w:numPr>
          <w:ilvl w:val="-1"/>
          <w:numId w:val="0"/>
        </w:numPr>
        <w:ind w:left="0" w:leftChars="0"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二、预算单位构成</w:t>
      </w:r>
    </w:p>
    <w:p>
      <w:pPr>
        <w:pStyle w:val="6"/>
        <w:numPr>
          <w:ilvl w:val="-1"/>
          <w:numId w:val="0"/>
        </w:numPr>
        <w:ind w:left="0" w:leftChars="0" w:firstLine="640" w:firstLineChars="200"/>
        <w:jc w:val="both"/>
        <w:rPr>
          <w:rFonts w:hint="eastAsia" w:ascii="仿宋_GB2312" w:hAnsi="黑体" w:eastAsia="仿宋_GB2312" w:cs="黑体"/>
          <w:kern w:val="2"/>
          <w:sz w:val="32"/>
          <w:szCs w:val="32"/>
          <w:lang w:val="en-US" w:eastAsia="zh-CN" w:bidi="ar-SA"/>
        </w:rPr>
      </w:pPr>
      <w:r>
        <w:rPr>
          <w:rFonts w:hint="eastAsia" w:ascii="仿宋_GB2312" w:hAnsi="黑体" w:eastAsia="仿宋_GB2312" w:cs="黑体"/>
          <w:kern w:val="2"/>
          <w:sz w:val="32"/>
          <w:szCs w:val="32"/>
          <w:lang w:val="en-US" w:eastAsia="zh-CN" w:bidi="ar-SA"/>
        </w:rPr>
        <w:t>琼海市土地储备整理交易中心内设综合部、土地储备部、土地整理部、土地交易部四个股室。</w:t>
      </w:r>
    </w:p>
    <w:p>
      <w:pPr>
        <w:ind w:left="0" w:leftChars="0" w:firstLine="0" w:firstLineChars="0"/>
        <w:jc w:val="left"/>
        <w:rPr>
          <w:rFonts w:hint="eastAsia" w:ascii="仿宋_GB2312" w:hAnsi="仿宋_GB2312" w:eastAsia="仿宋_GB2312" w:cs="仿宋_GB2312"/>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琼海市土地储备整理交易中心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ind w:left="0"/>
        <w:jc w:val="left"/>
        <w:rPr>
          <w:rFonts w:ascii="仿宋_GB2312" w:hAnsi="仿宋_GB2312" w:eastAsia="仿宋_GB2312" w:cs="仿宋_GB2312"/>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ind w:firstLine="0" w:firstLineChars="0"/>
        <w:jc w:val="center"/>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琼海市土地储备整理交易中心</w:t>
      </w:r>
      <w:r>
        <w:rPr>
          <w:rFonts w:hint="eastAsia" w:ascii="黑体" w:hAnsi="黑体" w:eastAsia="黑体" w:cs="黑体"/>
          <w:sz w:val="32"/>
          <w:szCs w:val="32"/>
          <w:lang w:val="en-US" w:eastAsia="zh-CN"/>
        </w:rPr>
        <w:t>2024</w:t>
      </w:r>
      <w:r>
        <w:rPr>
          <w:rFonts w:hint="eastAsia" w:ascii="黑体" w:hAnsi="黑体" w:eastAsia="黑体"/>
          <w:sz w:val="32"/>
          <w:szCs w:val="32"/>
        </w:rPr>
        <w:t>年单位预算</w:t>
      </w:r>
    </w:p>
    <w:p>
      <w:pPr>
        <w:ind w:firstLine="0" w:firstLineChars="0"/>
        <w:jc w:val="center"/>
        <w:rPr>
          <w:rFonts w:hint="eastAsia" w:ascii="黑体" w:hAnsi="黑体" w:eastAsia="黑体"/>
          <w:sz w:val="32"/>
          <w:szCs w:val="32"/>
        </w:rPr>
      </w:pPr>
      <w:r>
        <w:rPr>
          <w:rFonts w:hint="eastAsia" w:ascii="黑体" w:hAnsi="黑体" w:eastAsia="黑体"/>
          <w:sz w:val="32"/>
          <w:szCs w:val="32"/>
        </w:rPr>
        <w:t>情况说明</w:t>
      </w:r>
    </w:p>
    <w:p>
      <w:pPr>
        <w:jc w:val="left"/>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琼海市土地储备整理交易中心</w:t>
      </w:r>
      <w:r>
        <w:rPr>
          <w:rFonts w:hint="eastAsia" w:ascii="黑体" w:hAnsi="黑体" w:eastAsia="黑体" w:cs="黑体"/>
          <w:sz w:val="32"/>
          <w:szCs w:val="32"/>
          <w:lang w:val="en-US" w:eastAsia="zh-CN"/>
        </w:rPr>
        <w:t xml:space="preserve"> 2024</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琼海市土地储备整理交易中心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1,046.74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1,046.74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727.74</w:t>
      </w:r>
      <w:r>
        <w:rPr>
          <w:rFonts w:hint="eastAsia" w:ascii="仿宋_GB2312" w:hAnsi="黑体" w:eastAsia="仿宋_GB2312"/>
          <w:sz w:val="32"/>
          <w:szCs w:val="32"/>
        </w:rPr>
        <w:t>万元、</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lang w:val="en-US" w:eastAsia="zh-CN"/>
        </w:rPr>
        <w:t>319.00</w:t>
      </w:r>
      <w:r>
        <w:rPr>
          <w:rFonts w:hint="eastAsia" w:ascii="仿宋_GB2312" w:hAnsi="黑体" w:eastAsia="仿宋_GB2312"/>
          <w:sz w:val="32"/>
          <w:szCs w:val="32"/>
        </w:rPr>
        <w:t>万元、</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1,046.74</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46.30</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highlight w:val="none"/>
          <w:lang w:val="en-US" w:eastAsia="zh-CN"/>
        </w:rPr>
        <w:t>33.02</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319.00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7.00万元、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619.09万元、住房保障支出</w:t>
      </w:r>
      <w:r>
        <w:rPr>
          <w:rFonts w:hint="eastAsia" w:ascii="仿宋_GB2312" w:hAnsi="黑体" w:eastAsia="仿宋_GB2312"/>
          <w:sz w:val="32"/>
          <w:szCs w:val="32"/>
          <w:highlight w:val="none"/>
          <w:lang w:val="en-US" w:eastAsia="zh-CN"/>
        </w:rPr>
        <w:t>22.32</w:t>
      </w:r>
      <w:r>
        <w:rPr>
          <w:rFonts w:hint="eastAsia" w:ascii="仿宋_GB2312" w:hAnsi="黑体" w:eastAsia="仿宋_GB2312"/>
          <w:sz w:val="32"/>
          <w:szCs w:val="32"/>
          <w:lang w:val="en-US" w:eastAsia="zh-CN"/>
        </w:rPr>
        <w:t>万元，结转下年0万元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琼海市土地储备整理交易中心</w:t>
      </w:r>
      <w:r>
        <w:rPr>
          <w:rFonts w:hint="eastAsia" w:ascii="黑体" w:hAnsi="黑体" w:eastAsia="黑体" w:cs="黑体"/>
          <w:sz w:val="32"/>
          <w:szCs w:val="32"/>
          <w:lang w:val="en-US" w:eastAsia="zh-CN"/>
        </w:rPr>
        <w:t xml:space="preserve"> 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琼海市土地储备整理交易中心</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727.74</w:t>
      </w:r>
      <w:r>
        <w:rPr>
          <w:rFonts w:hint="eastAsia" w:ascii="仿宋_GB2312" w:hAnsi="黑体" w:eastAsia="仿宋_GB2312"/>
          <w:sz w:val="32"/>
          <w:szCs w:val="32"/>
        </w:rPr>
        <w:t>万元，比上年预算数</w:t>
      </w:r>
      <w:r>
        <w:rPr>
          <w:rFonts w:hint="eastAsia" w:ascii="仿宋_GB2312" w:hAnsi="黑体" w:eastAsia="仿宋_GB2312" w:cs="黑体"/>
          <w:sz w:val="32"/>
          <w:szCs w:val="32"/>
          <w:lang w:eastAsia="zh-CN"/>
        </w:rPr>
        <w:t>增加</w:t>
      </w:r>
      <w:r>
        <w:rPr>
          <w:rFonts w:hint="eastAsia" w:ascii="仿宋_GB2312" w:hAnsi="黑体" w:eastAsia="仿宋_GB2312" w:cs="黑体"/>
          <w:sz w:val="32"/>
          <w:szCs w:val="32"/>
          <w:lang w:val="en-US" w:eastAsia="zh-CN"/>
        </w:rPr>
        <w:t>473.39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预算项目增加和人员经费增加。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46.30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6.36</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highlight w:val="none"/>
          <w:lang w:val="en-US" w:eastAsia="zh-CN"/>
        </w:rPr>
        <w:t>33.02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4.54</w:t>
      </w:r>
      <w:r>
        <w:rPr>
          <w:rFonts w:hint="eastAsia" w:ascii="仿宋_GB2312" w:hAnsi="黑体" w:eastAsia="仿宋_GB2312"/>
          <w:sz w:val="32"/>
          <w:szCs w:val="32"/>
        </w:rPr>
        <w:t>%；</w:t>
      </w:r>
      <w:r>
        <w:rPr>
          <w:rFonts w:hint="eastAsia" w:ascii="仿宋_GB2312" w:hAnsi="黑体" w:eastAsia="仿宋_GB2312"/>
          <w:sz w:val="32"/>
          <w:szCs w:val="32"/>
          <w:lang w:eastAsia="zh-CN"/>
        </w:rPr>
        <w:t>农林水（类）支出</w:t>
      </w:r>
      <w:r>
        <w:rPr>
          <w:rFonts w:hint="eastAsia" w:ascii="仿宋_GB2312" w:hAnsi="黑体" w:eastAsia="仿宋_GB2312"/>
          <w:sz w:val="32"/>
          <w:szCs w:val="32"/>
          <w:lang w:val="en-US" w:eastAsia="zh-CN"/>
        </w:rPr>
        <w:t>7.00万元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0.96</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自然资源海洋气象等</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619.09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85.07</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highlight w:val="none"/>
          <w:lang w:val="en-US" w:eastAsia="zh-CN"/>
        </w:rPr>
        <w:t>22.32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3.07</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新增的人员入职和相关的缴费基数增加。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新增预算项目。</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11.17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新增的人员入职和相关的缴费基数增加。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highlight w:val="none"/>
          <w:lang w:val="en-US" w:eastAsia="zh-CN"/>
        </w:rPr>
        <w:t>21.85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新增的人员入职和相关的缴费基数增加。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其他农业农村支出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新增预算项目。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自然资源海洋气象等支出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自然资源利用与保护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391.00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391.00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新增预算项目。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自然资源海洋气象等支出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191.43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自然资源海洋气象等支出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其他自然资源事务支出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36.67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预算项目增加。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22.32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新增的人员入职和相关的缴费基数增加。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琼海市土地储备整理交易中心</w:t>
      </w:r>
      <w:r>
        <w:rPr>
          <w:rFonts w:hint="eastAsia" w:ascii="黑体" w:hAnsi="黑体" w:eastAsia="黑体"/>
          <w:sz w:val="32"/>
          <w:szCs w:val="32"/>
          <w:lang w:val="en-US" w:eastAsia="zh-CN"/>
        </w:rPr>
        <w:t xml:space="preserve"> 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琼海市土地储备整理交易中心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293.07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271.49</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21.58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邮电费、差旅费、维修（护）费、工会经费、公务用车运行维护费等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关于</w:t>
      </w:r>
      <w:r>
        <w:rPr>
          <w:rFonts w:hint="default" w:ascii="黑体" w:hAnsi="黑体" w:eastAsia="黑体" w:cs="Times New Roman"/>
          <w:sz w:val="32"/>
          <w:szCs w:val="22"/>
          <w:shd w:val="clear" w:color="auto" w:fill="FFFFFF"/>
          <w:lang w:eastAsia="zh-CN"/>
        </w:rPr>
        <w:t>琼海市土地储备整理交易中心</w:t>
      </w:r>
      <w:r>
        <w:rPr>
          <w:rFonts w:hint="eastAsia" w:ascii="黑体" w:hAnsi="黑体" w:eastAsia="黑体" w:cs="Times New Roman"/>
          <w:sz w:val="32"/>
          <w:szCs w:val="22"/>
          <w:shd w:val="clear" w:color="auto" w:fill="FFFFFF"/>
          <w:lang w:val="en-US" w:eastAsia="zh-CN"/>
        </w:rPr>
        <w:t xml:space="preserve"> </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琼海市土地储备整理交易中心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sz w:val="32"/>
          <w:szCs w:val="32"/>
          <w:lang w:eastAsia="zh-CN"/>
        </w:rPr>
        <w:t>因公出国（境）经费0万元，与上年预算持平。</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万元（其中，</w:t>
      </w:r>
      <w:r>
        <w:rPr>
          <w:rFonts w:hint="eastAsia" w:ascii="仿宋_GB2312" w:hAnsi="黑体" w:eastAsia="仿宋_GB2312"/>
          <w:sz w:val="32"/>
          <w:szCs w:val="32"/>
          <w:lang w:eastAsia="zh-CN"/>
        </w:rPr>
        <w:t>公务用车购置费0万元、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lang w:eastAsia="zh-CN"/>
        </w:rPr>
        <w:t>公务接待费0万元，与上年预算持平。</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（二）</w:t>
      </w:r>
      <w:r>
        <w:rPr>
          <w:rFonts w:hint="eastAsia" w:ascii="仿宋_GB2312" w:hAnsi="黑体" w:eastAsia="仿宋_GB2312"/>
          <w:sz w:val="32"/>
          <w:szCs w:val="32"/>
          <w:highlight w:val="none"/>
          <w:lang w:eastAsia="zh-CN"/>
        </w:rPr>
        <w:t>琼海市土地储备整理交易中心</w:t>
      </w:r>
      <w:r>
        <w:rPr>
          <w:rFonts w:hint="eastAsia" w:ascii="仿宋_GB2312" w:hAnsi="黑体" w:eastAsia="仿宋_GB2312"/>
          <w:sz w:val="32"/>
          <w:szCs w:val="32"/>
          <w:highlight w:val="none"/>
          <w:lang w:val="en-US" w:eastAsia="zh-CN"/>
        </w:rPr>
        <w:t>2024</w:t>
      </w:r>
      <w:r>
        <w:rPr>
          <w:rFonts w:hint="eastAsia" w:ascii="仿宋_GB2312" w:hAnsi="黑体" w:eastAsia="仿宋_GB2312"/>
          <w:sz w:val="32"/>
          <w:szCs w:val="32"/>
          <w:highlight w:val="none"/>
        </w:rPr>
        <w:t>年政府性基金预算“三公”经费预算数为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，其中：</w:t>
      </w:r>
    </w:p>
    <w:p>
      <w:pPr>
        <w:ind w:firstLine="640" w:firstLineChars="200"/>
        <w:rPr>
          <w:rFonts w:ascii="Times New Roman" w:hAnsi="Times New Roman" w:eastAsia="仿宋_GB2312" w:cs="Times New Roman"/>
          <w:sz w:val="32"/>
          <w:highlight w:val="none"/>
          <w:shd w:val="clear" w:color="auto" w:fill="FFFFFF"/>
        </w:rPr>
      </w:pPr>
      <w:r>
        <w:rPr>
          <w:rFonts w:hint="eastAsia" w:ascii="仿宋_GB2312" w:hAnsi="黑体" w:eastAsia="仿宋_GB2312"/>
          <w:sz w:val="32"/>
          <w:szCs w:val="32"/>
          <w:lang w:eastAsia="zh-CN"/>
        </w:rPr>
        <w:t>因公出国（境）经费0万元，与上年预算持平。公务用车购置及运行费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万元，与上年预算持平。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lang w:eastAsia="zh-CN"/>
        </w:rPr>
        <w:t>公务接待费0万元，与上年预算持平。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default" w:ascii="黑体" w:hAnsi="黑体" w:eastAsia="黑体" w:cs="Times New Roman"/>
          <w:sz w:val="32"/>
          <w:szCs w:val="22"/>
          <w:shd w:val="clear" w:color="auto" w:fill="FFFFFF"/>
          <w:lang w:eastAsia="zh-CN"/>
        </w:rPr>
        <w:t>琼海市土地储备整理交易中心</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琼海市土地储备整理交易中心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319.00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139.25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预算项目和预算金额增加</w:t>
      </w:r>
      <w:r>
        <w:rPr>
          <w:rFonts w:hint="eastAsia" w:ascii="仿宋_GB2312" w:hAnsi="黑体" w:eastAsia="仿宋_GB2312"/>
          <w:sz w:val="32"/>
          <w:szCs w:val="32"/>
        </w:rPr>
        <w:t>。</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319.00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firstLineChars="20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国有土地收益基金安排的支出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其他国有土地收益基金支出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41.00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新增预算项目</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农业土地开发资金安排的支出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278.00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278.00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新增预算项目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琼海市土地储备整理交易中心</w:t>
      </w:r>
      <w:r>
        <w:rPr>
          <w:rFonts w:hint="eastAsia" w:ascii="黑体" w:hAnsi="黑体" w:eastAsia="黑体" w:cs="Times New Roman"/>
          <w:sz w:val="32"/>
          <w:szCs w:val="22"/>
          <w:shd w:val="clear" w:color="auto" w:fill="FFFFFF"/>
          <w:lang w:val="en-US" w:eastAsia="zh-CN"/>
        </w:rPr>
        <w:t xml:space="preserve"> 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琼海市土地储备整理交易中心</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预算管理。收入包括：一般公共预算收入、政府性基金</w:t>
      </w:r>
      <w:r>
        <w:rPr>
          <w:rFonts w:hint="eastAsia" w:ascii="仿宋_GB2312" w:hAnsi="黑体" w:eastAsia="仿宋_GB2312" w:cs="仿宋_GB2312"/>
          <w:sz w:val="32"/>
          <w:szCs w:val="32"/>
          <w:lang w:eastAsia="zh-CN"/>
        </w:rPr>
        <w:t>预算</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社会保障和就业支出、卫生健康支出、城乡社区支出、农林水支出、自然资源海洋气象等支出、住房保障支出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琼海市土地储备整理交易中心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1,046.74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琼海市土地储备整理交易中心</w:t>
      </w:r>
      <w:r>
        <w:rPr>
          <w:rFonts w:hint="eastAsia" w:ascii="黑体" w:hAnsi="黑体" w:eastAsia="黑体" w:cs="Times New Roman"/>
          <w:sz w:val="32"/>
          <w:szCs w:val="22"/>
          <w:shd w:val="clear" w:color="auto" w:fill="FFFFFF"/>
          <w:lang w:val="en-US" w:eastAsia="zh-CN"/>
        </w:rPr>
        <w:t xml:space="preserve"> 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琼海市土地储备整理交易中心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1,046.74</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一般公共预算拨款收入</w:t>
      </w:r>
      <w:r>
        <w:rPr>
          <w:rFonts w:hint="eastAsia" w:ascii="仿宋_GB2312" w:hAnsi="黑体" w:eastAsia="仿宋_GB2312" w:cs="仿宋_GB2312"/>
          <w:sz w:val="32"/>
          <w:szCs w:val="32"/>
          <w:lang w:val="en-US" w:eastAsia="zh-CN"/>
        </w:rPr>
        <w:t>727.74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69.52</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319.00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30.48</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612.64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预算项目和预算金额增加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琼海市土地储备整理交易中心</w:t>
      </w:r>
      <w:r>
        <w:rPr>
          <w:rFonts w:hint="eastAsia" w:ascii="黑体" w:hAnsi="黑体" w:eastAsia="黑体" w:cs="Times New Roman"/>
          <w:sz w:val="32"/>
          <w:szCs w:val="22"/>
          <w:shd w:val="clear" w:color="auto" w:fill="FFFFFF"/>
          <w:lang w:val="en-US" w:eastAsia="zh-CN"/>
        </w:rPr>
        <w:t xml:space="preserve"> 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琼海市土地储备整理交易中心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1,046.74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293.07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753.67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612.64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预算项目和预算金额增加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w:t>
      </w:r>
      <w:r>
        <w:rPr>
          <w:rFonts w:hint="eastAsia" w:ascii="楷体" w:hAnsi="楷体" w:eastAsia="楷体"/>
          <w:sz w:val="32"/>
          <w:szCs w:val="32"/>
          <w:lang w:eastAsia="zh-CN"/>
        </w:rPr>
        <w:t>机关运行经费</w:t>
      </w:r>
    </w:p>
    <w:p>
      <w:pPr>
        <w:ind w:firstLine="64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本单位为事业单位，无机关运行经费。</w:t>
      </w:r>
    </w:p>
    <w:p>
      <w:pPr>
        <w:ind w:firstLine="640" w:firstLineChars="200"/>
        <w:rPr>
          <w:rFonts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琼海市土地储备整理交易中心</w:t>
      </w:r>
      <w:r>
        <w:rPr>
          <w:rFonts w:hint="eastAsia" w:ascii="仿宋_GB2312" w:hAnsi="黑体" w:eastAsia="仿宋_GB2312" w:cs="仿宋_GB2312"/>
          <w:sz w:val="32"/>
          <w:szCs w:val="32"/>
          <w:highlight w:val="none"/>
        </w:rPr>
        <w:t>政府采购预算</w:t>
      </w:r>
      <w:r>
        <w:rPr>
          <w:rFonts w:hint="eastAsia" w:ascii="仿宋_GB2312" w:hAnsi="黑体" w:eastAsia="仿宋_GB2312" w:cs="仿宋_GB2312"/>
          <w:sz w:val="32"/>
          <w:szCs w:val="32"/>
          <w:highlight w:val="none"/>
          <w:lang w:eastAsia="zh-CN"/>
        </w:rPr>
        <w:t>总额</w:t>
      </w:r>
      <w:r>
        <w:rPr>
          <w:rFonts w:hint="eastAsia" w:ascii="仿宋_GB2312" w:hAnsi="黑体" w:eastAsia="仿宋_GB2312" w:cs="仿宋_GB2312"/>
          <w:sz w:val="32"/>
          <w:szCs w:val="32"/>
          <w:highlight w:val="none"/>
          <w:lang w:val="en-US" w:eastAsia="zh-CN"/>
        </w:rPr>
        <w:t>0万元</w:t>
      </w:r>
      <w:r>
        <w:rPr>
          <w:rFonts w:hint="eastAsia" w:ascii="仿宋_GB2312" w:hAnsi="黑体" w:eastAsia="仿宋_GB2312"/>
          <w:sz w:val="32"/>
          <w:szCs w:val="32"/>
          <w:highlight w:val="none"/>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琼海市土地储备整理交易中心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lang w:eastAsia="zh-CN"/>
        </w:rPr>
        <w:t>年琼海市土地储备整理交易中心</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lang w:eastAsia="zh-CN"/>
        </w:rPr>
        <w:t>个项目实行绩效目标管理，涉及一般公共预算</w:t>
      </w:r>
      <w:r>
        <w:rPr>
          <w:rFonts w:hint="eastAsia" w:ascii="仿宋_GB2312" w:hAnsi="黑体" w:eastAsia="仿宋_GB2312" w:cs="仿宋_GB2312"/>
          <w:sz w:val="32"/>
          <w:szCs w:val="32"/>
          <w:lang w:val="en-US" w:eastAsia="zh-CN"/>
        </w:rPr>
        <w:t>727.74</w:t>
      </w:r>
      <w:r>
        <w:rPr>
          <w:rFonts w:hint="eastAsia" w:ascii="仿宋_GB2312" w:hAnsi="黑体" w:eastAsia="仿宋_GB2312" w:cs="仿宋_GB2312"/>
          <w:sz w:val="32"/>
          <w:szCs w:val="32"/>
          <w:lang w:eastAsia="zh-CN"/>
        </w:rPr>
        <w:t>万元、政府性基金</w:t>
      </w:r>
      <w:r>
        <w:rPr>
          <w:rFonts w:hint="eastAsia" w:ascii="仿宋_GB2312" w:hAnsi="黑体" w:eastAsia="仿宋_GB2312" w:cs="仿宋_GB2312"/>
          <w:sz w:val="32"/>
          <w:szCs w:val="32"/>
          <w:lang w:val="en-US" w:eastAsia="zh-CN"/>
        </w:rPr>
        <w:t>319.00</w:t>
      </w:r>
      <w:r>
        <w:rPr>
          <w:rFonts w:hint="eastAsia" w:ascii="仿宋_GB2312" w:hAnsi="黑体" w:eastAsia="仿宋_GB2312" w:cs="仿宋_GB2312"/>
          <w:sz w:val="32"/>
          <w:szCs w:val="32"/>
          <w:lang w:eastAsia="zh-CN"/>
        </w:rPr>
        <w:t>万元。其中</w:t>
      </w:r>
      <w:r>
        <w:rPr>
          <w:rFonts w:hint="eastAsia" w:ascii="仿宋_GB2312" w:hAnsi="黑体" w:eastAsia="仿宋_GB2312" w:cs="仿宋_GB2312"/>
          <w:sz w:val="32"/>
          <w:szCs w:val="32"/>
          <w:lang w:val="en-US" w:eastAsia="zh-CN"/>
        </w:rPr>
        <w:t>0个项目实行重点项目绩效目标管理，涉及0万元。</w:t>
      </w:r>
    </w:p>
    <w:p>
      <w:pPr>
        <w:jc w:val="left"/>
        <w:rPr>
          <w:rFonts w:ascii="仿宋_GB2312" w:hAnsi="仿宋_GB2312" w:eastAsia="仿宋_GB2312" w:cs="仿宋_GB2312"/>
          <w:color w:val="auto"/>
          <w:kern w:val="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0" w:firstLineChars="0"/>
        <w:jc w:val="left"/>
        <w:rPr>
          <w:rFonts w:ascii="仿宋_GB2312" w:hAnsi="仿宋_GB2312" w:eastAsia="仿宋_GB2312" w:cs="仿宋_GB2312"/>
          <w:bCs w:val="0"/>
          <w:color w:val="auto"/>
          <w:kern w:val="2"/>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黑体" w:eastAsia="仿宋_GB2312" w:cs="仿宋_GB2312"/>
          <w:sz w:val="32"/>
          <w:szCs w:val="32"/>
          <w:lang w:eastAsia="zh-CN"/>
        </w:rPr>
      </w:pPr>
      <w:r>
        <w:rPr>
          <w:rFonts w:hint="eastAsia" w:ascii="仿宋_GB2312" w:hAnsi="宋体" w:eastAsia="仿宋_GB2312" w:cs="宋体"/>
          <w:color w:val="000000"/>
          <w:kern w:val="0"/>
          <w:sz w:val="32"/>
          <w:szCs w:val="30"/>
          <w:lang w:eastAsia="zh-CN"/>
        </w:rPr>
        <w:t>十三、</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：反映机关事业单位实施养老保险制度由单位缴纳的基本养老保险费支出。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：反映机关事业单位实施养老保险制度由单位实际缴纳的职业年金支出。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：反映财政部门安排的事业单位基本医疗保险缴费经费。</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：反映财政部门安排的公务员医疗补助经费。</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十七、农林水支出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其他农业农村支出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：反映其他用于农业农村方面的支出。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十八、自然资源海洋气象等支出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自然资源利用与保护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：反映用于自然资源有偿使用与合理开发利用，国土空间生态修复，国土整治，耕地保护等方面的支出。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十九、自然资源海洋气象等支出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：反映自然资源管理等方面的事业单位基本支出。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二十、自然资源海洋气象等支出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自然资源事务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其他自然资源事务支出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：反映其他用于自然资源事务方面的支出。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二十一、住房保障支出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：反映行政事业单位按人力资源和社会保障部、财政部规定的基本工资和津贴补贴以及规定比例为职工缴纳的住房公积金。</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二十二、城乡社区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国有土地收益基金安排的支出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其他国有土地收益基金支出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：反映从国有土地收益基金安排用于其他支出。</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二十三、城乡社区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农业土地开发资金安排的支出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：反映从计提的农业土地开发资金中安排用于农业土地开发的支出。</w:t>
      </w: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5A9F54CD-7082-41E4-AEAA-5D4C96D14B30}"/>
  </w:font>
  <w:font w:name="宋体">
    <w:panose1 w:val="02010600030101010101"/>
    <w:charset w:val="86"/>
    <w:family w:val="auto"/>
    <w:pitch w:val="default"/>
    <w:sig w:usb0="00000003" w:usb1="288F0000" w:usb2="00000006" w:usb3="00000000" w:csb0="00040001" w:csb1="00000000"/>
    <w:embedRegular r:id="rId2" w:fontKey="{BAA5DB2D-A8E3-4626-A511-67E5278FFF56}"/>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08895B1A-A9B7-4658-A6D8-2E99EC05D71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4" w:fontKey="{26AEB609-AC2D-4D99-89C4-9174AEE5F9B0}"/>
  </w:font>
  <w:font w:name="仿宋">
    <w:panose1 w:val="02010609060101010101"/>
    <w:charset w:val="86"/>
    <w:family w:val="auto"/>
    <w:pitch w:val="default"/>
    <w:sig w:usb0="800002BF" w:usb1="38CF7CFA" w:usb2="00000016" w:usb3="00000000" w:csb0="00040001" w:csb1="00000000"/>
    <w:embedRegular r:id="rId5" w:fontKey="{D7E70047-4819-4E4D-BB61-9393362AF29B}"/>
  </w:font>
  <w:font w:name="楷体">
    <w:panose1 w:val="02010609060101010101"/>
    <w:charset w:val="86"/>
    <w:family w:val="auto"/>
    <w:pitch w:val="default"/>
    <w:sig w:usb0="800002BF" w:usb1="38CF7CFA" w:usb2="00000016" w:usb3="00000000" w:csb0="00040001" w:csb1="00000000"/>
    <w:embedRegular r:id="rId6" w:fontKey="{1B923892-9AF7-4DBE-948C-A232C43E119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saveSubsetFonts/>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ODBmYTc5Mzk4NmFjZDcwOWE2OTVlNjBlZjFmNjAifQ=="/>
  </w:docVars>
  <w:rsids>
    <w:rsidRoot w:val="00000000"/>
    <w:rsid w:val="0212098F"/>
    <w:rsid w:val="04B43852"/>
    <w:rsid w:val="04F24F3C"/>
    <w:rsid w:val="0928591A"/>
    <w:rsid w:val="1996485E"/>
    <w:rsid w:val="1AC579EE"/>
    <w:rsid w:val="1FCA6C2B"/>
    <w:rsid w:val="24B82E0F"/>
    <w:rsid w:val="2E4615C7"/>
    <w:rsid w:val="344C731E"/>
    <w:rsid w:val="363E3B9C"/>
    <w:rsid w:val="3AEE05C7"/>
    <w:rsid w:val="3E1D05DF"/>
    <w:rsid w:val="41872ADE"/>
    <w:rsid w:val="422E4D58"/>
    <w:rsid w:val="426A3EC7"/>
    <w:rsid w:val="509C08A0"/>
    <w:rsid w:val="565005A4"/>
    <w:rsid w:val="5AE422E5"/>
    <w:rsid w:val="5F124703"/>
    <w:rsid w:val="5FC2019D"/>
    <w:rsid w:val="613621D4"/>
    <w:rsid w:val="62F550C3"/>
    <w:rsid w:val="65EB6B0C"/>
    <w:rsid w:val="6FDD5ED1"/>
    <w:rsid w:val="7A222AE5"/>
    <w:rsid w:val="7B787DBA"/>
    <w:rsid w:val="7BFD5047"/>
    <w:rsid w:val="7C604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qFormat/>
    <w:uiPriority w:val="1"/>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qFormat/>
    <w:uiPriority w:val="99"/>
    <w:rPr>
      <w:sz w:val="18"/>
      <w:szCs w:val="18"/>
    </w:rPr>
  </w:style>
  <w:style w:type="character" w:customStyle="1" w:styleId="9">
    <w:name w:val="页脚 Char"/>
    <w:basedOn w:val="5"/>
    <w:link w:val="2"/>
    <w:autoRedefine/>
    <w:qFormat/>
    <w:uiPriority w:val="99"/>
    <w:rPr>
      <w:sz w:val="18"/>
      <w:szCs w:val="18"/>
    </w:rPr>
  </w:style>
  <w:style w:type="paragraph" w:customStyle="1"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4095</Words>
  <Characters>4502</Characters>
  <Paragraphs>111</Paragraphs>
  <TotalTime>8</TotalTime>
  <ScaleCrop>false</ScaleCrop>
  <LinksUpToDate>false</LinksUpToDate>
  <CharactersWithSpaces>4527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Sanny</cp:lastModifiedBy>
  <dcterms:modified xsi:type="dcterms:W3CDTF">2024-02-22T03:33:13Z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94386721547E4D9E8ECC899A4E5ADA3F_13</vt:lpwstr>
  </property>
</Properties>
</file>