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val="en-US" w:eastAsia="zh-CN"/>
        </w:rPr>
        <w:t>2024</w:t>
      </w:r>
      <w:r>
        <w:rPr>
          <w:rFonts w:hint="eastAsia" w:ascii="宋体" w:hAnsi="宋体" w:eastAsia="宋体" w:cs="宋体"/>
          <w:sz w:val="52"/>
          <w:szCs w:val="52"/>
          <w:lang w:eastAsia="zh-CN"/>
        </w:rPr>
        <w:t>琼海市人力资源和社会保障局单位</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部门预算单位构成（单位公开为预算单位构成）</w:t>
      </w:r>
    </w:p>
    <w:p>
      <w:pPr>
        <w:pStyle w:val="6"/>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val="en-US" w:eastAsia="zh-CN"/>
        </w:rPr>
        <w:t>琼海市人力资源和社会保障2024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w:t>
      </w:r>
      <w:r>
        <w:rPr>
          <w:rFonts w:hint="eastAsia" w:ascii="黑体" w:hAnsi="黑体" w:eastAsia="黑体"/>
          <w:sz w:val="32"/>
          <w:szCs w:val="32"/>
          <w:lang w:val="en-US" w:eastAsia="zh-CN"/>
        </w:rPr>
        <w:t>资源和社会保障局</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hint="eastAsia" w:ascii="仿宋" w:hAnsi="仿宋" w:eastAsia="仿宋" w:cs="仿宋"/>
          <w:sz w:val="32"/>
          <w:szCs w:val="32"/>
        </w:rPr>
      </w:pPr>
      <w:r>
        <w:rPr>
          <w:rFonts w:hint="eastAsia" w:ascii="黑体" w:hAnsi="黑体" w:eastAsia="黑体" w:cs="仿宋_GB2312"/>
          <w:sz w:val="32"/>
          <w:szCs w:val="32"/>
        </w:rPr>
        <w:t>主要职能</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bookmarkStart w:id="0" w:name="_GoBack"/>
      <w:bookmarkEnd w:id="0"/>
      <w:r>
        <w:rPr>
          <w:rFonts w:hint="eastAsia" w:ascii="仿宋_GB2312" w:hAnsi="仿宋_GB2312" w:eastAsia="仿宋_GB2312" w:cs="仿宋_GB2312"/>
          <w:sz w:val="32"/>
          <w:szCs w:val="32"/>
        </w:rPr>
        <w:t>《中共</w:t>
      </w:r>
      <w:r>
        <w:rPr>
          <w:rFonts w:hint="eastAsia" w:ascii="仿宋_GB2312" w:hAnsi="仿宋_GB2312" w:eastAsia="仿宋_GB2312" w:cs="仿宋_GB2312"/>
          <w:sz w:val="32"/>
          <w:szCs w:val="32"/>
          <w:lang w:eastAsia="zh-CN"/>
        </w:rPr>
        <w:t>琼海市</w:t>
      </w:r>
      <w:r>
        <w:rPr>
          <w:rFonts w:hint="eastAsia" w:ascii="仿宋_GB2312" w:hAnsi="仿宋_GB2312" w:eastAsia="仿宋_GB2312" w:cs="仿宋_GB2312"/>
          <w:sz w:val="32"/>
          <w:szCs w:val="32"/>
        </w:rPr>
        <w:t>委办公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lang w:val="en-US" w:eastAsia="zh-CN"/>
        </w:rPr>
        <w:t xml:space="preserve"> 琼海市</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关于印发〈琼海市</w:t>
      </w:r>
      <w:r>
        <w:rPr>
          <w:rFonts w:hint="eastAsia" w:ascii="仿宋_GB2312" w:hAnsi="仿宋_GB2312" w:eastAsia="仿宋_GB2312" w:cs="仿宋_GB2312"/>
          <w:sz w:val="32"/>
          <w:szCs w:val="32"/>
          <w:lang w:eastAsia="zh-CN"/>
        </w:rPr>
        <w:t>人力资源和社会保障局职能配置、内设机构和人员编制规定</w:t>
      </w:r>
      <w:r>
        <w:rPr>
          <w:rFonts w:hint="eastAsia" w:ascii="仿宋_GB2312" w:hAnsi="仿宋_GB2312" w:eastAsia="仿宋_GB2312" w:cs="仿宋_GB2312"/>
          <w:sz w:val="32"/>
          <w:szCs w:val="32"/>
        </w:rPr>
        <w:t>〉的通知》（琼</w:t>
      </w:r>
      <w:r>
        <w:rPr>
          <w:rFonts w:hint="eastAsia" w:ascii="仿宋_GB2312" w:hAnsi="仿宋_GB2312" w:eastAsia="仿宋_GB2312" w:cs="仿宋_GB2312"/>
          <w:sz w:val="32"/>
          <w:szCs w:val="32"/>
          <w:lang w:eastAsia="zh-CN"/>
        </w:rPr>
        <w:t>海党办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号），设置琼海市人力资源和社会保障局，为琼海市主管全市人力资源和社会保障管理工作的市政府工作部门。主要职责有：</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（一）贯彻落实党中央和国家、省委省政府有关人力资源和社会保障工作的方针政策、法律法规、规章制度和发展战略，执行市委市政府决策部署和海南自由贸易试验区（自由贸易港）政策措施。</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（二）编制全市人力资源和社会保障事业发展规划和年度计划，研究推进人力资源和社会保障改革，研究提出海南自由贸易试验区琼海（东部区域中心城市）人力资源和社会保障工作方面的意见和建议。</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负责全市人力资源市场的统筹规划和综合管理工作。建立统一开放、竞争有序的人力资源市场体系，健全人力资源开发机制和人力资源流动配置机制，负责人力资源市场监管。负责全市人力资源和社会保障统计和信息工作。负责统筹全市人力资源和社会保障公共服务平台建设和诚信体系建设，推进建设全国统一的社会保险公共服务平台。</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负责全市促进就业创业工作。拟订全市统筹城乡的就业发展规划，完善公共就业创业服务体系，健全就业创业援助制度；牵头拟订全市职业技能培训规划，统筹建立面向城乡劳动者的终身职业技能培训制度。负责中级以下职业资格证书的发放管理。</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协同推进建立覆盖全市城乡的多层次社会保障体系。会同有关部门组织实施全民参保计划；组织实施落实城乡基本养老保险、失业保险、工伤保险政策，强化社会保障基金监督管理；推进机关事业单位基本养老保险制度改革；统筹社会保障卡工作。</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（六）承办因病或因工致残、完全丧失劳动能力、特殊工种的企业职工提前退休初审；负责工伤预防、工伤认定和劳动能力鉴定工作。</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（七）负责全市就业、失业和相关社会保险基金预测预警和信息引导，拟订应对预案，实施预防、调节和控制，保持就业形势稳定和相关社会保险基金总体收支平衡。</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（八）负责统筹全市事业单位人事管理工作。会同有关部门推进全市事业单位人事制度改革；负责事业干部人事档案的管理。</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（九）负责全市事业单位工资福利的综合管理和收入分配制度改革工作，落实国家事业单位工资福利政策；建立健全事业单位人员工资、工资正常增长和支付保障长效机制。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（十）会同有关部门拟订全市农民工工作综合性规划，保障农民工合法权益，推动农民工相关政策的落实。</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负责全市劳动用工的综合管理工作。落实劳动关系政策和劳动人事争议调解仲裁制度，完善劳动关系协商协调机制，推动职工工作时间、休息休假和假期制度的实施。组织实施劳动保障监察，协调劳动者维权工作，组织查处侵害劳动者合法权益案件，促进劳动关系和谐稳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leftChars="0" w:firstLine="640" w:firstLineChars="200"/>
        <w:jc w:val="left"/>
        <w:textAlignment w:val="auto"/>
        <w:rPr>
          <w:rFonts w:ascii="黑体" w:hAnsi="黑体" w:eastAsia="黑体" w:cs="仿宋_GB2312"/>
          <w:sz w:val="32"/>
          <w:szCs w:val="32"/>
        </w:rPr>
      </w:pPr>
      <w:r>
        <w:rPr>
          <w:rFonts w:hint="eastAsia" w:ascii="仿宋" w:hAnsi="仿宋" w:eastAsia="仿宋" w:cs="仿宋"/>
          <w:sz w:val="32"/>
          <w:szCs w:val="32"/>
        </w:rPr>
        <w:t>（十二）完成市委、市政府和上级部门交办的其他任务。</w:t>
      </w: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578"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color w:val="auto"/>
          <w:sz w:val="32"/>
          <w:szCs w:val="32"/>
        </w:rPr>
        <w:t>纳入</w:t>
      </w:r>
      <w:r>
        <w:rPr>
          <w:rFonts w:hint="eastAsia" w:ascii="仿宋_GB2312" w:hAnsi="黑体" w:eastAsia="仿宋_GB2312" w:cs="仿宋_GB2312"/>
          <w:color w:val="auto"/>
          <w:sz w:val="32"/>
          <w:szCs w:val="32"/>
          <w:lang w:eastAsia="zh-CN"/>
        </w:rPr>
        <w:t>琼海市人力资源和社会保障局</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s="仿宋_GB2312"/>
          <w:color w:val="auto"/>
          <w:sz w:val="32"/>
          <w:szCs w:val="32"/>
        </w:rPr>
        <w:t>年预算编制范围</w:t>
      </w:r>
      <w:r>
        <w:rPr>
          <w:rFonts w:hint="eastAsia" w:ascii="仿宋_GB2312" w:hAnsi="黑体" w:eastAsia="仿宋_GB2312" w:cs="仿宋_GB2312"/>
          <w:color w:val="auto"/>
          <w:sz w:val="32"/>
          <w:szCs w:val="32"/>
          <w:lang w:eastAsia="zh-CN"/>
        </w:rPr>
        <w:t>为</w:t>
      </w:r>
      <w:r>
        <w:rPr>
          <w:rFonts w:hint="eastAsia" w:ascii="仿宋_GB2312" w:hAnsi="仿宋_GB2312" w:eastAsia="仿宋_GB2312" w:cs="仿宋_GB2312"/>
          <w:color w:val="auto"/>
          <w:sz w:val="32"/>
          <w:szCs w:val="32"/>
        </w:rPr>
        <w:t>市人力资源和社会保障本级</w:t>
      </w:r>
    </w:p>
    <w:p>
      <w:pPr>
        <w:spacing w:line="578" w:lineRule="exact"/>
        <w:ind w:firstLine="0" w:firstLineChars="0"/>
        <w:jc w:val="center"/>
        <w:rPr>
          <w:rFonts w:hint="eastAsia" w:ascii="黑体" w:hAnsi="黑体" w:eastAsia="黑体"/>
          <w:sz w:val="32"/>
          <w:szCs w:val="32"/>
        </w:rPr>
      </w:pP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2024年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年财政拨款收支总预算1335.07万元。其中，收入总计1335.07万元，包括一般公共预算本年收入828.72万元、上年结转13.09万元，政府性基金预算本年收入493.26万元、上年结转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万元；支出总计1,335.07万元，包括一般公共服务支出841.81万元、</w:t>
      </w:r>
      <w:r>
        <w:rPr>
          <w:rFonts w:hint="eastAsia" w:ascii="仿宋" w:hAnsi="仿宋" w:eastAsia="仿宋" w:cs="仿宋"/>
          <w:sz w:val="32"/>
          <w:szCs w:val="32"/>
          <w:lang w:eastAsia="zh-CN"/>
        </w:rPr>
        <w:t>社会保障和就业支出777.44万元、 卫生健康支出42.34万元、 住房保障支出22.03万元，……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年一般公共预算当年拨款8</w:t>
      </w:r>
      <w:r>
        <w:rPr>
          <w:rFonts w:hint="eastAsia" w:ascii="仿宋" w:hAnsi="仿宋" w:eastAsia="仿宋" w:cs="仿宋"/>
          <w:sz w:val="32"/>
          <w:szCs w:val="32"/>
          <w:lang w:val="en-US" w:eastAsia="zh-CN"/>
        </w:rPr>
        <w:t>41.81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504.79</w:t>
      </w:r>
      <w:r>
        <w:rPr>
          <w:rFonts w:hint="eastAsia" w:ascii="仿宋" w:hAnsi="仿宋" w:eastAsia="仿宋" w:cs="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增加就业补助资金。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 w:hAnsi="仿宋" w:eastAsia="仿宋" w:cs="仿宋"/>
          <w:sz w:val="32"/>
          <w:szCs w:val="32"/>
        </w:rPr>
      </w:pPr>
      <w:r>
        <w:rPr>
          <w:rFonts w:hint="eastAsia" w:ascii="仿宋_GB2312" w:hAnsi="黑体" w:eastAsia="仿宋_GB2312"/>
          <w:color w:val="auto"/>
          <w:sz w:val="32"/>
          <w:szCs w:val="32"/>
          <w:lang w:eastAsia="zh-CN"/>
        </w:rPr>
        <w:t>社会保障和就业（类）支出</w:t>
      </w:r>
      <w:r>
        <w:rPr>
          <w:rFonts w:hint="eastAsia" w:ascii="仿宋_GB2312" w:hAnsi="黑体" w:eastAsia="仿宋_GB2312"/>
          <w:color w:val="auto"/>
          <w:sz w:val="32"/>
          <w:szCs w:val="32"/>
          <w:lang w:val="en-US" w:eastAsia="zh-CN"/>
        </w:rPr>
        <w:t>777.44万元，占92%；卫生健康（类）支出42.34万元，占5%；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住房保障（类）支出22.03万元，占2.6%</w:t>
      </w:r>
      <w:r>
        <w:rPr>
          <w:rFonts w:hint="eastAsia" w:ascii="仿宋_GB2312" w:hAnsi="黑体"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lang w:eastAsia="zh-CN"/>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lang w:eastAsia="zh-CN"/>
          <w14:textFill>
            <w14:solidFill>
              <w14:schemeClr w14:val="tx1"/>
            </w14:solidFill>
          </w14:textFill>
        </w:rPr>
        <w:t>人力资源和社会保障管理事务</w:t>
      </w:r>
      <w:r>
        <w:rPr>
          <w:rFonts w:hint="eastAsia" w:ascii="仿宋_GB2312" w:hAnsi="黑体" w:eastAsia="仿宋_GB2312" w:cs="仿宋_GB2312"/>
          <w:color w:val="000000" w:themeColor="text1"/>
          <w:sz w:val="32"/>
          <w:szCs w:val="32"/>
          <w14:textFill>
            <w14:solidFill>
              <w14:schemeClr w14:val="tx1"/>
            </w14:solidFill>
          </w14:textFill>
        </w:rPr>
        <w:t>（款）行政运行（项）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207.27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13.94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行政事务增多，财政拨款增加。</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黑体"/>
          <w:color w:val="000000" w:themeColor="text1"/>
          <w:sz w:val="32"/>
          <w:szCs w:val="32"/>
          <w:highlight w:val="none"/>
          <w14:textFill>
            <w14:solidFill>
              <w14:schemeClr w14:val="tx1"/>
            </w14:solidFill>
          </w14:textFill>
        </w:rPr>
        <w:t>社会保障和就业支出（类）人力资源和社会保障管理事务（款）其他人力资源和社会保障管理事务支出（项）20</w:t>
      </w:r>
      <w:r>
        <w:rPr>
          <w:rFonts w:hint="eastAsia" w:ascii="仿宋_GB2312" w:hAnsi="黑体" w:eastAsia="仿宋_GB2312" w:cs="黑体"/>
          <w:color w:val="000000" w:themeColor="text1"/>
          <w:sz w:val="32"/>
          <w:szCs w:val="32"/>
          <w:highlight w:val="none"/>
          <w:lang w:val="en-US" w:eastAsia="zh-CN"/>
          <w14:textFill>
            <w14:solidFill>
              <w14:schemeClr w14:val="tx1"/>
            </w14:solidFill>
          </w14:textFill>
        </w:rPr>
        <w:t>24</w:t>
      </w:r>
      <w:r>
        <w:rPr>
          <w:rFonts w:hint="eastAsia" w:ascii="仿宋_GB2312" w:hAnsi="黑体" w:eastAsia="仿宋_GB2312" w:cs="黑体"/>
          <w:color w:val="000000" w:themeColor="text1"/>
          <w:sz w:val="32"/>
          <w:szCs w:val="32"/>
          <w:highlight w:val="none"/>
          <w14:textFill>
            <w14:solidFill>
              <w14:schemeClr w14:val="tx1"/>
            </w14:solidFill>
          </w14:textFill>
        </w:rPr>
        <w:t>年预算数</w:t>
      </w:r>
      <w:r>
        <w:rPr>
          <w:rFonts w:hint="eastAsia" w:ascii="仿宋_GB2312" w:hAnsi="黑体" w:eastAsia="仿宋_GB2312" w:cs="黑体"/>
          <w:color w:val="000000" w:themeColor="text1"/>
          <w:sz w:val="32"/>
          <w:szCs w:val="32"/>
          <w:highlight w:val="none"/>
          <w:lang w:val="en-US" w:eastAsia="zh-CN"/>
          <w14:textFill>
            <w14:solidFill>
              <w14:schemeClr w14:val="tx1"/>
            </w14:solidFill>
          </w14:textFill>
        </w:rPr>
        <w:t>347.24</w:t>
      </w:r>
      <w:r>
        <w:rPr>
          <w:rFonts w:hint="eastAsia" w:ascii="仿宋_GB2312" w:hAnsi="黑体" w:eastAsia="仿宋_GB2312" w:cs="黑体"/>
          <w:color w:val="000000" w:themeColor="text1"/>
          <w:sz w:val="32"/>
          <w:szCs w:val="32"/>
          <w:highlight w:val="none"/>
          <w14:textFill>
            <w14:solidFill>
              <w14:schemeClr w14:val="tx1"/>
            </w14:solidFill>
          </w14:textFill>
        </w:rPr>
        <w:t>万</w:t>
      </w:r>
      <w:r>
        <w:rPr>
          <w:rFonts w:hint="eastAsia" w:ascii="仿宋_GB2312" w:hAnsi="黑体" w:eastAsia="仿宋_GB2312" w:cs="黑体"/>
          <w:color w:val="000000" w:themeColor="text1"/>
          <w:spacing w:val="0"/>
          <w:sz w:val="32"/>
          <w:szCs w:val="32"/>
          <w:highlight w:val="none"/>
          <w14:textFill>
            <w14:solidFill>
              <w14:schemeClr w14:val="tx1"/>
            </w14:solidFill>
          </w14:textFill>
        </w:rPr>
        <w:t>元，比去年预算数</w:t>
      </w:r>
      <w:r>
        <w:rPr>
          <w:rFonts w:hint="eastAsia" w:ascii="仿宋_GB2312" w:hAnsi="黑体" w:eastAsia="仿宋_GB2312" w:cs="黑体"/>
          <w:color w:val="000000" w:themeColor="text1"/>
          <w:spacing w:val="0"/>
          <w:sz w:val="32"/>
          <w:szCs w:val="32"/>
          <w:highlight w:val="none"/>
          <w:lang w:eastAsia="zh-CN"/>
          <w14:textFill>
            <w14:solidFill>
              <w14:schemeClr w14:val="tx1"/>
            </w14:solidFill>
          </w14:textFill>
        </w:rPr>
        <w:t>增加</w:t>
      </w: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292.24</w:t>
      </w:r>
      <w:r>
        <w:rPr>
          <w:rFonts w:hint="eastAsia" w:ascii="仿宋_GB2312" w:hAnsi="黑体" w:eastAsia="仿宋_GB2312" w:cs="黑体"/>
          <w:color w:val="000000" w:themeColor="text1"/>
          <w:spacing w:val="0"/>
          <w:sz w:val="32"/>
          <w:szCs w:val="32"/>
          <w:highlight w:val="none"/>
          <w14:textFill>
            <w14:solidFill>
              <w14:schemeClr w14:val="tx1"/>
            </w14:solidFill>
          </w14:textFill>
        </w:rPr>
        <w:t>万元，主要是</w:t>
      </w:r>
      <w:r>
        <w:rPr>
          <w:rFonts w:hint="eastAsia" w:ascii="仿宋_GB2312" w:hAnsi="黑体" w:eastAsia="仿宋_GB2312" w:cs="黑体"/>
          <w:color w:val="000000" w:themeColor="text1"/>
          <w:sz w:val="32"/>
          <w:szCs w:val="32"/>
          <w:highlight w:val="none"/>
          <w:lang w:eastAsia="zh-CN"/>
          <w14:textFill>
            <w14:solidFill>
              <w14:schemeClr w14:val="tx1"/>
            </w14:solidFill>
          </w14:textFill>
        </w:rPr>
        <w:t>项目增加。</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黑体"/>
          <w:color w:val="000000" w:themeColor="text1"/>
          <w:sz w:val="32"/>
          <w:szCs w:val="32"/>
          <w:highlight w:val="none"/>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lang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行政事业单位养老</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机关事业单位基本养老保险费支出</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25.67</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0.32万元，</w:t>
      </w:r>
      <w:r>
        <w:rPr>
          <w:rFonts w:hint="eastAsia" w:ascii="仿宋_GB2312" w:hAnsi="黑体" w:eastAsia="仿宋_GB2312" w:cs="黑体"/>
          <w:color w:val="000000" w:themeColor="text1"/>
          <w:spacing w:val="0"/>
          <w:sz w:val="32"/>
          <w:szCs w:val="32"/>
          <w:highlight w:val="none"/>
          <w14:textFill>
            <w14:solidFill>
              <w14:schemeClr w14:val="tx1"/>
            </w14:solidFill>
          </w14:textFill>
        </w:rPr>
        <w:t>主要是</w:t>
      </w:r>
      <w:r>
        <w:rPr>
          <w:rFonts w:hint="eastAsia" w:ascii="仿宋_GB2312" w:hAnsi="黑体" w:eastAsia="仿宋_GB2312" w:cs="黑体"/>
          <w:color w:val="000000" w:themeColor="text1"/>
          <w:sz w:val="32"/>
          <w:szCs w:val="32"/>
          <w:highlight w:val="none"/>
          <w:lang w:eastAsia="zh-CN"/>
          <w14:textFill>
            <w14:solidFill>
              <w14:schemeClr w14:val="tx1"/>
            </w14:solidFill>
          </w14:textFill>
        </w:rPr>
        <w:t>调整基数。</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黑体"/>
          <w:color w:val="000000" w:themeColor="text1"/>
          <w:sz w:val="32"/>
          <w:szCs w:val="32"/>
          <w:highlight w:val="none"/>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lang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行政事业单位养老</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机关事业单位职业年金缴费支出</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23.23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5.社会保障和就业支出（类）就业补助（款）就业创业服务补贴（项）2024年预算数120.33万元，主要是新增会计科目，与上年无单独对应科目，无法对比。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6.社会保障和就业支出（类）就业补助（款）职业技能鉴定补贴（项）2024年预算数52.76万元，主要是新增会计科目，与上年无单独对应科目，无法对比。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z w:val="32"/>
          <w:szCs w:val="32"/>
          <w:highlight w:val="none"/>
          <w:lang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13.社会保障和就业支出（类）抚恤（款）其他优抚支出（项）2024年预算数0.93万元，主要是新增会计科目，与上年无单独对应科目，无法对比。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14.卫生健康支出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行政单位医疗</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11.89</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减增加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0.32万元，主要是基数调整</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15.卫生健康支出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公务员医疗补助</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30.44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0.45万元，和上年预算数基本持平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16.城乡社区支出（类）国有土地使用权出让收入安排的支出（款）其他国有土地使用权出让收入安排的支出（项）2024年预算数493.26万元，比去年预算数减少211.12万元，主要是项目减少。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u w:val="none"/>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17.住房保障支出（类）住房改革支出(款）住房公积金（项）2024年预算数为22.03万元，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减少</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0.25万元，主要是人员减少</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321.48</w:t>
      </w:r>
      <w:r>
        <w:rPr>
          <w:rFonts w:hint="eastAsia" w:ascii="仿宋" w:hAnsi="仿宋" w:eastAsia="仿宋" w:cs="仿宋"/>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296.18</w:t>
      </w:r>
      <w:r>
        <w:rPr>
          <w:rFonts w:hint="eastAsia" w:ascii="仿宋" w:hAnsi="仿宋" w:eastAsia="仿宋" w:cs="仿宋"/>
          <w:sz w:val="32"/>
          <w:szCs w:val="32"/>
        </w:rPr>
        <w:t>万元，</w:t>
      </w:r>
      <w:r>
        <w:rPr>
          <w:rFonts w:hint="eastAsia" w:ascii="仿宋_GB2312" w:hAnsi="黑体" w:eastAsia="仿宋_GB2312"/>
          <w:color w:val="000000" w:themeColor="text1"/>
          <w:sz w:val="32"/>
          <w:szCs w:val="32"/>
          <w14:textFill>
            <w14:solidFill>
              <w14:schemeClr w14:val="tx1"/>
            </w14:solidFill>
          </w14:textFill>
        </w:rPr>
        <w:t>主要包括：基本工资、津贴补贴、奖金、社会保障缴费、</w:t>
      </w:r>
      <w:r>
        <w:rPr>
          <w:rFonts w:hint="eastAsia" w:ascii="仿宋_GB2312" w:hAnsi="黑体" w:eastAsia="仿宋_GB2312"/>
          <w:color w:val="000000" w:themeColor="text1"/>
          <w:sz w:val="32"/>
          <w:szCs w:val="32"/>
          <w:lang w:eastAsia="zh-CN"/>
          <w14:textFill>
            <w14:solidFill>
              <w14:schemeClr w14:val="tx1"/>
            </w14:solidFill>
          </w14:textFill>
        </w:rPr>
        <w:t>职业年金、住房公积金</w:t>
      </w:r>
      <w:r>
        <w:rPr>
          <w:rFonts w:hint="eastAsia" w:ascii="仿宋_GB2312" w:hAnsi="黑体"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25.29</w:t>
      </w:r>
      <w:r>
        <w:rPr>
          <w:rFonts w:hint="eastAsia" w:ascii="仿宋" w:hAnsi="仿宋" w:eastAsia="仿宋" w:cs="仿宋"/>
          <w:sz w:val="32"/>
          <w:szCs w:val="32"/>
        </w:rPr>
        <w:t>万元，主要包括：</w:t>
      </w:r>
      <w:r>
        <w:rPr>
          <w:rFonts w:hint="eastAsia" w:ascii="仿宋_GB2312" w:hAnsi="黑体" w:eastAsia="仿宋_GB2312"/>
          <w:color w:val="000000" w:themeColor="text1"/>
          <w:sz w:val="32"/>
          <w:szCs w:val="32"/>
          <w14:textFill>
            <w14:solidFill>
              <w14:schemeClr w14:val="tx1"/>
            </w14:solidFill>
          </w14:textFill>
        </w:rPr>
        <w:t>办公费、咨询费、手续费、水费、电费、</w:t>
      </w:r>
      <w:r>
        <w:rPr>
          <w:rFonts w:hint="eastAsia" w:ascii="仿宋_GB2312" w:hAnsi="黑体" w:eastAsia="仿宋_GB2312"/>
          <w:color w:val="000000" w:themeColor="text1"/>
          <w:sz w:val="32"/>
          <w:szCs w:val="32"/>
          <w:lang w:eastAsia="zh-CN"/>
          <w14:textFill>
            <w14:solidFill>
              <w14:schemeClr w14:val="tx1"/>
            </w14:solidFill>
          </w14:textFill>
        </w:rPr>
        <w:t>邮电费、物业管理费、差旅费、维修（护）费、会议费、培训费、工会费、公务用车运行维护费</w:t>
      </w:r>
      <w:r>
        <w:rPr>
          <w:rFonts w:hint="eastAsia" w:ascii="仿宋_GB2312" w:hAnsi="黑体"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琼海市人力资源和社会保障局</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4.71</w:t>
      </w:r>
      <w:r>
        <w:rPr>
          <w:rFonts w:hint="eastAsia" w:ascii="仿宋" w:hAnsi="仿宋" w:eastAsia="仿宋" w:cs="仿宋"/>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40" w:lineRule="exact"/>
        <w:ind w:firstLine="630"/>
        <w:textAlignment w:val="auto"/>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3.71</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3.71</w:t>
      </w:r>
      <w:r>
        <w:rPr>
          <w:rFonts w:hint="eastAsia" w:ascii="仿宋" w:hAnsi="仿宋" w:eastAsia="仿宋" w:cs="仿宋"/>
          <w:sz w:val="32"/>
          <w:szCs w:val="32"/>
        </w:rPr>
        <w:t>万元）</w:t>
      </w:r>
      <w:r>
        <w:rPr>
          <w:rFonts w:hint="eastAsia" w:ascii="仿宋" w:hAnsi="仿宋" w:eastAsia="仿宋" w:cs="仿宋"/>
          <w:sz w:val="32"/>
          <w:shd w:val="clear" w:color="auto" w:fill="FFFFFF"/>
        </w:rPr>
        <w:t>，较上年预算增长</w:t>
      </w:r>
      <w:r>
        <w:rPr>
          <w:rFonts w:hint="eastAsia" w:ascii="仿宋" w:hAnsi="仿宋" w:eastAsia="仿宋" w:cs="仿宋"/>
          <w:sz w:val="32"/>
          <w:szCs w:val="32"/>
          <w:lang w:val="en-US" w:eastAsia="zh-CN"/>
        </w:rPr>
        <w:t>51</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w:t>
      </w:r>
      <w:r>
        <w:rPr>
          <w:rFonts w:hint="eastAsia" w:ascii="仿宋" w:hAnsi="仿宋" w:eastAsia="仿宋" w:cs="仿宋"/>
          <w:sz w:val="32"/>
          <w:shd w:val="clear" w:color="auto" w:fill="FFFFFF"/>
          <w:lang w:eastAsia="zh-CN"/>
        </w:rPr>
        <w:t>是业务增多</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2</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w:t>
      </w:r>
      <w:r>
        <w:rPr>
          <w:rFonts w:hint="eastAsia" w:ascii="仿宋" w:hAnsi="仿宋" w:eastAsia="仿宋" w:cs="仿宋"/>
          <w:sz w:val="32"/>
          <w:shd w:val="clear" w:color="auto" w:fill="FFFFFF"/>
        </w:rPr>
        <w:t>万元，较上年预算</w:t>
      </w:r>
      <w:r>
        <w:rPr>
          <w:rFonts w:hint="eastAsia" w:ascii="仿宋" w:hAnsi="仿宋" w:eastAsia="仿宋" w:cs="仿宋"/>
          <w:sz w:val="32"/>
          <w:shd w:val="clear" w:color="auto" w:fill="FFFFFF"/>
          <w:lang w:eastAsia="zh-CN"/>
        </w:rPr>
        <w:t>增加</w:t>
      </w:r>
      <w:r>
        <w:rPr>
          <w:rFonts w:hint="eastAsia" w:ascii="仿宋" w:hAnsi="仿宋" w:eastAsia="仿宋" w:cs="仿宋"/>
          <w:sz w:val="32"/>
          <w:shd w:val="clear" w:color="auto" w:fill="FFFFFF"/>
          <w:lang w:val="en-US" w:eastAsia="zh-CN"/>
        </w:rPr>
        <w:t>25</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w:t>
      </w:r>
      <w:r>
        <w:rPr>
          <w:rFonts w:hint="eastAsia" w:ascii="仿宋" w:hAnsi="仿宋" w:eastAsia="仿宋" w:cs="仿宋"/>
          <w:sz w:val="32"/>
          <w:shd w:val="clear" w:color="auto" w:fill="FFFFFF"/>
          <w:lang w:eastAsia="zh-CN"/>
        </w:rPr>
        <w:t>是业务交流多</w:t>
      </w:r>
      <w:r>
        <w:rPr>
          <w:rFonts w:hint="eastAsia" w:ascii="仿宋" w:hAnsi="仿宋" w:eastAsia="仿宋" w:cs="仿宋"/>
          <w:sz w:val="32"/>
          <w:shd w:val="clear" w:color="auto" w:fill="FFFFFF"/>
        </w:rPr>
        <w:t>，计划接待</w:t>
      </w:r>
      <w:r>
        <w:rPr>
          <w:rFonts w:hint="eastAsia" w:ascii="仿宋" w:hAnsi="仿宋" w:eastAsia="仿宋" w:cs="仿宋"/>
          <w:sz w:val="32"/>
          <w:shd w:val="clear" w:color="auto" w:fill="FFFFFF"/>
          <w:lang w:val="en-US" w:eastAsia="zh-CN"/>
        </w:rPr>
        <w:t>20</w:t>
      </w:r>
      <w:r>
        <w:rPr>
          <w:rFonts w:hint="eastAsia" w:ascii="仿宋" w:hAnsi="仿宋" w:eastAsia="仿宋" w:cs="仿宋"/>
          <w:sz w:val="32"/>
          <w:szCs w:val="32"/>
        </w:rPr>
        <w:t>批</w:t>
      </w:r>
      <w:r>
        <w:rPr>
          <w:rFonts w:hint="eastAsia" w:ascii="仿宋" w:hAnsi="仿宋" w:eastAsia="仿宋" w:cs="仿宋"/>
          <w:sz w:val="32"/>
          <w:szCs w:val="32"/>
          <w:lang w:val="en-US" w:eastAsia="zh-CN"/>
        </w:rPr>
        <w:t>92</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琼海市人力资源和社会保障局</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eastAsia="zh-CN"/>
        </w:rPr>
        <w:t>琼海市人力资源和社会保障局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年政府性基金预算当年拨款</w:t>
      </w:r>
      <w:r>
        <w:rPr>
          <w:rFonts w:hint="eastAsia" w:ascii="仿宋" w:hAnsi="仿宋" w:eastAsia="仿宋" w:cs="仿宋"/>
          <w:color w:val="auto"/>
          <w:sz w:val="32"/>
          <w:szCs w:val="32"/>
          <w:lang w:val="en-US" w:eastAsia="zh-CN"/>
        </w:rPr>
        <w:t>493.26</w:t>
      </w:r>
      <w:r>
        <w:rPr>
          <w:rFonts w:hint="eastAsia" w:ascii="仿宋" w:hAnsi="仿宋" w:eastAsia="仿宋" w:cs="仿宋"/>
          <w:color w:val="auto"/>
          <w:sz w:val="32"/>
          <w:szCs w:val="32"/>
        </w:rPr>
        <w:t>万元，比</w:t>
      </w:r>
      <w:r>
        <w:rPr>
          <w:rFonts w:hint="eastAsia" w:ascii="仿宋" w:hAnsi="仿宋" w:eastAsia="仿宋" w:cs="仿宋"/>
          <w:sz w:val="32"/>
          <w:szCs w:val="32"/>
        </w:rPr>
        <w:t>上年预算数减少</w:t>
      </w:r>
      <w:r>
        <w:rPr>
          <w:rFonts w:hint="eastAsia" w:ascii="仿宋" w:hAnsi="仿宋" w:eastAsia="仿宋" w:cs="仿宋"/>
          <w:sz w:val="32"/>
          <w:szCs w:val="32"/>
          <w:lang w:val="en-US" w:eastAsia="zh-CN"/>
        </w:rPr>
        <w:t>211.12</w:t>
      </w:r>
      <w:r>
        <w:rPr>
          <w:rFonts w:hint="eastAsia" w:ascii="仿宋" w:hAnsi="仿宋" w:eastAsia="仿宋" w:cs="仿宋"/>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国有土地使用权出让收入减少</w:t>
      </w:r>
      <w:r>
        <w:rPr>
          <w:rFonts w:hint="eastAsia" w:ascii="仿宋_GB2312" w:hAnsi="黑体" w:eastAsia="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 w:hAnsi="仿宋" w:eastAsia="仿宋" w:cs="仿宋"/>
          <w:sz w:val="32"/>
          <w:szCs w:val="32"/>
        </w:rPr>
      </w:pPr>
      <w:r>
        <w:rPr>
          <w:rFonts w:hint="eastAsia" w:ascii="仿宋_GB2312" w:hAnsi="黑体" w:eastAsia="仿宋_GB2312" w:cs="仿宋_GB2312"/>
          <w:color w:val="000000" w:themeColor="text1"/>
          <w:sz w:val="32"/>
          <w:szCs w:val="32"/>
          <w:lang w:eastAsia="zh-CN"/>
          <w14:textFill>
            <w14:solidFill>
              <w14:schemeClr w14:val="tx1"/>
            </w14:solidFill>
          </w14:textFill>
        </w:rPr>
        <w:t>城乡社区支出</w:t>
      </w:r>
      <w:r>
        <w:rPr>
          <w:rFonts w:hint="eastAsia" w:ascii="仿宋_GB2312" w:hAnsi="黑体" w:eastAsia="仿宋_GB2312" w:cs="仿宋_GB2312"/>
          <w:color w:val="000000" w:themeColor="text1"/>
          <w:sz w:val="32"/>
          <w:szCs w:val="32"/>
          <w14:textFill>
            <w14:solidFill>
              <w14:schemeClr w14:val="tx1"/>
            </w14:solidFill>
          </w14:textFill>
        </w:rPr>
        <w:t>（类）支出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493.26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100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仿宋_GB2312"/>
          <w:color w:val="auto"/>
          <w:sz w:val="32"/>
          <w:szCs w:val="32"/>
          <w:lang w:eastAsia="zh-CN"/>
        </w:rPr>
        <w:t>城乡社区（类）国有土地使用权出让收入安排的支出（款）其他国有土地使用权出让收入安排的支出（项）</w:t>
      </w:r>
      <w:r>
        <w:rPr>
          <w:rFonts w:hint="eastAsia" w:ascii="仿宋_GB2312" w:hAnsi="黑体" w:eastAsia="仿宋_GB2312" w:cs="仿宋_GB2312"/>
          <w:color w:val="auto"/>
          <w:sz w:val="32"/>
          <w:szCs w:val="32"/>
          <w:lang w:val="en-US" w:eastAsia="zh-CN"/>
        </w:rPr>
        <w:t>2024年预算数为493.26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 w:hAnsi="仿宋" w:eastAsia="仿宋" w:cs="仿宋"/>
          <w:color w:val="auto"/>
          <w:sz w:val="32"/>
          <w:szCs w:val="32"/>
        </w:rPr>
        <w:t>比</w:t>
      </w:r>
      <w:r>
        <w:rPr>
          <w:rFonts w:hint="eastAsia" w:ascii="仿宋" w:hAnsi="仿宋" w:eastAsia="仿宋" w:cs="仿宋"/>
          <w:sz w:val="32"/>
          <w:szCs w:val="32"/>
        </w:rPr>
        <w:t>上年预算数减少</w:t>
      </w:r>
      <w:r>
        <w:rPr>
          <w:rFonts w:hint="eastAsia" w:ascii="仿宋" w:hAnsi="仿宋" w:eastAsia="仿宋" w:cs="仿宋"/>
          <w:sz w:val="32"/>
          <w:szCs w:val="32"/>
          <w:lang w:val="en-US" w:eastAsia="zh-CN"/>
        </w:rPr>
        <w:t>211.12</w:t>
      </w:r>
      <w:r>
        <w:rPr>
          <w:rFonts w:hint="eastAsia" w:ascii="仿宋" w:hAnsi="仿宋" w:eastAsia="仿宋" w:cs="仿宋"/>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国有土地使用权出让收入减少</w:t>
      </w:r>
      <w:r>
        <w:rPr>
          <w:rFonts w:hint="eastAsia" w:ascii="仿宋_GB2312" w:hAnsi="黑体" w:eastAsia="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琼海市人力资源和社会保障局</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w:t>
      </w:r>
      <w:r>
        <w:rPr>
          <w:rFonts w:hint="eastAsia" w:ascii="仿宋_GB2312" w:hAnsi="黑体" w:eastAsia="仿宋_GB2312" w:cs="仿宋_GB2312"/>
          <w:color w:val="000000" w:themeColor="text1"/>
          <w:sz w:val="32"/>
          <w:szCs w:val="32"/>
          <w14:textFill>
            <w14:solidFill>
              <w14:schemeClr w14:val="tx1"/>
            </w14:solidFill>
          </w14:textFill>
        </w:rPr>
        <w:t>按照综合预算原则，</w:t>
      </w:r>
      <w:r>
        <w:rPr>
          <w:rFonts w:hint="eastAsia" w:ascii="仿宋_GB2312" w:hAnsi="黑体" w:eastAsia="仿宋_GB2312"/>
          <w:color w:val="000000" w:themeColor="text1"/>
          <w:sz w:val="32"/>
          <w:szCs w:val="32"/>
          <w:lang w:eastAsia="zh-CN"/>
          <w14:textFill>
            <w14:solidFill>
              <w14:schemeClr w14:val="tx1"/>
            </w14:solidFill>
          </w14:textFill>
        </w:rPr>
        <w:t>琼海市人力资源和社会保障局</w:t>
      </w:r>
      <w:r>
        <w:rPr>
          <w:rFonts w:hint="eastAsia" w:ascii="仿宋_GB2312" w:hAnsi="黑体" w:eastAsia="仿宋_GB2312" w:cs="仿宋_GB2312"/>
          <w:color w:val="000000" w:themeColor="text1"/>
          <w:sz w:val="32"/>
          <w:szCs w:val="32"/>
          <w14:textFill>
            <w14:solidFill>
              <w14:schemeClr w14:val="tx1"/>
            </w14:solidFill>
          </w14:textFill>
        </w:rPr>
        <w:t>所有收入和支出均纳入部门预算管理。收入包括：一般公共预算收入</w:t>
      </w:r>
      <w:r>
        <w:rPr>
          <w:rFonts w:hint="eastAsia" w:ascii="仿宋_GB2312" w:hAnsi="黑体" w:eastAsia="仿宋_GB2312" w:cs="仿宋_GB2312"/>
          <w:color w:val="000000" w:themeColor="text1"/>
          <w:sz w:val="32"/>
          <w:szCs w:val="32"/>
          <w:lang w:eastAsia="zh-CN"/>
          <w14:textFill>
            <w14:solidFill>
              <w14:schemeClr w14:val="tx1"/>
            </w14:solidFill>
          </w14:textFill>
        </w:rPr>
        <w:t>、政府性基金收入</w:t>
      </w:r>
      <w:r>
        <w:rPr>
          <w:rFonts w:hint="eastAsia" w:ascii="仿宋_GB2312" w:hAnsi="黑体" w:eastAsia="仿宋_GB2312"/>
          <w:color w:val="000000" w:themeColor="text1"/>
          <w:sz w:val="32"/>
          <w:szCs w:val="32"/>
          <w14:textFill>
            <w14:solidFill>
              <w14:schemeClr w14:val="tx1"/>
            </w14:solidFill>
          </w14:textFill>
        </w:rPr>
        <w:t>；支出包括：一般公共服务支出、</w:t>
      </w:r>
      <w:r>
        <w:rPr>
          <w:rFonts w:hint="eastAsia" w:ascii="仿宋_GB2312" w:hAnsi="黑体" w:eastAsia="仿宋_GB2312"/>
          <w:color w:val="000000" w:themeColor="text1"/>
          <w:sz w:val="32"/>
          <w:szCs w:val="32"/>
          <w:lang w:eastAsia="zh-CN"/>
          <w14:textFill>
            <w14:solidFill>
              <w14:schemeClr w14:val="tx1"/>
            </w14:solidFill>
          </w14:textFill>
        </w:rPr>
        <w:t>社会保障和就业支出、卫生健康支出、住房保障支出</w:t>
      </w:r>
      <w:r>
        <w:rPr>
          <w:rFonts w:hint="eastAsia" w:ascii="仿宋_GB2312" w:hAnsi="黑体" w:eastAsia="仿宋_GB2312"/>
          <w:color w:val="000000" w:themeColor="text1"/>
          <w:sz w:val="32"/>
          <w:szCs w:val="32"/>
          <w14:textFill>
            <w14:solidFill>
              <w14:schemeClr w14:val="tx1"/>
            </w14:solidFill>
          </w14:textFill>
        </w:rPr>
        <w:t>。</w:t>
      </w: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年收支总预算1335.07万元。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琼海市人力资源和社会保障局</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年收入预算情况说明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年收入预算1335.07万元，其中：上年结转13.09万元，占</w:t>
      </w:r>
      <w:r>
        <w:rPr>
          <w:rFonts w:hint="eastAsia" w:ascii="仿宋" w:hAnsi="仿宋" w:eastAsia="仿宋" w:cs="仿宋"/>
          <w:sz w:val="32"/>
          <w:szCs w:val="32"/>
          <w:lang w:val="en-US" w:eastAsia="zh-CN"/>
        </w:rPr>
        <w:t>0.98</w:t>
      </w:r>
      <w:r>
        <w:rPr>
          <w:rFonts w:hint="eastAsia" w:ascii="仿宋" w:hAnsi="仿宋" w:eastAsia="仿宋" w:cs="仿宋"/>
          <w:sz w:val="32"/>
          <w:szCs w:val="32"/>
        </w:rPr>
        <w:t>%；经费拨款收入828.72万元，占</w:t>
      </w:r>
      <w:r>
        <w:rPr>
          <w:rFonts w:hint="eastAsia" w:ascii="仿宋" w:hAnsi="仿宋" w:eastAsia="仿宋" w:cs="仿宋"/>
          <w:sz w:val="32"/>
          <w:szCs w:val="32"/>
          <w:lang w:val="en-US" w:eastAsia="zh-CN"/>
        </w:rPr>
        <w:t>62</w:t>
      </w:r>
      <w:r>
        <w:rPr>
          <w:rFonts w:hint="eastAsia" w:ascii="仿宋" w:hAnsi="仿宋" w:eastAsia="仿宋" w:cs="仿宋"/>
          <w:sz w:val="32"/>
          <w:szCs w:val="32"/>
        </w:rPr>
        <w:t>%；政府性基金收入493.26万元，占</w:t>
      </w:r>
      <w:r>
        <w:rPr>
          <w:rFonts w:hint="eastAsia" w:ascii="仿宋" w:hAnsi="仿宋" w:eastAsia="仿宋" w:cs="仿宋"/>
          <w:sz w:val="32"/>
          <w:szCs w:val="32"/>
          <w:lang w:val="en-US" w:eastAsia="zh-CN"/>
        </w:rPr>
        <w:t>37</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293.67</w:t>
      </w:r>
      <w:r>
        <w:rPr>
          <w:rFonts w:hint="eastAsia" w:ascii="仿宋" w:hAnsi="仿宋" w:eastAsia="仿宋" w:cs="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增加就业补助资金</w:t>
      </w:r>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琼海市人力资源和社会保障局</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年支出预算情况说明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w:t>
      </w:r>
      <w:r>
        <w:rPr>
          <w:rFonts w:hint="eastAsia" w:ascii="仿宋" w:hAnsi="仿宋" w:eastAsia="仿宋" w:cs="仿宋"/>
          <w:sz w:val="32"/>
          <w:szCs w:val="32"/>
        </w:rPr>
        <w:t>335.07万元，其中：基本支出321.48万元，占</w:t>
      </w:r>
      <w:r>
        <w:rPr>
          <w:rFonts w:hint="eastAsia" w:ascii="仿宋" w:hAnsi="仿宋" w:eastAsia="仿宋" w:cs="仿宋"/>
          <w:sz w:val="32"/>
          <w:szCs w:val="32"/>
          <w:lang w:val="en-US" w:eastAsia="zh-CN"/>
        </w:rPr>
        <w:t>24</w:t>
      </w:r>
      <w:r>
        <w:rPr>
          <w:rFonts w:hint="eastAsia" w:ascii="仿宋" w:hAnsi="仿宋" w:eastAsia="仿宋" w:cs="仿宋"/>
          <w:sz w:val="32"/>
          <w:szCs w:val="32"/>
        </w:rPr>
        <w:t>%；项目支出1013.59万元，占</w:t>
      </w:r>
      <w:r>
        <w:rPr>
          <w:rFonts w:hint="eastAsia" w:ascii="仿宋" w:hAnsi="仿宋" w:eastAsia="仿宋" w:cs="仿宋"/>
          <w:sz w:val="32"/>
          <w:szCs w:val="32"/>
          <w:lang w:val="en-US" w:eastAsia="zh-CN"/>
        </w:rPr>
        <w:t>76</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293.67</w:t>
      </w:r>
      <w:r>
        <w:rPr>
          <w:rFonts w:hint="eastAsia" w:ascii="仿宋" w:hAnsi="仿宋" w:eastAsia="仿宋" w:cs="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增加就业补助资金</w:t>
      </w:r>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szCs w:val="32"/>
          <w:lang w:eastAsia="zh-CN"/>
          <w14:textFill>
            <w14:solidFill>
              <w14:schemeClr w14:val="tx1"/>
            </w14:solidFill>
          </w14:textFill>
        </w:rPr>
        <w:t>琼海市人力资源和社会保障局的</w:t>
      </w:r>
      <w:r>
        <w:rPr>
          <w:rFonts w:hint="eastAsia" w:ascii="仿宋_GB2312" w:hAnsi="黑体" w:eastAsia="仿宋_GB2312" w:cs="仿宋_GB2312"/>
          <w:color w:val="000000" w:themeColor="text1"/>
          <w:sz w:val="32"/>
          <w:szCs w:val="32"/>
          <w14:textFill>
            <w14:solidFill>
              <w14:schemeClr w14:val="tx1"/>
            </w14:solidFill>
          </w14:textFill>
        </w:rPr>
        <w:t>机关运行经费预算</w:t>
      </w:r>
      <w:r>
        <w:rPr>
          <w:rFonts w:hint="eastAsia" w:ascii="仿宋" w:hAnsi="仿宋" w:eastAsia="仿宋" w:cs="仿宋"/>
          <w:sz w:val="32"/>
          <w:szCs w:val="32"/>
        </w:rPr>
        <w:t>207.27</w:t>
      </w:r>
      <w:r>
        <w:rPr>
          <w:rFonts w:hint="eastAsia" w:ascii="仿宋_GB2312" w:hAnsi="黑体" w:eastAsia="仿宋_GB2312"/>
          <w:color w:val="000000" w:themeColor="text1"/>
          <w:sz w:val="32"/>
          <w:szCs w:val="32"/>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rPr>
        <w:t>政府采购预算总额20万元，其中：政府采购货物预算20万元。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1</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琼海市人力资源和社会保障局</w:t>
      </w:r>
      <w:r>
        <w:rPr>
          <w:rFonts w:hint="eastAsia" w:ascii="仿宋" w:hAnsi="仿宋" w:eastAsia="仿宋" w:cs="仿宋"/>
          <w:sz w:val="32"/>
          <w:szCs w:val="32"/>
          <w:lang w:val="en-US" w:eastAsia="zh-CN"/>
        </w:rPr>
        <w:t>22</w:t>
      </w:r>
      <w:r>
        <w:rPr>
          <w:rFonts w:hint="eastAsia" w:ascii="仿宋" w:hAnsi="仿宋" w:eastAsia="仿宋" w:cs="仿宋"/>
          <w:sz w:val="32"/>
          <w:szCs w:val="32"/>
        </w:rPr>
        <w:t>个项目实行绩效目标管理，涉及一般公共预算828.72万元、政府性基金493.26万元。</w:t>
      </w:r>
    </w:p>
    <w:p>
      <w:pPr>
        <w:spacing w:line="578" w:lineRule="exact"/>
        <w:jc w:val="center"/>
        <w:rPr>
          <w:rFonts w:hint="eastAsia" w:ascii="仿宋" w:hAnsi="仿宋" w:eastAsia="仿宋" w:cs="仿宋"/>
          <w:sz w:val="32"/>
          <w:szCs w:val="32"/>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keepNext w:val="0"/>
        <w:keepLines w:val="0"/>
        <w:pageBreakBefore w:val="0"/>
        <w:widowControl/>
        <w:kinsoku/>
        <w:wordWrap/>
        <w:overflowPunct/>
        <w:topLinePunct w:val="0"/>
        <w:autoSpaceDE w:val="0"/>
        <w:autoSpaceDN w:val="0"/>
        <w:bidi w:val="0"/>
        <w:adjustRightInd w:val="0"/>
        <w:snapToGrid w:val="0"/>
        <w:spacing w:after="0" w:line="540" w:lineRule="exact"/>
        <w:ind w:firstLine="640" w:firstLineChars="200"/>
        <w:jc w:val="left"/>
        <w:textAlignment w:val="auto"/>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三、其他财政资金收入：</w:t>
      </w:r>
      <w:r>
        <w:rPr>
          <w:rFonts w:hint="eastAsia" w:ascii="仿宋_GB2312" w:eastAsia="仿宋_GB2312" w:cs="宋体"/>
          <w:bCs/>
          <w:color w:val="auto"/>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auto"/>
          <w:kern w:val="0"/>
          <w:sz w:val="32"/>
          <w:szCs w:val="32"/>
        </w:rPr>
        <w:t xml:space="preserve"> </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四、收回存量资金收入：</w:t>
      </w:r>
      <w:r>
        <w:rPr>
          <w:rFonts w:hint="eastAsia" w:ascii="仿宋_GB2312" w:eastAsia="仿宋_GB2312" w:cs="宋体"/>
          <w:bCs/>
          <w:color w:val="auto"/>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五、事业收入：</w:t>
      </w:r>
      <w:r>
        <w:rPr>
          <w:rFonts w:hint="eastAsia" w:ascii="仿宋_GB2312" w:eastAsia="仿宋_GB2312" w:cs="宋体"/>
          <w:bCs/>
          <w:color w:val="auto"/>
          <w:kern w:val="0"/>
          <w:sz w:val="32"/>
          <w:szCs w:val="32"/>
          <w:lang w:val="zh-CN"/>
        </w:rPr>
        <w:t>指用于反映事业单位开展专业业务活动及辅助活动所取得的收入。</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w:t>
      </w:r>
      <w:r>
        <w:rPr>
          <w:rFonts w:hint="eastAsia" w:ascii="仿宋_GB2312" w:eastAsia="仿宋_GB2312"/>
          <w:color w:val="auto"/>
          <w:sz w:val="32"/>
          <w:szCs w:val="32"/>
        </w:rPr>
        <w:t>事业单位经营收入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指用于反映事业单位在专业活动及辅助活动之外开展非独立核算经营活动取得的收入。</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七、其他收入：</w:t>
      </w:r>
      <w:r>
        <w:rPr>
          <w:rFonts w:hint="eastAsia" w:ascii="仿宋_GB2312" w:eastAsia="仿宋_GB2312" w:cs="宋体"/>
          <w:bCs/>
          <w:color w:val="auto"/>
          <w:kern w:val="0"/>
          <w:sz w:val="32"/>
          <w:szCs w:val="32"/>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widowControl/>
        <w:kinsoku/>
        <w:wordWrap/>
        <w:overflowPunct/>
        <w:topLinePunct w:val="0"/>
        <w:autoSpaceDE w:val="0"/>
        <w:autoSpaceDN w:val="0"/>
        <w:bidi w:val="0"/>
        <w:adjustRightInd w:val="0"/>
        <w:snapToGrid w:val="0"/>
        <w:spacing w:after="0" w:line="540" w:lineRule="exact"/>
        <w:ind w:firstLine="640" w:firstLineChars="200"/>
        <w:jc w:val="left"/>
        <w:textAlignment w:val="auto"/>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八、</w:t>
      </w:r>
      <w:r>
        <w:rPr>
          <w:rFonts w:hint="eastAsia" w:ascii="仿宋_GB2312" w:eastAsia="仿宋_GB2312"/>
          <w:color w:val="auto"/>
          <w:sz w:val="32"/>
          <w:szCs w:val="32"/>
        </w:rPr>
        <w:t>用事业基金弥补收支差额</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widowControl/>
        <w:kinsoku/>
        <w:wordWrap/>
        <w:overflowPunct/>
        <w:topLinePunct w:val="0"/>
        <w:autoSpaceDE w:val="0"/>
        <w:autoSpaceDN w:val="0"/>
        <w:bidi w:val="0"/>
        <w:adjustRightInd w:val="0"/>
        <w:snapToGrid w:val="0"/>
        <w:spacing w:after="0" w:line="540" w:lineRule="exact"/>
        <w:ind w:firstLine="640" w:firstLineChars="200"/>
        <w:jc w:val="left"/>
        <w:textAlignment w:val="auto"/>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九、</w:t>
      </w:r>
      <w:r>
        <w:rPr>
          <w:rFonts w:hint="eastAsia" w:ascii="仿宋_GB2312" w:eastAsia="仿宋_GB2312"/>
          <w:color w:val="auto"/>
          <w:sz w:val="32"/>
          <w:szCs w:val="32"/>
        </w:rPr>
        <w:t>上年结转结余收入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指用于反映以前年度尚未完成、结转到本年仍按规定用途继续使用的资金等。</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olor w:val="auto"/>
          <w:sz w:val="32"/>
          <w:szCs w:val="32"/>
          <w:lang w:eastAsia="zh-CN"/>
        </w:rPr>
      </w:pPr>
      <w:r>
        <w:rPr>
          <w:rFonts w:hint="eastAsia" w:ascii="仿宋_GB2312" w:hAnsi="宋体" w:eastAsia="仿宋_GB2312" w:cs="宋体"/>
          <w:color w:val="auto"/>
          <w:kern w:val="0"/>
          <w:sz w:val="32"/>
          <w:szCs w:val="30"/>
          <w:lang w:eastAsia="zh-CN"/>
        </w:rPr>
        <w:t>十、</w:t>
      </w:r>
      <w:r>
        <w:rPr>
          <w:rFonts w:hint="eastAsia" w:ascii="仿宋_GB2312" w:hAnsi="黑体" w:eastAsia="仿宋_GB2312" w:cs="仿宋_GB2312"/>
          <w:color w:val="auto"/>
          <w:sz w:val="32"/>
          <w:szCs w:val="32"/>
        </w:rPr>
        <w:t>一般公共服务（类）人</w:t>
      </w:r>
      <w:r>
        <w:rPr>
          <w:rFonts w:hint="eastAsia" w:ascii="仿宋_GB2312" w:hAnsi="黑体" w:eastAsia="仿宋_GB2312" w:cs="仿宋_GB2312"/>
          <w:color w:val="auto"/>
          <w:sz w:val="32"/>
          <w:szCs w:val="32"/>
          <w:lang w:eastAsia="zh-CN"/>
        </w:rPr>
        <w:t>力资源事务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：指用于其他人力资源事务方面的支出</w:t>
      </w:r>
      <w:r>
        <w:rPr>
          <w:rFonts w:hint="eastAsia" w:ascii="仿宋_GB2312" w:hAnsi="黑体" w:eastAsia="仿宋_GB2312"/>
          <w:color w:val="auto"/>
          <w:sz w:val="32"/>
          <w:szCs w:val="32"/>
          <w:lang w:eastAsia="zh-CN"/>
        </w:rPr>
        <w:t>。</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宋体" w:eastAsia="仿宋_GB2312" w:cs="宋体"/>
          <w:color w:val="auto"/>
          <w:kern w:val="0"/>
          <w:sz w:val="32"/>
          <w:szCs w:val="30"/>
          <w:lang w:eastAsia="zh-CN"/>
        </w:rPr>
      </w:pPr>
      <w:r>
        <w:rPr>
          <w:rFonts w:hint="eastAsia" w:ascii="仿宋_GB2312" w:hAnsi="黑体" w:eastAsia="仿宋_GB2312" w:cs="仿宋_GB2312"/>
          <w:color w:val="auto"/>
          <w:sz w:val="32"/>
          <w:szCs w:val="32"/>
          <w:lang w:eastAsia="zh-CN"/>
        </w:rPr>
        <w:t>十一、社会保障和就业支出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综合业务管理</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w:t>
      </w:r>
      <w:r>
        <w:rPr>
          <w:rFonts w:hint="eastAsia" w:ascii="仿宋_GB2312" w:hAnsi="宋体" w:eastAsia="仿宋_GB2312" w:cs="宋体"/>
          <w:color w:val="auto"/>
          <w:kern w:val="0"/>
          <w:sz w:val="32"/>
          <w:szCs w:val="30"/>
        </w:rPr>
        <w:t>正常运转、开展日常工作而发生的人员支出和公用支出</w:t>
      </w:r>
      <w:r>
        <w:rPr>
          <w:rFonts w:hint="eastAsia" w:ascii="仿宋_GB2312" w:hAnsi="宋体" w:eastAsia="仿宋_GB2312" w:cs="宋体"/>
          <w:color w:val="auto"/>
          <w:kern w:val="0"/>
          <w:sz w:val="32"/>
          <w:szCs w:val="30"/>
          <w:lang w:eastAsia="zh-CN"/>
        </w:rPr>
        <w:t>。</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十四、社会保障和就业支出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其他人力资源和社会保障管理事务支出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指政府用于其他人力资源和社会保障管理事务方面的支出。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十五、社会保障和就业支出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行政事业单位离退休</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仿宋" w:eastAsia="仿宋_GB2312" w:cs="仿宋"/>
          <w:color w:val="auto"/>
          <w:sz w:val="32"/>
          <w:szCs w:val="32"/>
          <w:shd w:val="clear" w:color="auto" w:fill="FFFFFF"/>
        </w:rPr>
        <w:t>指财政部门集中安排的行政</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w:t>
      </w:r>
      <w:r>
        <w:rPr>
          <w:rFonts w:hint="eastAsia" w:ascii="仿宋_GB2312" w:hAnsi="仿宋" w:eastAsia="仿宋_GB2312" w:cs="仿宋"/>
          <w:color w:val="auto"/>
          <w:sz w:val="32"/>
          <w:szCs w:val="32"/>
          <w:shd w:val="clear" w:color="auto" w:fill="FFFFFF"/>
          <w:lang w:eastAsia="zh-CN"/>
        </w:rPr>
        <w:t>养老</w:t>
      </w:r>
      <w:r>
        <w:rPr>
          <w:rFonts w:hint="eastAsia" w:ascii="仿宋_GB2312" w:hAnsi="仿宋" w:eastAsia="仿宋_GB2312" w:cs="仿宋"/>
          <w:color w:val="auto"/>
          <w:sz w:val="32"/>
          <w:szCs w:val="32"/>
          <w:shd w:val="clear" w:color="auto" w:fill="FFFFFF"/>
        </w:rPr>
        <w:t>保险缴费经费</w:t>
      </w:r>
      <w:r>
        <w:rPr>
          <w:rFonts w:hint="eastAsia" w:ascii="仿宋_GB2312" w:hAnsi="仿宋" w:eastAsia="仿宋_GB2312" w:cs="仿宋"/>
          <w:color w:val="auto"/>
          <w:sz w:val="32"/>
          <w:szCs w:val="32"/>
          <w:shd w:val="clear" w:color="auto" w:fill="FFFFFF"/>
          <w:lang w:eastAsia="zh-CN"/>
        </w:rPr>
        <w:t>。</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十六、社会保障和就业支出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抚恤</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其他优抚支出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指政府用于优抚对象的补助支出。</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十七、</w:t>
      </w:r>
      <w:r>
        <w:rPr>
          <w:rFonts w:hint="eastAsia" w:ascii="仿宋_GB2312" w:hAnsi="仿宋" w:eastAsia="仿宋_GB2312" w:cs="仿宋"/>
          <w:color w:val="auto"/>
          <w:sz w:val="32"/>
          <w:szCs w:val="32"/>
          <w:shd w:val="clear" w:color="auto" w:fill="FFFFFF"/>
          <w:lang w:eastAsia="zh-CN"/>
        </w:rPr>
        <w:t>卫生健康支出</w:t>
      </w:r>
      <w:r>
        <w:rPr>
          <w:rFonts w:hint="eastAsia" w:ascii="仿宋_GB2312" w:hAnsi="仿宋" w:eastAsia="仿宋_GB2312" w:cs="仿宋"/>
          <w:color w:val="auto"/>
          <w:sz w:val="32"/>
          <w:szCs w:val="32"/>
          <w:shd w:val="clear" w:color="auto" w:fill="FFFFFF"/>
        </w:rPr>
        <w:t>（类）行政事业单位医疗（款）行政单位医疗（项）指财政部门集中安排的行政单位基本医疗保险缴费经费，未参加医疗保险的事业单位的公费医疗经费。</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eastAsia="zh-CN"/>
        </w:rPr>
        <w:t>十八、</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支出（类）行政事业单位医疗（款）事业单位医疗（项）指财政部门集中安排的</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单位基本医疗保险缴费经费，未参加医疗保险的事业单位的公费医疗经费，按国家规定享受离休人员待遇的医疗经费。</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十九、</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支出（类）行政事业单位医疗（款）公务员医疗补助（项）指财政部门集中安排的公务员医疗补助经费。</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二十、</w:t>
      </w:r>
      <w:r>
        <w:rPr>
          <w:rFonts w:hint="eastAsia" w:ascii="仿宋_GB2312" w:hAnsi="仿宋" w:eastAsia="仿宋_GB2312" w:cs="仿宋"/>
          <w:color w:val="auto"/>
          <w:sz w:val="32"/>
          <w:szCs w:val="32"/>
          <w:shd w:val="clear" w:color="auto" w:fill="FFFFFF"/>
        </w:rPr>
        <w:t>住房保障支出（类）住房改革支出（款）住房公积金（项）指用于行政事业单位按人力资源和社会保障部、财政部规定的基本工资和津贴补贴以及规定比例为职工缴纳的住房公积金。</w:t>
      </w:r>
    </w:p>
    <w:p>
      <w:pPr>
        <w:pStyle w:val="3"/>
        <w:keepNext w:val="0"/>
        <w:keepLines w:val="0"/>
        <w:pageBreakBefore w:val="0"/>
        <w:widowControl/>
        <w:shd w:val="clear" w:color="auto" w:fill="FFFFFF"/>
        <w:kinsoku/>
        <w:wordWrap/>
        <w:overflowPunct/>
        <w:topLinePunct w:val="0"/>
        <w:bidi w:val="0"/>
        <w:adjustRightInd w:val="0"/>
        <w:snapToGrid w:val="0"/>
        <w:spacing w:before="0" w:beforeAutospacing="0" w:after="0" w:afterAutospacing="0" w:line="540" w:lineRule="exact"/>
        <w:ind w:firstLine="640" w:firstLineChars="200"/>
        <w:textAlignment w:val="auto"/>
        <w:rPr>
          <w:rFonts w:hint="eastAsia" w:ascii="仿宋_GB2312" w:hAnsi="宋体" w:eastAsia="仿宋_GB2312" w:cs="宋体"/>
          <w:color w:val="auto"/>
          <w:kern w:val="0"/>
          <w:sz w:val="32"/>
          <w:szCs w:val="30"/>
        </w:rPr>
      </w:pPr>
      <w:r>
        <w:rPr>
          <w:rFonts w:hint="eastAsia" w:ascii="仿宋_GB2312" w:hAnsi="黑体" w:eastAsia="仿宋_GB2312" w:cs="仿宋_GB2312"/>
          <w:color w:val="auto"/>
          <w:sz w:val="32"/>
          <w:szCs w:val="32"/>
          <w:lang w:val="en-US" w:eastAsia="zh-CN"/>
        </w:rPr>
        <w:t>二十一、</w:t>
      </w:r>
      <w:r>
        <w:rPr>
          <w:rFonts w:hint="eastAsia" w:ascii="仿宋_GB2312" w:hAnsi="宋体" w:eastAsia="仿宋_GB2312" w:cs="宋体"/>
          <w:color w:val="auto"/>
          <w:kern w:val="0"/>
          <w:sz w:val="32"/>
          <w:szCs w:val="30"/>
        </w:rPr>
        <w:t>基本支出：指行政事业单位用于为保障其机构正常运转、完成日常工作任务而发生的人员支出和公用支出。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0"/>
        </w:rPr>
      </w:pPr>
      <w:r>
        <w:rPr>
          <w:rFonts w:hint="eastAsia" w:ascii="仿宋_GB2312" w:hAnsi="仿宋" w:eastAsia="仿宋_GB2312" w:cs="仿宋"/>
          <w:color w:val="auto"/>
          <w:sz w:val="32"/>
          <w:szCs w:val="32"/>
          <w:shd w:val="clear" w:color="auto" w:fill="FFFFFF"/>
          <w:lang w:eastAsia="zh-CN"/>
        </w:rPr>
        <w:t>二十二、</w:t>
      </w:r>
      <w:r>
        <w:rPr>
          <w:rFonts w:hint="eastAsia" w:ascii="仿宋_GB2312" w:hAnsi="宋体" w:eastAsia="仿宋_GB2312" w:cs="宋体"/>
          <w:color w:val="auto"/>
          <w:kern w:val="0"/>
          <w:sz w:val="32"/>
          <w:szCs w:val="30"/>
        </w:rPr>
        <w:t>项目支出：指各部门、各单位为完成其特定的工作任务和事业发展目标所发生的支出。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lang w:eastAsia="zh-CN"/>
        </w:rPr>
        <w:t>二十三</w:t>
      </w:r>
      <w:r>
        <w:rPr>
          <w:rFonts w:hint="eastAsia" w:ascii="仿宋_GB2312" w:hAnsi="宋体" w:eastAsia="仿宋_GB2312" w:cs="宋体"/>
          <w:color w:val="auto"/>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二十四</w:t>
      </w:r>
      <w:r>
        <w:rPr>
          <w:rFonts w:hint="eastAsia" w:ascii="仿宋_GB2312" w:hAnsi="宋体" w:eastAsia="仿宋_GB2312" w:cs="宋体"/>
          <w:color w:val="auto"/>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二十五</w:t>
      </w:r>
      <w:r>
        <w:rPr>
          <w:rFonts w:hint="eastAsia" w:ascii="仿宋_GB2312" w:hAnsi="仿宋_GB2312" w:eastAsia="仿宋_GB2312" w:cs="仿宋_GB2312"/>
          <w:b w:val="0"/>
          <w:bCs/>
          <w:color w:val="auto"/>
          <w:kern w:val="0"/>
          <w:sz w:val="32"/>
          <w:szCs w:val="32"/>
        </w:rPr>
        <w:t>、社会保障和就业支出：</w:t>
      </w:r>
      <w:r>
        <w:rPr>
          <w:rFonts w:hint="eastAsia" w:ascii="仿宋_GB2312" w:hAnsi="仿宋_GB2312" w:eastAsia="仿宋_GB2312" w:cs="仿宋_GB2312"/>
          <w:color w:val="auto"/>
          <w:kern w:val="0"/>
          <w:sz w:val="32"/>
          <w:szCs w:val="32"/>
        </w:rPr>
        <w:t>指政府在社会保障和就业方面的支出。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二十六</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卫生健康</w:t>
      </w:r>
      <w:r>
        <w:rPr>
          <w:rFonts w:hint="eastAsia" w:ascii="仿宋_GB2312" w:hAnsi="仿宋_GB2312" w:eastAsia="仿宋_GB2312" w:cs="仿宋_GB2312"/>
          <w:b w:val="0"/>
          <w:bCs/>
          <w:color w:val="auto"/>
          <w:kern w:val="0"/>
          <w:sz w:val="32"/>
          <w:szCs w:val="32"/>
        </w:rPr>
        <w:t>支出：</w:t>
      </w:r>
      <w:r>
        <w:rPr>
          <w:rFonts w:hint="eastAsia" w:ascii="仿宋_GB2312" w:hAnsi="仿宋_GB2312" w:eastAsia="仿宋_GB2312" w:cs="仿宋_GB2312"/>
          <w:color w:val="auto"/>
          <w:kern w:val="0"/>
          <w:sz w:val="32"/>
          <w:szCs w:val="32"/>
        </w:rPr>
        <w:t>指政府在医疗卫生和计划生育管理方面的支出。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黑体" w:eastAsia="仿宋_GB2312" w:cs="仿宋_GB2312"/>
          <w:color w:val="auto"/>
          <w:sz w:val="32"/>
          <w:szCs w:val="32"/>
        </w:rPr>
      </w:pPr>
      <w:r>
        <w:rPr>
          <w:rFonts w:hint="eastAsia" w:ascii="仿宋_GB2312" w:hAnsi="仿宋_GB2312" w:eastAsia="仿宋_GB2312" w:cs="仿宋_GB2312"/>
          <w:b w:val="0"/>
          <w:bCs/>
          <w:color w:val="auto"/>
          <w:kern w:val="0"/>
          <w:sz w:val="32"/>
          <w:szCs w:val="32"/>
          <w:lang w:eastAsia="zh-CN"/>
        </w:rPr>
        <w:t>二十七</w:t>
      </w:r>
      <w:r>
        <w:rPr>
          <w:rFonts w:hint="eastAsia" w:ascii="仿宋_GB2312" w:hAnsi="仿宋_GB2312" w:eastAsia="仿宋_GB2312" w:cs="仿宋_GB2312"/>
          <w:b w:val="0"/>
          <w:bCs/>
          <w:color w:val="auto"/>
          <w:kern w:val="0"/>
          <w:sz w:val="32"/>
          <w:szCs w:val="32"/>
        </w:rPr>
        <w:t>、住房保障支出：</w:t>
      </w:r>
      <w:r>
        <w:rPr>
          <w:rFonts w:hint="eastAsia" w:ascii="仿宋_GB2312" w:hAnsi="仿宋_GB2312" w:eastAsia="仿宋_GB2312" w:cs="仿宋_GB2312"/>
          <w:color w:val="auto"/>
          <w:spacing w:val="-10"/>
          <w:kern w:val="0"/>
          <w:sz w:val="32"/>
          <w:szCs w:val="32"/>
        </w:rPr>
        <w:t>集中反映政府用于住房方面的支出。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黑体" w:eastAsia="仿宋_GB2312" w:cs="仿宋_GB2312"/>
          <w:sz w:val="32"/>
          <w:szCs w:val="32"/>
        </w:rPr>
      </w:pP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zFhODU1ZmRlMTU3NGEzNzc0NGY1YjMwOWVmOTkifQ=="/>
  </w:docVars>
  <w:rsids>
    <w:rsidRoot w:val="00D31D50"/>
    <w:rsid w:val="00323B43"/>
    <w:rsid w:val="003D37D8"/>
    <w:rsid w:val="00426133"/>
    <w:rsid w:val="004358AB"/>
    <w:rsid w:val="008B7726"/>
    <w:rsid w:val="00D31D50"/>
    <w:rsid w:val="094C762E"/>
    <w:rsid w:val="09727D0F"/>
    <w:rsid w:val="13E9022F"/>
    <w:rsid w:val="166C5148"/>
    <w:rsid w:val="16C4316D"/>
    <w:rsid w:val="178A2B09"/>
    <w:rsid w:val="20461107"/>
    <w:rsid w:val="21050673"/>
    <w:rsid w:val="24C8689B"/>
    <w:rsid w:val="25B007D5"/>
    <w:rsid w:val="28464784"/>
    <w:rsid w:val="2852419D"/>
    <w:rsid w:val="2F2A5E74"/>
    <w:rsid w:val="30731155"/>
    <w:rsid w:val="36C60BF1"/>
    <w:rsid w:val="36D8085D"/>
    <w:rsid w:val="383035B4"/>
    <w:rsid w:val="3B021497"/>
    <w:rsid w:val="3C0D6901"/>
    <w:rsid w:val="3C666012"/>
    <w:rsid w:val="3E513550"/>
    <w:rsid w:val="3EEA5B14"/>
    <w:rsid w:val="427B62EC"/>
    <w:rsid w:val="42EA174A"/>
    <w:rsid w:val="44CB1108"/>
    <w:rsid w:val="45D93CF8"/>
    <w:rsid w:val="47430FF6"/>
    <w:rsid w:val="47C93B06"/>
    <w:rsid w:val="485D53E0"/>
    <w:rsid w:val="4A5D0A54"/>
    <w:rsid w:val="4C3577A4"/>
    <w:rsid w:val="4DDD7028"/>
    <w:rsid w:val="4EC54F2E"/>
    <w:rsid w:val="5176064D"/>
    <w:rsid w:val="5363126C"/>
    <w:rsid w:val="58304C11"/>
    <w:rsid w:val="5C0F6C1F"/>
    <w:rsid w:val="5E91746C"/>
    <w:rsid w:val="60B371C8"/>
    <w:rsid w:val="654C1999"/>
    <w:rsid w:val="65735178"/>
    <w:rsid w:val="66C457DD"/>
    <w:rsid w:val="6AA03E85"/>
    <w:rsid w:val="6E8A3EFB"/>
    <w:rsid w:val="71B62CCA"/>
    <w:rsid w:val="722717C4"/>
    <w:rsid w:val="72C40DC1"/>
    <w:rsid w:val="7AAA2F92"/>
    <w:rsid w:val="7E3A2294"/>
    <w:rsid w:val="7ECB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szCs w:val="18"/>
    </w:rPr>
  </w:style>
  <w:style w:type="paragraph" w:styleId="3">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customStyle="1"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2024-03-13T06:58:59Z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318A59ACD3F345BE81DF02E669B445B0_13</vt:lpwstr>
  </property>
</Properties>
</file>