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4" w:rsidRDefault="00A169A7">
      <w:pPr>
        <w:spacing w:line="525" w:lineRule="exact"/>
        <w:ind w:left="141"/>
        <w:jc w:val="center"/>
        <w:rPr>
          <w:rFonts w:ascii="黑体" w:eastAsia="黑体"/>
          <w:sz w:val="44"/>
          <w:lang w:eastAsia="zh-CN"/>
        </w:rPr>
      </w:pPr>
      <w:r>
        <w:rPr>
          <w:rFonts w:ascii="黑体" w:eastAsia="黑体" w:hint="eastAsia"/>
          <w:w w:val="95"/>
          <w:sz w:val="44"/>
          <w:lang w:eastAsia="zh-CN"/>
        </w:rPr>
        <w:t>关于</w:t>
      </w:r>
      <w:r>
        <w:rPr>
          <w:rFonts w:ascii="黑体" w:eastAsia="黑体" w:hint="eastAsia"/>
          <w:w w:val="95"/>
          <w:sz w:val="44"/>
          <w:lang w:eastAsia="zh-CN"/>
        </w:rPr>
        <w:t>202</w:t>
      </w:r>
      <w:r>
        <w:rPr>
          <w:rFonts w:ascii="黑体" w:eastAsia="黑体" w:hint="eastAsia"/>
          <w:w w:val="95"/>
          <w:sz w:val="44"/>
          <w:lang w:eastAsia="zh-CN"/>
        </w:rPr>
        <w:t>1</w:t>
      </w:r>
      <w:r>
        <w:rPr>
          <w:rFonts w:ascii="黑体" w:eastAsia="黑体" w:hint="eastAsia"/>
          <w:w w:val="95"/>
          <w:sz w:val="44"/>
          <w:lang w:eastAsia="zh-CN"/>
        </w:rPr>
        <w:t>年</w:t>
      </w:r>
      <w:r w:rsidR="005856DD">
        <w:rPr>
          <w:rFonts w:ascii="黑体" w:eastAsia="黑体" w:hint="eastAsia"/>
          <w:w w:val="95"/>
          <w:sz w:val="44"/>
          <w:lang w:eastAsia="zh-CN"/>
        </w:rPr>
        <w:t>塔洋</w:t>
      </w:r>
      <w:r>
        <w:rPr>
          <w:rFonts w:ascii="黑体" w:eastAsia="黑体" w:hint="eastAsia"/>
          <w:w w:val="95"/>
          <w:sz w:val="44"/>
          <w:lang w:eastAsia="zh-CN"/>
        </w:rPr>
        <w:t>镇国有资本经营预算的说明</w:t>
      </w:r>
    </w:p>
    <w:p w:rsidR="00756BB4" w:rsidRDefault="00756BB4">
      <w:pPr>
        <w:pStyle w:val="a3"/>
        <w:spacing w:before="5"/>
        <w:ind w:left="0" w:firstLine="0"/>
        <w:jc w:val="left"/>
        <w:rPr>
          <w:rFonts w:asciiTheme="minorEastAsia" w:eastAsiaTheme="minorEastAsia" w:hAnsiTheme="minorEastAsia"/>
          <w:sz w:val="58"/>
          <w:lang w:eastAsia="zh-CN"/>
        </w:rPr>
      </w:pPr>
    </w:p>
    <w:p w:rsidR="00756BB4" w:rsidRDefault="00A169A7">
      <w:pPr>
        <w:pStyle w:val="Heading1"/>
        <w:spacing w:before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w w:val="95"/>
          <w:lang w:eastAsia="zh-CN"/>
        </w:rPr>
        <w:t>（一）编制范围</w:t>
      </w:r>
    </w:p>
    <w:p w:rsidR="00756BB4" w:rsidRDefault="00A169A7">
      <w:pPr>
        <w:pStyle w:val="a3"/>
        <w:spacing w:before="181" w:line="343" w:lineRule="auto"/>
        <w:ind w:right="257"/>
        <w:jc w:val="lef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纳入本次国有经营预算编制范围的</w:t>
      </w:r>
      <w:r w:rsidR="005856DD">
        <w:rPr>
          <w:rFonts w:asciiTheme="minorEastAsia" w:eastAsiaTheme="minorEastAsia" w:hAnsiTheme="minorEastAsia" w:hint="eastAsia"/>
          <w:lang w:eastAsia="zh-CN"/>
        </w:rPr>
        <w:t>塔洋</w:t>
      </w:r>
      <w:r>
        <w:rPr>
          <w:rFonts w:asciiTheme="minorEastAsia" w:eastAsiaTheme="minorEastAsia" w:hAnsiTheme="minorEastAsia" w:hint="eastAsia"/>
          <w:lang w:eastAsia="zh-CN"/>
        </w:rPr>
        <w:t>镇镇</w:t>
      </w:r>
      <w:r>
        <w:rPr>
          <w:rFonts w:asciiTheme="minorEastAsia" w:eastAsiaTheme="minorEastAsia" w:hAnsiTheme="minorEastAsia"/>
          <w:lang w:eastAsia="zh-CN"/>
        </w:rPr>
        <w:t>属国有企业有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家。</w:t>
      </w:r>
    </w:p>
    <w:p w:rsidR="00756BB4" w:rsidRDefault="00A169A7">
      <w:pPr>
        <w:pStyle w:val="Heading1"/>
        <w:spacing w:before="181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w w:val="95"/>
          <w:lang w:eastAsia="zh-CN"/>
        </w:rPr>
        <w:t>（</w:t>
      </w:r>
      <w:r>
        <w:rPr>
          <w:rFonts w:asciiTheme="minorEastAsia" w:eastAsiaTheme="minorEastAsia" w:hAnsiTheme="minorEastAsia" w:hint="eastAsia"/>
          <w:w w:val="95"/>
          <w:lang w:eastAsia="zh-CN"/>
        </w:rPr>
        <w:t>二</w:t>
      </w:r>
      <w:r>
        <w:rPr>
          <w:rFonts w:asciiTheme="minorEastAsia" w:eastAsiaTheme="minorEastAsia" w:hAnsiTheme="minorEastAsia"/>
          <w:w w:val="95"/>
          <w:lang w:eastAsia="zh-CN"/>
        </w:rPr>
        <w:t>）预算收支安排情况</w:t>
      </w:r>
    </w:p>
    <w:p w:rsidR="00756BB4" w:rsidRDefault="00A169A7">
      <w:pPr>
        <w:pStyle w:val="a3"/>
        <w:spacing w:before="181" w:line="344" w:lineRule="auto"/>
        <w:ind w:left="0" w:right="113" w:firstLineChars="200" w:firstLine="64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b/>
          <w:lang w:eastAsia="zh-CN"/>
        </w:rPr>
        <w:t>1.</w:t>
      </w:r>
      <w:r>
        <w:rPr>
          <w:rFonts w:asciiTheme="minorEastAsia" w:eastAsiaTheme="minorEastAsia" w:hAnsiTheme="minorEastAsia"/>
          <w:b/>
          <w:spacing w:val="-2"/>
          <w:lang w:eastAsia="zh-CN"/>
        </w:rPr>
        <w:t>收入情况。</w:t>
      </w:r>
      <w:r>
        <w:rPr>
          <w:rFonts w:asciiTheme="minorEastAsia" w:eastAsiaTheme="minorEastAsia" w:hAnsiTheme="minorEastAsia"/>
          <w:lang w:eastAsia="zh-CN"/>
        </w:rPr>
        <w:t>20</w:t>
      </w:r>
      <w:r>
        <w:rPr>
          <w:rFonts w:asciiTheme="minorEastAsia" w:eastAsiaTheme="minorEastAsia" w:hAnsiTheme="minorEastAsia" w:hint="eastAsia"/>
          <w:lang w:eastAsia="zh-CN"/>
        </w:rPr>
        <w:t>21</w:t>
      </w:r>
      <w:r>
        <w:rPr>
          <w:rFonts w:asciiTheme="minorEastAsia" w:eastAsiaTheme="minorEastAsia" w:hAnsiTheme="minorEastAsia"/>
          <w:spacing w:val="-16"/>
          <w:lang w:eastAsia="zh-CN"/>
        </w:rPr>
        <w:t>年，全</w:t>
      </w:r>
      <w:r>
        <w:rPr>
          <w:rFonts w:asciiTheme="minorEastAsia" w:eastAsiaTheme="minorEastAsia" w:hAnsiTheme="minorEastAsia" w:hint="eastAsia"/>
          <w:spacing w:val="-16"/>
          <w:lang w:eastAsia="zh-CN"/>
        </w:rPr>
        <w:t>镇</w:t>
      </w:r>
      <w:r>
        <w:rPr>
          <w:rFonts w:asciiTheme="minorEastAsia" w:eastAsiaTheme="minorEastAsia" w:hAnsiTheme="minorEastAsia"/>
          <w:spacing w:val="-16"/>
          <w:lang w:eastAsia="zh-CN"/>
        </w:rPr>
        <w:t>国有资本经营预算收入</w:t>
      </w:r>
      <w:r>
        <w:rPr>
          <w:rFonts w:asciiTheme="minorEastAsia" w:eastAsiaTheme="minorEastAsia" w:hAnsiTheme="minorEastAsia" w:hint="eastAsia"/>
          <w:lang w:eastAsia="zh-CN"/>
        </w:rPr>
        <w:t>0</w:t>
      </w:r>
      <w:r>
        <w:rPr>
          <w:rFonts w:asciiTheme="minorEastAsia" w:eastAsiaTheme="minorEastAsia" w:hAnsiTheme="minorEastAsia"/>
          <w:w w:val="95"/>
          <w:lang w:eastAsia="zh-CN"/>
        </w:rPr>
        <w:t>万元。</w:t>
      </w:r>
    </w:p>
    <w:p w:rsidR="00756BB4" w:rsidRDefault="00A169A7">
      <w:pPr>
        <w:pStyle w:val="a3"/>
        <w:spacing w:line="344" w:lineRule="auto"/>
        <w:ind w:left="0" w:right="113" w:firstLineChars="200" w:firstLine="643"/>
        <w:rPr>
          <w:rFonts w:asciiTheme="minorEastAsia" w:eastAsiaTheme="minorEastAsia" w:hAnsiTheme="minorEastAsia"/>
          <w:w w:val="95"/>
          <w:lang w:eastAsia="zh-CN"/>
        </w:rPr>
      </w:pPr>
      <w:r>
        <w:rPr>
          <w:rFonts w:asciiTheme="minorEastAsia" w:eastAsiaTheme="minorEastAsia" w:hAnsiTheme="minorEastAsia"/>
          <w:b/>
          <w:lang w:eastAsia="zh-CN"/>
        </w:rPr>
        <w:t>2.</w:t>
      </w:r>
      <w:r>
        <w:rPr>
          <w:rFonts w:asciiTheme="minorEastAsia" w:eastAsiaTheme="minorEastAsia" w:hAnsiTheme="minorEastAsia"/>
          <w:b/>
          <w:spacing w:val="-2"/>
          <w:lang w:eastAsia="zh-CN"/>
        </w:rPr>
        <w:t>支出情况。</w:t>
      </w:r>
      <w:r>
        <w:rPr>
          <w:rFonts w:asciiTheme="minorEastAsia" w:eastAsiaTheme="minorEastAsia" w:hAnsiTheme="minorEastAsia"/>
          <w:lang w:eastAsia="zh-CN"/>
        </w:rPr>
        <w:t>20</w:t>
      </w:r>
      <w:r>
        <w:rPr>
          <w:rFonts w:asciiTheme="minorEastAsia" w:eastAsiaTheme="minorEastAsia" w:hAnsiTheme="minorEastAsia" w:hint="eastAsia"/>
          <w:lang w:eastAsia="zh-CN"/>
        </w:rPr>
        <w:t>21</w:t>
      </w:r>
      <w:r>
        <w:rPr>
          <w:rFonts w:asciiTheme="minorEastAsia" w:eastAsiaTheme="minorEastAsia" w:hAnsiTheme="minorEastAsia"/>
          <w:spacing w:val="-16"/>
          <w:lang w:eastAsia="zh-CN"/>
        </w:rPr>
        <w:t>年，全</w:t>
      </w:r>
      <w:r>
        <w:rPr>
          <w:rFonts w:asciiTheme="minorEastAsia" w:eastAsiaTheme="minorEastAsia" w:hAnsiTheme="minorEastAsia" w:hint="eastAsia"/>
          <w:spacing w:val="-16"/>
          <w:lang w:eastAsia="zh-CN"/>
        </w:rPr>
        <w:t>镇</w:t>
      </w:r>
      <w:r>
        <w:rPr>
          <w:rFonts w:asciiTheme="minorEastAsia" w:eastAsiaTheme="minorEastAsia" w:hAnsiTheme="minorEastAsia"/>
          <w:spacing w:val="-16"/>
          <w:lang w:eastAsia="zh-CN"/>
        </w:rPr>
        <w:t>国有资本经营预算支出</w:t>
      </w:r>
      <w:r>
        <w:rPr>
          <w:rFonts w:asciiTheme="minorEastAsia" w:eastAsiaTheme="minorEastAsia" w:hAnsiTheme="minorEastAsia"/>
          <w:lang w:eastAsia="zh-CN"/>
        </w:rPr>
        <w:t>0</w:t>
      </w:r>
      <w:r>
        <w:rPr>
          <w:rFonts w:asciiTheme="minorEastAsia" w:eastAsiaTheme="minorEastAsia" w:hAnsiTheme="minorEastAsia"/>
          <w:spacing w:val="-8"/>
          <w:lang w:eastAsia="zh-CN"/>
        </w:rPr>
        <w:t>万元</w:t>
      </w:r>
      <w:r>
        <w:rPr>
          <w:rFonts w:asciiTheme="minorEastAsia" w:eastAsiaTheme="minorEastAsia" w:hAnsiTheme="minorEastAsia"/>
          <w:w w:val="95"/>
          <w:lang w:eastAsia="zh-CN"/>
        </w:rPr>
        <w:t>。</w:t>
      </w:r>
    </w:p>
    <w:p w:rsidR="00756BB4" w:rsidRDefault="00A169A7">
      <w:pPr>
        <w:pStyle w:val="a3"/>
        <w:spacing w:line="344" w:lineRule="auto"/>
        <w:ind w:left="0" w:right="113" w:firstLineChars="200" w:firstLine="643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/>
          <w:b/>
          <w:lang w:eastAsia="zh-CN"/>
        </w:rPr>
        <w:t>3.</w:t>
      </w:r>
      <w:r>
        <w:rPr>
          <w:rFonts w:asciiTheme="minorEastAsia" w:eastAsiaTheme="minorEastAsia" w:hAnsiTheme="minorEastAsia"/>
          <w:b/>
          <w:lang w:eastAsia="zh-CN"/>
        </w:rPr>
        <w:t>结余情况。</w:t>
      </w:r>
      <w:r>
        <w:rPr>
          <w:rFonts w:asciiTheme="minorEastAsia" w:eastAsiaTheme="minorEastAsia" w:hAnsiTheme="minorEastAsia"/>
          <w:lang w:eastAsia="zh-CN"/>
        </w:rPr>
        <w:t>收支相抵，国有资本经营净结余为</w:t>
      </w:r>
      <w:r>
        <w:rPr>
          <w:rFonts w:asciiTheme="minorEastAsia" w:eastAsiaTheme="minorEastAsia" w:hAnsiTheme="minorEastAsia"/>
          <w:lang w:eastAsia="zh-CN"/>
        </w:rPr>
        <w:t>0</w:t>
      </w:r>
      <w:r>
        <w:rPr>
          <w:rFonts w:asciiTheme="minorEastAsia" w:eastAsiaTheme="minorEastAsia" w:hAnsiTheme="minorEastAsia"/>
          <w:lang w:eastAsia="zh-CN"/>
        </w:rPr>
        <w:t>。</w:t>
      </w:r>
    </w:p>
    <w:p w:rsidR="00756BB4" w:rsidRDefault="00756BB4">
      <w:pPr>
        <w:spacing w:before="43"/>
        <w:ind w:left="679"/>
        <w:rPr>
          <w:rFonts w:asciiTheme="minorEastAsia" w:eastAsiaTheme="minorEastAsia" w:hAnsiTheme="minorEastAsia"/>
          <w:sz w:val="32"/>
          <w:lang w:eastAsia="zh-CN"/>
        </w:rPr>
      </w:pPr>
    </w:p>
    <w:p w:rsidR="00756BB4" w:rsidRDefault="00756BB4">
      <w:pPr>
        <w:spacing w:before="43"/>
        <w:ind w:left="679"/>
        <w:rPr>
          <w:sz w:val="32"/>
          <w:lang w:eastAsia="zh-CN"/>
        </w:rPr>
      </w:pPr>
    </w:p>
    <w:p w:rsidR="00756BB4" w:rsidRDefault="00756BB4">
      <w:pPr>
        <w:spacing w:before="43"/>
        <w:ind w:left="679"/>
        <w:rPr>
          <w:sz w:val="32"/>
          <w:lang w:eastAsia="zh-CN"/>
        </w:rPr>
      </w:pPr>
      <w:bookmarkStart w:id="0" w:name="_GoBack"/>
      <w:bookmarkEnd w:id="0"/>
    </w:p>
    <w:sectPr w:rsidR="00756BB4" w:rsidSect="00756BB4">
      <w:pgSz w:w="11910" w:h="16840"/>
      <w:pgMar w:top="1540" w:right="1680" w:bottom="280" w:left="1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A7" w:rsidRDefault="00A169A7" w:rsidP="005856DD">
      <w:r>
        <w:separator/>
      </w:r>
    </w:p>
  </w:endnote>
  <w:endnote w:type="continuationSeparator" w:id="1">
    <w:p w:rsidR="00A169A7" w:rsidRDefault="00A169A7" w:rsidP="0058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A7" w:rsidRDefault="00A169A7" w:rsidP="005856DD">
      <w:r>
        <w:separator/>
      </w:r>
    </w:p>
  </w:footnote>
  <w:footnote w:type="continuationSeparator" w:id="1">
    <w:p w:rsidR="00A169A7" w:rsidRDefault="00A169A7" w:rsidP="00585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70C07"/>
    <w:rsid w:val="000557E0"/>
    <w:rsid w:val="00191916"/>
    <w:rsid w:val="00262C01"/>
    <w:rsid w:val="00570C07"/>
    <w:rsid w:val="005856DD"/>
    <w:rsid w:val="00756BB4"/>
    <w:rsid w:val="00763F6B"/>
    <w:rsid w:val="007A1AC9"/>
    <w:rsid w:val="009F6C79"/>
    <w:rsid w:val="00A169A7"/>
    <w:rsid w:val="00E71534"/>
    <w:rsid w:val="00FF6E8E"/>
    <w:rsid w:val="043369AB"/>
    <w:rsid w:val="320B577F"/>
    <w:rsid w:val="34A21014"/>
    <w:rsid w:val="3BE6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BB4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56BB4"/>
    <w:pPr>
      <w:spacing w:before="43"/>
      <w:ind w:left="120" w:firstLine="640"/>
      <w:jc w:val="both"/>
    </w:pPr>
    <w:rPr>
      <w:sz w:val="32"/>
      <w:szCs w:val="32"/>
    </w:rPr>
  </w:style>
  <w:style w:type="paragraph" w:styleId="a4">
    <w:name w:val="footer"/>
    <w:basedOn w:val="a"/>
    <w:link w:val="Char"/>
    <w:uiPriority w:val="99"/>
    <w:semiHidden/>
    <w:unhideWhenUsed/>
    <w:qFormat/>
    <w:rsid w:val="00756B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756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6B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56BB4"/>
    <w:pPr>
      <w:spacing w:before="43"/>
      <w:ind w:left="760"/>
      <w:outlineLvl w:val="1"/>
    </w:pPr>
    <w:rPr>
      <w:rFonts w:ascii="楷体" w:eastAsia="楷体" w:hAnsi="楷体" w:cs="楷体"/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756BB4"/>
  </w:style>
  <w:style w:type="paragraph" w:customStyle="1" w:styleId="TableParagraph">
    <w:name w:val="Table Paragraph"/>
    <w:basedOn w:val="a"/>
    <w:uiPriority w:val="1"/>
    <w:qFormat/>
    <w:rsid w:val="00756BB4"/>
  </w:style>
  <w:style w:type="character" w:customStyle="1" w:styleId="Char0">
    <w:name w:val="页眉 Char"/>
    <w:basedOn w:val="a0"/>
    <w:link w:val="a5"/>
    <w:uiPriority w:val="99"/>
    <w:semiHidden/>
    <w:qFormat/>
    <w:rsid w:val="00756BB4"/>
    <w:rPr>
      <w:rFonts w:ascii="仿宋" w:eastAsia="仿宋" w:hAnsi="仿宋" w:cs="仿宋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756BB4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dcterms:created xsi:type="dcterms:W3CDTF">2018-05-23T08:55:00Z</dcterms:created>
  <dcterms:modified xsi:type="dcterms:W3CDTF">2021-07-13T08:36:00Z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2052-11.1.0.9999</vt:lpwstr>
  </property>
</Properties>
</file>