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7DB8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eastAsia="方正小标宋简体"/>
          <w:spacing w:val="-28"/>
          <w:sz w:val="44"/>
          <w:szCs w:val="44"/>
          <w:lang w:val="en-US" w:eastAsia="zh-CN"/>
        </w:rPr>
      </w:pPr>
      <w:r>
        <w:rPr>
          <w:rFonts w:hint="eastAsia" w:ascii="方正小标宋简体" w:eastAsia="方正小标宋简体"/>
          <w:spacing w:val="-28"/>
          <w:sz w:val="44"/>
          <w:szCs w:val="44"/>
        </w:rPr>
        <w:t>关于</w:t>
      </w:r>
      <w:r>
        <w:rPr>
          <w:rFonts w:hint="eastAsia" w:ascii="方正小标宋简体" w:eastAsia="方正小标宋简体"/>
          <w:spacing w:val="-28"/>
          <w:sz w:val="44"/>
          <w:szCs w:val="44"/>
          <w:lang w:val="en-US" w:eastAsia="zh-CN"/>
        </w:rPr>
        <w:t>加强</w:t>
      </w:r>
      <w:r>
        <w:rPr>
          <w:rFonts w:hint="eastAsia" w:ascii="方正小标宋简体" w:eastAsia="方正小标宋简体"/>
          <w:spacing w:val="-28"/>
          <w:sz w:val="44"/>
          <w:szCs w:val="44"/>
        </w:rPr>
        <w:t>琼海高铁站站前广场</w:t>
      </w:r>
      <w:r>
        <w:rPr>
          <w:rFonts w:hint="eastAsia" w:ascii="方正小标宋简体" w:eastAsia="方正小标宋简体"/>
          <w:spacing w:val="-28"/>
          <w:sz w:val="44"/>
          <w:szCs w:val="44"/>
          <w:lang w:val="en-US" w:eastAsia="zh-CN"/>
        </w:rPr>
        <w:t>周边综合治理</w:t>
      </w:r>
    </w:p>
    <w:p w14:paraId="694E193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eastAsia="方正小标宋简体"/>
          <w:spacing w:val="-28"/>
          <w:sz w:val="44"/>
          <w:szCs w:val="44"/>
          <w:lang w:eastAsia="zh-CN"/>
        </w:rPr>
      </w:pPr>
      <w:r>
        <w:rPr>
          <w:rFonts w:hint="eastAsia" w:ascii="方正小标宋简体" w:eastAsia="方正小标宋简体"/>
          <w:spacing w:val="-28"/>
          <w:sz w:val="44"/>
          <w:szCs w:val="44"/>
        </w:rPr>
        <w:t>的</w:t>
      </w:r>
      <w:r>
        <w:rPr>
          <w:rFonts w:hint="eastAsia" w:ascii="方正小标宋简体" w:eastAsia="方正小标宋简体"/>
          <w:spacing w:val="-28"/>
          <w:sz w:val="44"/>
          <w:szCs w:val="44"/>
          <w:lang w:val="en-US" w:eastAsia="zh-CN"/>
        </w:rPr>
        <w:t>建议</w:t>
      </w:r>
    </w:p>
    <w:p w14:paraId="5B56D678">
      <w:pPr>
        <w:spacing w:line="540" w:lineRule="exact"/>
        <w:ind w:firstLine="736" w:firstLineChars="230"/>
        <w:rPr>
          <w:rFonts w:hint="eastAsia" w:ascii="仿宋_GB2312" w:eastAsia="仿宋_GB2312"/>
          <w:sz w:val="32"/>
          <w:szCs w:val="32"/>
        </w:rPr>
      </w:pPr>
    </w:p>
    <w:p w14:paraId="44E5C947">
      <w:pPr>
        <w:spacing w:line="540" w:lineRule="exact"/>
        <w:ind w:firstLine="736" w:firstLineChars="230"/>
        <w:rPr>
          <w:rFonts w:ascii="仿宋_GB2312" w:eastAsia="仿宋_GB2312"/>
          <w:sz w:val="32"/>
          <w:szCs w:val="32"/>
        </w:rPr>
      </w:pPr>
      <w:r>
        <w:rPr>
          <w:rFonts w:hint="eastAsia" w:ascii="仿宋_GB2312" w:eastAsia="仿宋_GB2312"/>
          <w:sz w:val="32"/>
          <w:szCs w:val="32"/>
        </w:rPr>
        <w:t>琼海高铁站作为城市的重要窗口，是游客到达琼海市的第一道风景线，其站前广场及周边交通线路的形象和管理水平直接关系到旅客的出现体验与城市的整体形象，作为琼海市的重点目标单位，在综合治理、交通秩序、治安反恐等方面应时刻保持在优质状态，但从近阶段调研、检查发现，由于缺乏有效管理，琼海站前广场及周边交通线路出现不同程度的治安问题。现将有关情况报告如下：</w:t>
      </w:r>
    </w:p>
    <w:p w14:paraId="1F751614">
      <w:pPr>
        <w:spacing w:line="540" w:lineRule="exact"/>
        <w:ind w:firstLine="736" w:firstLineChars="230"/>
        <w:rPr>
          <w:rFonts w:hint="default" w:ascii="黑体" w:hAnsi="黑体" w:eastAsia="黑体"/>
          <w:sz w:val="32"/>
          <w:szCs w:val="32"/>
          <w:lang w:val="en-US" w:eastAsia="zh-CN"/>
        </w:rPr>
      </w:pPr>
      <w:r>
        <w:rPr>
          <w:rFonts w:hint="eastAsia" w:ascii="黑体" w:hAnsi="黑体" w:eastAsia="黑体"/>
          <w:sz w:val="32"/>
          <w:szCs w:val="32"/>
        </w:rPr>
        <w:t>一、</w:t>
      </w:r>
      <w:r>
        <w:rPr>
          <w:rFonts w:hint="eastAsia" w:ascii="黑体" w:hAnsi="黑体" w:eastAsia="黑体"/>
          <w:sz w:val="32"/>
          <w:szCs w:val="32"/>
          <w:lang w:val="en-US" w:eastAsia="zh-CN"/>
        </w:rPr>
        <w:t>基本情况</w:t>
      </w:r>
    </w:p>
    <w:p w14:paraId="16A6EF0F">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（一）站前道路交通堵塞。</w:t>
      </w:r>
      <w:r>
        <w:rPr>
          <w:rFonts w:hint="eastAsia" w:ascii="仿宋_GB2312" w:hAnsi="微软雅黑" w:eastAsia="仿宋_GB2312" w:cs="宋体"/>
          <w:bCs/>
          <w:color w:val="000000"/>
          <w:kern w:val="0"/>
          <w:sz w:val="32"/>
          <w:szCs w:val="32"/>
        </w:rPr>
        <w:t>主要以瞬时交通堵塞较为频繁，</w:t>
      </w:r>
      <w:r>
        <w:rPr>
          <w:rFonts w:hint="eastAsia" w:ascii="仿宋_GB2312" w:hAnsi="黑体" w:eastAsia="仿宋_GB2312"/>
          <w:sz w:val="32"/>
          <w:szCs w:val="32"/>
        </w:rPr>
        <w:t>按时段、乘客群体及车辆类型分析</w:t>
      </w:r>
      <w:r>
        <w:rPr>
          <w:rFonts w:hint="eastAsia" w:ascii="仿宋_GB2312" w:hAnsi="微软雅黑" w:eastAsia="仿宋_GB2312" w:cs="宋体"/>
          <w:bCs/>
          <w:color w:val="000000"/>
          <w:kern w:val="0"/>
          <w:sz w:val="32"/>
          <w:szCs w:val="32"/>
        </w:rPr>
        <w:t>具体表现为</w:t>
      </w:r>
      <w:r>
        <w:rPr>
          <w:rFonts w:hint="eastAsia" w:ascii="仿宋_GB2312" w:hAnsi="黑体" w:eastAsia="仿宋_GB2312"/>
          <w:sz w:val="32"/>
          <w:szCs w:val="32"/>
        </w:rPr>
        <w:t>：日常17时至21时，乘客是下班返回海口或三亚的居住户，体现在小轿车拥堵；每周五、周日下午16时至21时，嘉积城区1所高校、3所技校、3所高中等学生放假或返校造成的拥堵，体现在小轿车及摩托车拥堵；在传统</w:t>
      </w:r>
      <w:r>
        <w:rPr>
          <w:rFonts w:hint="eastAsia" w:ascii="仿宋_GB2312" w:hAnsi="黑体" w:eastAsia="仿宋_GB2312"/>
          <w:sz w:val="32"/>
          <w:szCs w:val="32"/>
          <w:lang w:val="en-US" w:eastAsia="zh-CN"/>
        </w:rPr>
        <w:t>节日</w:t>
      </w:r>
      <w:r>
        <w:rPr>
          <w:rFonts w:hint="eastAsia" w:ascii="仿宋_GB2312" w:hAnsi="黑体" w:eastAsia="仿宋_GB2312"/>
          <w:sz w:val="32"/>
          <w:szCs w:val="32"/>
        </w:rPr>
        <w:t>如春节、清明节等假期来临前日的16时至21时，同样会出现以上问题。此外，因为车站周边附有2个村委会、6个自然村近万名村民，在日常的18时至19时，凭借进站公路进出，造成交通拥堵。</w:t>
      </w:r>
    </w:p>
    <w:p w14:paraId="2C81FDA6">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（二）围站叫卖、私营商贩占道摆摊问题突出。</w:t>
      </w:r>
      <w:r>
        <w:rPr>
          <w:rFonts w:hint="eastAsia" w:ascii="仿宋_GB2312" w:hAnsi="微软雅黑" w:eastAsia="仿宋_GB2312" w:cs="宋体"/>
          <w:bCs/>
          <w:color w:val="000000"/>
          <w:kern w:val="0"/>
          <w:sz w:val="32"/>
          <w:szCs w:val="32"/>
        </w:rPr>
        <w:t>主要表现为商贩</w:t>
      </w:r>
      <w:r>
        <w:rPr>
          <w:rFonts w:hint="eastAsia" w:ascii="仿宋_GB2312" w:hAnsi="黑体" w:eastAsia="仿宋_GB2312"/>
          <w:sz w:val="32"/>
          <w:szCs w:val="32"/>
        </w:rPr>
        <w:t>在出站与进站通道交叉点马路上摆摊经营造成的交通堵塞。据统计，商贩以附近村民为主，经营范围以零食小吃酒水为主，采用人力三轮车或电动三轮车流动经营。在夜间车流较少时，还会摆放户外桌椅、外接电源等方式经营。特别是在学生流瞬时高峰期，商贩生意火爆，容易造成道路交通拥堵。同时，也存在卫生、火灾等安全隐患。</w:t>
      </w:r>
    </w:p>
    <w:p w14:paraId="077B2685">
      <w:pPr>
        <w:spacing w:line="540" w:lineRule="exact"/>
        <w:ind w:firstLine="480" w:firstLineChars="150"/>
        <w:rPr>
          <w:rFonts w:ascii="仿宋_GB2312" w:hAnsi="微软雅黑" w:eastAsia="仿宋_GB2312" w:cs="宋体"/>
          <w:bCs/>
          <w:color w:val="000000"/>
          <w:kern w:val="0"/>
          <w:sz w:val="32"/>
          <w:szCs w:val="32"/>
        </w:rPr>
      </w:pPr>
      <w:r>
        <w:rPr>
          <w:rFonts w:hint="eastAsia" w:ascii="楷体_GB2312" w:hAnsi="微软雅黑" w:eastAsia="楷体_GB2312" w:cs="宋体"/>
          <w:bCs/>
          <w:color w:val="000000"/>
          <w:kern w:val="0"/>
          <w:sz w:val="32"/>
          <w:szCs w:val="32"/>
        </w:rPr>
        <w:t>（三）摩的、电动车等杂乱停放。</w:t>
      </w:r>
      <w:r>
        <w:rPr>
          <w:rFonts w:hint="eastAsia" w:ascii="仿宋_GB2312" w:hAnsi="微软雅黑" w:eastAsia="仿宋_GB2312" w:cs="宋体"/>
          <w:bCs/>
          <w:color w:val="000000"/>
          <w:kern w:val="0"/>
          <w:sz w:val="32"/>
          <w:szCs w:val="32"/>
        </w:rPr>
        <w:t>主要体现在摩托车、电动车因未设立停放点而随意摆放。重点问题：进站公路两侧人行道，停放车辆为共享电动车，行人一旦无法通行则占道行走，存在交通隐患；进站通道延伸至周边村落道路两侧，停放车辆为私人电动车，极易造成交通拥堵；站前停车场附属道路，停放车辆为私人电动车，因无人看守，极易发生盗窃案件；站前公路，摩的随意穿行，极易造成交通事故。</w:t>
      </w:r>
    </w:p>
    <w:p w14:paraId="3D7D244F">
      <w:pPr>
        <w:spacing w:line="540" w:lineRule="exact"/>
        <w:ind w:firstLine="640" w:firstLineChars="200"/>
        <w:rPr>
          <w:rFonts w:ascii="黑体" w:hAnsi="黑体" w:eastAsia="黑体"/>
          <w:sz w:val="32"/>
          <w:szCs w:val="32"/>
        </w:rPr>
      </w:pPr>
      <w:r>
        <w:rPr>
          <w:rFonts w:hint="eastAsia" w:ascii="黑体" w:hAnsi="黑体" w:eastAsia="黑体"/>
          <w:sz w:val="32"/>
          <w:szCs w:val="32"/>
        </w:rPr>
        <w:t>二、原因分析</w:t>
      </w:r>
    </w:p>
    <w:p w14:paraId="6DC6B3AA">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（一）站前广场道路设计不合理。</w:t>
      </w:r>
      <w:r>
        <w:rPr>
          <w:rFonts w:hint="eastAsia" w:ascii="仿宋_GB2312" w:hAnsi="黑体" w:eastAsia="仿宋_GB2312"/>
          <w:sz w:val="32"/>
          <w:szCs w:val="32"/>
        </w:rPr>
        <w:t>一是进站公路设计不合理，道路由3车道变成2车道，且交换地正处拐弯点，容易造成交通拥堵；二是进站公路路线不合理，通道自西向东将通过3个90度弯道方能进入站前路；三是进站公路两侧花坛、人行道设计过于宽敞影响道路宽度；四是未能有效区分站周乡村道路，造成进站公路路口繁多。</w:t>
      </w:r>
    </w:p>
    <w:p w14:paraId="5BC5FA5C">
      <w:pPr>
        <w:spacing w:line="540" w:lineRule="exact"/>
        <w:ind w:firstLine="480" w:firstLineChars="150"/>
        <w:rPr>
          <w:rFonts w:ascii="仿宋_GB2312" w:hAnsi="微软雅黑" w:eastAsia="仿宋_GB2312" w:cs="宋体"/>
          <w:bCs/>
          <w:color w:val="000000"/>
          <w:kern w:val="0"/>
          <w:sz w:val="32"/>
          <w:szCs w:val="32"/>
        </w:rPr>
      </w:pPr>
      <w:r>
        <w:rPr>
          <w:rFonts w:hint="eastAsia" w:ascii="楷体_GB2312" w:hAnsi="微软雅黑" w:eastAsia="楷体_GB2312" w:cs="宋体"/>
          <w:bCs/>
          <w:color w:val="000000"/>
          <w:kern w:val="0"/>
          <w:sz w:val="32"/>
          <w:szCs w:val="32"/>
        </w:rPr>
        <w:t>（二）设施设备和标识模糊不清。</w:t>
      </w:r>
      <w:r>
        <w:rPr>
          <w:rFonts w:hint="eastAsia" w:ascii="仿宋_GB2312" w:hAnsi="微软雅黑" w:eastAsia="仿宋_GB2312" w:cs="宋体"/>
          <w:bCs/>
          <w:color w:val="000000"/>
          <w:kern w:val="0"/>
          <w:sz w:val="32"/>
          <w:szCs w:val="32"/>
        </w:rPr>
        <w:t>一是进站公路引导指示牌较小，不能有效区分道路功能，造成接站、送站车辆均使用一条道路；二是违法抓拍设备存在盲点，目前仅在站前公路设置一处视频抓拍点，更多的网约车、私家车为免除停车场费用，而长期停放在道路视频盲区。</w:t>
      </w:r>
    </w:p>
    <w:p w14:paraId="4A51861C">
      <w:pPr>
        <w:spacing w:line="540" w:lineRule="exact"/>
        <w:ind w:firstLine="480" w:firstLineChars="150"/>
        <w:rPr>
          <w:rFonts w:ascii="楷体_GB2312" w:hAnsi="微软雅黑" w:eastAsia="楷体_GB2312" w:cs="宋体"/>
          <w:bCs/>
          <w:color w:val="000000"/>
          <w:kern w:val="0"/>
          <w:sz w:val="32"/>
          <w:szCs w:val="32"/>
        </w:rPr>
      </w:pPr>
      <w:r>
        <w:rPr>
          <w:rFonts w:hint="eastAsia" w:ascii="楷体_GB2312" w:hAnsi="微软雅黑" w:eastAsia="楷体_GB2312" w:cs="宋体"/>
          <w:bCs/>
          <w:color w:val="000000"/>
          <w:kern w:val="0"/>
          <w:sz w:val="32"/>
          <w:szCs w:val="32"/>
        </w:rPr>
        <w:t>（三）站前广场未完全合理使用。</w:t>
      </w:r>
      <w:r>
        <w:rPr>
          <w:rFonts w:hint="eastAsia" w:ascii="仿宋_GB2312" w:hAnsi="微软雅黑" w:eastAsia="仿宋_GB2312" w:cs="宋体"/>
          <w:bCs/>
          <w:color w:val="000000"/>
          <w:kern w:val="0"/>
          <w:sz w:val="32"/>
          <w:szCs w:val="32"/>
        </w:rPr>
        <w:t>一是站前近20亩用地的停车场未完全使用。绿化带、荒地、广告屏占地较多；二是站前路未能完全使用。琼海站站前路共6条道路，目前仅能使用2条，其中1条设置为公交车停放点、即停即走车辆使用，2条设置为出租车停放使用,1条被私家车、电动车免费停放占有。</w:t>
      </w:r>
    </w:p>
    <w:p w14:paraId="69CD4834">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（四）日常监管与执法力度不足。</w:t>
      </w:r>
      <w:r>
        <w:rPr>
          <w:rFonts w:hint="eastAsia" w:ascii="仿宋_GB2312" w:hAnsi="微软雅黑" w:eastAsia="仿宋_GB2312" w:cs="宋体"/>
          <w:bCs/>
          <w:color w:val="000000"/>
          <w:kern w:val="0"/>
          <w:sz w:val="32"/>
          <w:szCs w:val="32"/>
        </w:rPr>
        <w:t>一是管理职责不明确。</w:t>
      </w:r>
      <w:r>
        <w:rPr>
          <w:rFonts w:hint="eastAsia" w:ascii="仿宋_GB2312" w:hAnsi="黑体" w:eastAsia="仿宋_GB2312"/>
          <w:sz w:val="32"/>
          <w:szCs w:val="32"/>
        </w:rPr>
        <w:t>站前广场及周边交通公路涉及地方派出所、交警大队、综合执法局、交通运输管理局等多个单位管理，而各部门存在职责边界不清、协调联动不畅的问题，造成管理盲区。二是</w:t>
      </w:r>
      <w:r>
        <w:rPr>
          <w:rFonts w:hint="eastAsia" w:ascii="仿宋_GB2312" w:hAnsi="微软雅黑" w:eastAsia="仿宋_GB2312" w:cs="宋体"/>
          <w:bCs/>
          <w:color w:val="000000"/>
          <w:kern w:val="0"/>
          <w:sz w:val="32"/>
          <w:szCs w:val="32"/>
        </w:rPr>
        <w:t>尚未形成</w:t>
      </w:r>
      <w:r>
        <w:rPr>
          <w:rFonts w:hint="eastAsia" w:ascii="仿宋_GB2312" w:hAnsi="黑体" w:eastAsia="仿宋_GB2312"/>
          <w:sz w:val="32"/>
          <w:szCs w:val="32"/>
        </w:rPr>
        <w:t>常态化、长效化的治</w:t>
      </w:r>
      <w:r>
        <w:rPr>
          <w:rFonts w:hint="eastAsia" w:ascii="仿宋_GB2312" w:hAnsi="黑体" w:eastAsia="仿宋_GB2312"/>
          <w:spacing w:val="-11"/>
          <w:sz w:val="32"/>
          <w:szCs w:val="32"/>
        </w:rPr>
        <w:t>理措施，各职能部门仅在本单位开展阶段性整治，如综合执法部门仅在博</w:t>
      </w:r>
      <w:r>
        <w:rPr>
          <w:rFonts w:hint="eastAsia" w:ascii="仿宋_GB2312" w:hAnsi="黑体" w:eastAsia="仿宋_GB2312"/>
          <w:sz w:val="32"/>
          <w:szCs w:val="32"/>
        </w:rPr>
        <w:t>鳌年会或特点时间加强社会面治理。</w:t>
      </w:r>
    </w:p>
    <w:p w14:paraId="2978873F">
      <w:pPr>
        <w:spacing w:line="540" w:lineRule="exact"/>
        <w:ind w:firstLine="640" w:firstLineChars="200"/>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val="en-US" w:eastAsia="zh-CN"/>
        </w:rPr>
        <w:t>意见</w:t>
      </w:r>
      <w:bookmarkStart w:id="0" w:name="_GoBack"/>
      <w:bookmarkEnd w:id="0"/>
      <w:r>
        <w:rPr>
          <w:rFonts w:hint="eastAsia" w:ascii="黑体" w:hAnsi="黑体" w:eastAsia="黑体"/>
          <w:sz w:val="32"/>
          <w:szCs w:val="32"/>
        </w:rPr>
        <w:t>建议</w:t>
      </w:r>
    </w:p>
    <w:p w14:paraId="2E214394">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（一）建立联合治理机制。</w:t>
      </w:r>
      <w:r>
        <w:rPr>
          <w:rFonts w:hint="eastAsia" w:ascii="仿宋_GB2312" w:hAnsi="黑体" w:eastAsia="仿宋_GB2312"/>
          <w:sz w:val="32"/>
          <w:szCs w:val="32"/>
        </w:rPr>
        <w:t>成立琼海站站前广场综合治理服务站，邀请辖区派出所、市交警大队、城管部门、交运部门组成，明确职责分工，联合治理，进驻开展联合办公。一是交通管制方面，交警大队负责车辆违停查处、交运局负责黑车运营执法；二是辖区派出所、铁路派出所负责出站旅客的引导及站周治安秩序维护。三是城管部门加强对摆摊小贩的治理，从源头上根除“病因”。</w:t>
      </w:r>
    </w:p>
    <w:p w14:paraId="74A9661A">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（二）强化重点时段与区域管控。</w:t>
      </w:r>
      <w:r>
        <w:rPr>
          <w:rFonts w:hint="eastAsia" w:ascii="仿宋_GB2312" w:hAnsi="黑体" w:eastAsia="仿宋_GB2312"/>
          <w:sz w:val="32"/>
          <w:szCs w:val="32"/>
        </w:rPr>
        <w:t>一是在重大节假期、每日17时至21时，每周五、周日下午16时至21时等重点时段，提高见警率和管事率。二是增加视频抓拍设备投入，争取覆盖全路段、全区域，并接入社管平台、市公安局指挥中心、铁路派出所指挥室等，实施长期视频监管，及时发现瞬时交通拥堵、违法查处等状况，及时调遣警力处置。</w:t>
      </w:r>
    </w:p>
    <w:p w14:paraId="3455D820">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（三）优化交通组织与引导设施。</w:t>
      </w:r>
      <w:r>
        <w:rPr>
          <w:rFonts w:hint="eastAsia" w:ascii="仿宋_GB2312" w:hAnsi="仿宋" w:eastAsia="仿宋_GB2312" w:cs="宋体"/>
          <w:bCs/>
          <w:color w:val="000000"/>
          <w:kern w:val="0"/>
          <w:sz w:val="32"/>
          <w:szCs w:val="32"/>
        </w:rPr>
        <w:t>一是</w:t>
      </w:r>
      <w:r>
        <w:rPr>
          <w:rFonts w:hint="eastAsia" w:ascii="仿宋_GB2312" w:hAnsi="黑体" w:eastAsia="仿宋_GB2312"/>
          <w:sz w:val="32"/>
          <w:szCs w:val="32"/>
        </w:rPr>
        <w:t>对进站通道、站前广场及人流车流较多地区设置醒目的交通指引、禁停禁摆等标识，加强对行人及社会车辆的警示及引导。二是从设计路线、物理隔离上分流、分担进站通道压力，以减少车流、人流交叉点。</w:t>
      </w:r>
    </w:p>
    <w:p w14:paraId="0F64B2FD">
      <w:pPr>
        <w:spacing w:line="540" w:lineRule="exact"/>
        <w:ind w:firstLine="480" w:firstLineChars="150"/>
        <w:rPr>
          <w:rFonts w:ascii="仿宋_GB2312" w:hAnsi="黑体" w:eastAsia="仿宋_GB2312"/>
          <w:sz w:val="32"/>
          <w:szCs w:val="32"/>
        </w:rPr>
      </w:pPr>
      <w:r>
        <w:rPr>
          <w:rFonts w:hint="eastAsia" w:ascii="楷体_GB2312" w:hAnsi="微软雅黑" w:eastAsia="楷体_GB2312" w:cs="宋体"/>
          <w:bCs/>
          <w:color w:val="000000"/>
          <w:kern w:val="0"/>
          <w:sz w:val="32"/>
          <w:szCs w:val="32"/>
        </w:rPr>
        <w:t>（四）加强宣传和引导。</w:t>
      </w:r>
      <w:r>
        <w:rPr>
          <w:rFonts w:hint="eastAsia" w:ascii="仿宋_GB2312" w:hAnsi="黑体" w:eastAsia="仿宋_GB2312"/>
          <w:sz w:val="32"/>
          <w:szCs w:val="32"/>
        </w:rPr>
        <w:t>一是面对群众宣传，利用车站电子屏、喇叭循环、宣传单等方式，提醒旅客拒绝黑车，选择正常商铺消费。二是面对从业者宣传，向摊贩、网约车司机、私家车车主开展法</w:t>
      </w:r>
      <w:r>
        <w:rPr>
          <w:rFonts w:hint="eastAsia" w:ascii="仿宋_GB2312" w:hAnsi="黑体" w:eastAsia="仿宋_GB2312"/>
          <w:sz w:val="32"/>
          <w:szCs w:val="32"/>
          <w:lang w:val="en-US" w:eastAsia="zh-CN"/>
        </w:rPr>
        <w:t>治</w:t>
      </w:r>
      <w:r>
        <w:rPr>
          <w:rFonts w:hint="eastAsia" w:ascii="仿宋_GB2312" w:hAnsi="黑体" w:eastAsia="仿宋_GB2312"/>
          <w:sz w:val="32"/>
          <w:szCs w:val="32"/>
        </w:rPr>
        <w:t>宣传，引导其自觉遵守站前管理规定。</w:t>
      </w:r>
    </w:p>
    <w:p w14:paraId="321CD861">
      <w:pPr>
        <w:spacing w:line="540" w:lineRule="exact"/>
        <w:ind w:firstLine="480" w:firstLineChars="150"/>
        <w:rPr>
          <w:rFonts w:ascii="仿宋_GB2312" w:hAnsi="黑体" w:eastAsia="仿宋_GB2312"/>
          <w:sz w:val="32"/>
          <w:szCs w:val="32"/>
        </w:rPr>
      </w:pPr>
    </w:p>
    <w:p w14:paraId="11E4C1EF">
      <w:pPr>
        <w:spacing w:line="540" w:lineRule="exact"/>
        <w:ind w:firstLine="480" w:firstLineChars="150"/>
        <w:rPr>
          <w:rFonts w:ascii="仿宋_GB2312" w:hAnsi="黑体" w:eastAsia="仿宋_GB2312"/>
          <w:sz w:val="32"/>
          <w:szCs w:val="32"/>
        </w:rPr>
      </w:pPr>
    </w:p>
    <w:p w14:paraId="442300D7">
      <w:pPr>
        <w:spacing w:line="540" w:lineRule="exact"/>
        <w:ind w:firstLine="5280" w:firstLineChars="1650"/>
        <w:rPr>
          <w:rFonts w:ascii="仿宋" w:hAnsi="仿宋" w:eastAsia="仿宋" w:cs="仿宋"/>
          <w:kern w:val="0"/>
          <w:sz w:val="32"/>
          <w:szCs w:val="32"/>
        </w:rPr>
      </w:pPr>
      <w:r>
        <w:rPr>
          <w:rFonts w:hint="eastAsia" w:ascii="仿宋_GB2312" w:hAnsi="黑体" w:eastAsia="仿宋_GB2312"/>
          <w:sz w:val="32"/>
          <w:szCs w:val="32"/>
        </w:rPr>
        <w:t xml:space="preserve">                               </w:t>
      </w:r>
    </w:p>
    <w:sectPr>
      <w:footerReference r:id="rId3" w:type="default"/>
      <w:pgSz w:w="11906" w:h="16838"/>
      <w:pgMar w:top="1440" w:right="1587"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68D1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36226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136226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78"/>
    <w:rsid w:val="00006519"/>
    <w:rsid w:val="000B0DEC"/>
    <w:rsid w:val="0010036A"/>
    <w:rsid w:val="0016431D"/>
    <w:rsid w:val="001C795A"/>
    <w:rsid w:val="0023095D"/>
    <w:rsid w:val="00284BE1"/>
    <w:rsid w:val="002862BF"/>
    <w:rsid w:val="002F2589"/>
    <w:rsid w:val="00303A9D"/>
    <w:rsid w:val="00347B80"/>
    <w:rsid w:val="00362BFF"/>
    <w:rsid w:val="003B4374"/>
    <w:rsid w:val="003D2681"/>
    <w:rsid w:val="003F18D5"/>
    <w:rsid w:val="00424CFD"/>
    <w:rsid w:val="00442B26"/>
    <w:rsid w:val="00445A21"/>
    <w:rsid w:val="00512DEA"/>
    <w:rsid w:val="005924BB"/>
    <w:rsid w:val="005C2E9E"/>
    <w:rsid w:val="006374AC"/>
    <w:rsid w:val="00683378"/>
    <w:rsid w:val="006B0B42"/>
    <w:rsid w:val="00705C7F"/>
    <w:rsid w:val="007722A2"/>
    <w:rsid w:val="00822170"/>
    <w:rsid w:val="0084648C"/>
    <w:rsid w:val="0087050F"/>
    <w:rsid w:val="00922925"/>
    <w:rsid w:val="00923C01"/>
    <w:rsid w:val="00930EAC"/>
    <w:rsid w:val="009729A4"/>
    <w:rsid w:val="009B62D1"/>
    <w:rsid w:val="009E222C"/>
    <w:rsid w:val="00A77F92"/>
    <w:rsid w:val="00AA0ABB"/>
    <w:rsid w:val="00AA18B6"/>
    <w:rsid w:val="00AD6800"/>
    <w:rsid w:val="00AE2B3B"/>
    <w:rsid w:val="00B276D4"/>
    <w:rsid w:val="00B53D13"/>
    <w:rsid w:val="00B93841"/>
    <w:rsid w:val="00B96864"/>
    <w:rsid w:val="00BA0BDB"/>
    <w:rsid w:val="00BA37F8"/>
    <w:rsid w:val="00BD39DB"/>
    <w:rsid w:val="00BF563D"/>
    <w:rsid w:val="00C130A5"/>
    <w:rsid w:val="00C323D3"/>
    <w:rsid w:val="00C574D8"/>
    <w:rsid w:val="00CA20A7"/>
    <w:rsid w:val="00CF3777"/>
    <w:rsid w:val="00CF6E15"/>
    <w:rsid w:val="00D35CE9"/>
    <w:rsid w:val="00D43D5D"/>
    <w:rsid w:val="00D93437"/>
    <w:rsid w:val="00DD285F"/>
    <w:rsid w:val="00DF753F"/>
    <w:rsid w:val="00F42461"/>
    <w:rsid w:val="00F57D15"/>
    <w:rsid w:val="00F70ED3"/>
    <w:rsid w:val="00F853B5"/>
    <w:rsid w:val="00F96B0D"/>
    <w:rsid w:val="08F3593A"/>
    <w:rsid w:val="21F430C2"/>
    <w:rsid w:val="4BEE4A58"/>
    <w:rsid w:val="6C36769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1908</Words>
  <Characters>1923</Characters>
  <Lines>14</Lines>
  <Paragraphs>3</Paragraphs>
  <TotalTime>619</TotalTime>
  <ScaleCrop>false</ScaleCrop>
  <LinksUpToDate>false</LinksUpToDate>
  <CharactersWithSpaces>1955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2026-01-01T12:24:00Z</dcterms:created>
  <dc:creator>麦标环</dc:creator>
  <cp:lastModifiedBy>彩虹</cp:lastModifiedBy>
  <dcterms:modified xsi:type="dcterms:W3CDTF">2026-02-06T02:00:15Z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eyJoZGlkIjoiZmUxNTA4NjhhNzk2NTAwOGEwMzg0ZmE5YTZiNjM2NDUiLCJ1c2VySWQiOiI1MTE1NDIwMTMifQ==</vt:lpwstr>
  </property>
  <property fmtid="{D5CDD505-2E9C-101B-9397-08002B2CF9AE}" pid="4" name="ICV">
    <vt:lpwstr>4B643E0BF9D54F93BBF4700144061FA5_13</vt:lpwstr>
  </property>
</Properties>
</file>