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2024年</w:t>
      </w:r>
    </w:p>
    <w:p>
      <w:pPr>
        <w:jc w:val="center"/>
        <w:rPr>
          <w:sz w:val="72"/>
          <w:szCs w:val="72"/>
        </w:rPr>
      </w:pPr>
      <w:r>
        <w:rPr>
          <w:rFonts w:hint="eastAsia"/>
          <w:sz w:val="72"/>
          <w:szCs w:val="72"/>
          <w:lang w:eastAsia="zh-CN"/>
        </w:rPr>
        <w:t>会山</w:t>
      </w:r>
      <w:r>
        <w:rPr>
          <w:rFonts w:hint="eastAsia"/>
          <w:sz w:val="72"/>
          <w:szCs w:val="72"/>
        </w:rPr>
        <w:t>镇综合行政执法中队单位预算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w:t>
      </w:r>
      <w:r>
        <w:rPr>
          <w:rFonts w:hint="eastAsia" w:ascii="黑体" w:hAnsi="黑体" w:eastAsia="黑体"/>
          <w:sz w:val="32"/>
          <w:szCs w:val="32"/>
        </w:rPr>
        <w:t>镇综合行政执法中队概况</w:t>
      </w:r>
    </w:p>
    <w:p>
      <w:pPr>
        <w:pStyle w:val="4"/>
        <w:ind w:firstLine="0" w:firstLineChars="0"/>
        <w:rPr>
          <w:rFonts w:ascii="黑体" w:hAnsi="黑体" w:eastAsia="黑体"/>
          <w:sz w:val="32"/>
          <w:szCs w:val="32"/>
        </w:rPr>
      </w:pPr>
      <w:r>
        <w:rPr>
          <w:rFonts w:hint="eastAsia" w:ascii="黑体" w:hAnsi="黑体" w:eastAsia="黑体"/>
          <w:sz w:val="32"/>
          <w:szCs w:val="32"/>
        </w:rPr>
        <w:t>一、主要职能</w:t>
      </w:r>
    </w:p>
    <w:p>
      <w:pPr>
        <w:pStyle w:val="4"/>
        <w:ind w:firstLine="0" w:firstLineChars="0"/>
        <w:rPr>
          <w:rFonts w:ascii="黑体" w:hAnsi="黑体" w:eastAsia="黑体"/>
          <w:sz w:val="32"/>
          <w:szCs w:val="32"/>
        </w:rPr>
      </w:pPr>
      <w:r>
        <w:rPr>
          <w:rFonts w:hint="eastAsia" w:ascii="黑体" w:hAnsi="黑体" w:eastAsia="黑体"/>
          <w:sz w:val="32"/>
          <w:szCs w:val="32"/>
        </w:rPr>
        <w:t>二、预算单位构成</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w:t>
      </w:r>
      <w:r>
        <w:rPr>
          <w:rFonts w:hint="eastAsia" w:ascii="黑体" w:hAnsi="黑体" w:eastAsia="黑体"/>
          <w:sz w:val="32"/>
          <w:szCs w:val="32"/>
        </w:rPr>
        <w:t>镇综合行政执法中队2024年单位预算表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4"/>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w:t>
      </w:r>
      <w:r>
        <w:rPr>
          <w:rFonts w:hint="eastAsia" w:ascii="黑体" w:hAnsi="黑体" w:eastAsia="黑体"/>
          <w:sz w:val="32"/>
          <w:szCs w:val="32"/>
        </w:rPr>
        <w:t xml:space="preserve">镇综合行政执法中队2024年单位预算情况说  </w:t>
      </w:r>
    </w:p>
    <w:p>
      <w:pPr>
        <w:pStyle w:val="4"/>
        <w:ind w:firstLine="1478" w:firstLineChars="462"/>
        <w:jc w:val="left"/>
        <w:rPr>
          <w:rFonts w:ascii="黑体" w:hAnsi="黑体" w:eastAsia="黑体"/>
          <w:sz w:val="32"/>
          <w:szCs w:val="32"/>
        </w:rPr>
      </w:pPr>
      <w:r>
        <w:rPr>
          <w:rFonts w:hint="eastAsia" w:ascii="黑体" w:hAnsi="黑体" w:eastAsia="黑体"/>
          <w:sz w:val="32"/>
          <w:szCs w:val="32"/>
        </w:rPr>
        <w:t>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bookmarkStart w:id="0" w:name="_GoBack"/>
      <w:bookmarkEnd w:id="0"/>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4"/>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会山</w:t>
      </w:r>
      <w:r>
        <w:rPr>
          <w:rFonts w:hint="eastAsia" w:ascii="黑体" w:hAnsi="黑体" w:eastAsia="黑体"/>
          <w:sz w:val="32"/>
          <w:szCs w:val="32"/>
        </w:rPr>
        <w:t>镇综合行政执法中队概况</w:t>
      </w:r>
    </w:p>
    <w:p>
      <w:pPr>
        <w:jc w:val="left"/>
        <w:rPr>
          <w:rFonts w:ascii="仿宋_GB2312" w:hAnsi="仿宋_GB2312" w:eastAsia="仿宋_GB2312" w:cs="仿宋_GB2312"/>
          <w:sz w:val="32"/>
          <w:szCs w:val="32"/>
        </w:rPr>
      </w:pPr>
    </w:p>
    <w:p>
      <w:pPr>
        <w:pStyle w:val="4"/>
        <w:numPr>
          <w:ilvl w:val="255"/>
          <w:numId w:val="0"/>
        </w:num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一、主要职能</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（一）统一承担辖区内综合行政执法的责任，具体负责《镇级行政处罚事项清单》实施；</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（二）负责执法巡查，将日常执法信息上传，推送到市综合执法平台，畅通信息渠道；</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（三）负责统筹协调派驻机构和基层执法力量，开展联合执法工作；</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（四）加强与市级有关部门的联系，配合市级执法部门开展联合执法、专项执法等工作；</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（五）协助解决各类突发性和应急性事件；</w:t>
      </w:r>
    </w:p>
    <w:p>
      <w:pPr>
        <w:pStyle w:val="4"/>
        <w:ind w:firstLine="640"/>
        <w:rPr>
          <w:rFonts w:ascii="仿宋_GB2312" w:hAnsi="黑体" w:eastAsia="仿宋_GB2312" w:cs="仿宋_GB2312"/>
          <w:sz w:val="32"/>
          <w:szCs w:val="32"/>
        </w:rPr>
      </w:pPr>
      <w:r>
        <w:rPr>
          <w:rFonts w:hint="eastAsia" w:ascii="仿宋_GB2312" w:hAnsi="黑体" w:eastAsia="仿宋_GB2312" w:cs="仿宋_GB2312"/>
          <w:sz w:val="32"/>
          <w:szCs w:val="32"/>
        </w:rPr>
        <w:t>（六）承办镇党委、镇政府及上级有关部门交办的其他工作。</w:t>
      </w:r>
    </w:p>
    <w:p>
      <w:pPr>
        <w:pStyle w:val="4"/>
        <w:numPr>
          <w:ilvl w:val="0"/>
          <w:numId w:val="4"/>
        </w:numPr>
        <w:ind w:firstLine="640"/>
        <w:jc w:val="left"/>
        <w:rPr>
          <w:rFonts w:ascii="黑体" w:hAnsi="黑体" w:eastAsia="黑体" w:cs="仿宋_GB2312"/>
          <w:sz w:val="32"/>
          <w:szCs w:val="32"/>
        </w:rPr>
      </w:pPr>
      <w:r>
        <w:rPr>
          <w:rFonts w:hint="eastAsia" w:ascii="黑体" w:hAnsi="黑体" w:eastAsia="黑体" w:cs="仿宋_GB2312"/>
          <w:sz w:val="32"/>
          <w:szCs w:val="32"/>
        </w:rPr>
        <w:t>预算单位构成</w:t>
      </w:r>
    </w:p>
    <w:p>
      <w:pPr>
        <w:pStyle w:val="4"/>
        <w:ind w:left="63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镇综合行政执法中队无内设机构。</w:t>
      </w:r>
    </w:p>
    <w:p>
      <w:pPr>
        <w:pStyle w:val="4"/>
        <w:ind w:firstLine="0" w:firstLineChars="0"/>
        <w:jc w:val="left"/>
        <w:rPr>
          <w:rFonts w:ascii="黑体" w:hAnsi="黑体" w:eastAsia="黑体" w:cs="仿宋_GB2312"/>
          <w:sz w:val="32"/>
          <w:szCs w:val="32"/>
        </w:rPr>
      </w:pPr>
    </w:p>
    <w:p>
      <w:pPr>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会山</w:t>
      </w:r>
      <w:r>
        <w:rPr>
          <w:rFonts w:hint="eastAsia" w:ascii="黑体" w:hAnsi="黑体" w:eastAsia="黑体"/>
          <w:sz w:val="32"/>
          <w:szCs w:val="32"/>
        </w:rPr>
        <w:t>镇综合行政执法中队2024年单位预算表</w:t>
      </w:r>
    </w:p>
    <w:p>
      <w:pPr>
        <w:ind w:left="800"/>
        <w:jc w:val="left"/>
        <w:rPr>
          <w:rFonts w:ascii="黑体" w:hAnsi="黑体" w:eastAsia="黑体"/>
          <w:sz w:val="32"/>
          <w:szCs w:val="32"/>
        </w:rPr>
      </w:pPr>
    </w:p>
    <w:p>
      <w:pPr>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会山</w:t>
      </w:r>
      <w:r>
        <w:rPr>
          <w:rFonts w:hint="eastAsia" w:ascii="黑体" w:hAnsi="黑体" w:eastAsia="黑体"/>
          <w:sz w:val="32"/>
          <w:szCs w:val="32"/>
        </w:rPr>
        <w:t>镇综合行政执法中队2024年单位预算情况说明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镇综合行政执法中队2024年财政拨款收支总预算</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9.16</w:t>
      </w:r>
      <w:r>
        <w:rPr>
          <w:rFonts w:hint="eastAsia" w:ascii="仿宋_GB2312" w:hAnsi="黑体" w:eastAsia="仿宋_GB2312"/>
          <w:sz w:val="32"/>
          <w:szCs w:val="32"/>
        </w:rPr>
        <w:t>万元、 卫生健康支出</w:t>
      </w:r>
      <w:r>
        <w:rPr>
          <w:rFonts w:hint="eastAsia" w:ascii="仿宋_GB2312" w:hAnsi="黑体" w:eastAsia="仿宋_GB2312"/>
          <w:sz w:val="32"/>
          <w:szCs w:val="32"/>
          <w:lang w:val="en-US" w:eastAsia="zh-CN"/>
        </w:rPr>
        <w:t>5.36</w:t>
      </w:r>
      <w:r>
        <w:rPr>
          <w:rFonts w:hint="eastAsia" w:ascii="仿宋_GB2312" w:hAnsi="黑体" w:eastAsia="仿宋_GB2312"/>
          <w:sz w:val="32"/>
          <w:szCs w:val="32"/>
        </w:rPr>
        <w:t>万元、 城乡社区支出</w:t>
      </w:r>
      <w:r>
        <w:rPr>
          <w:rFonts w:hint="eastAsia" w:ascii="仿宋_GB2312" w:hAnsi="黑体" w:eastAsia="仿宋_GB2312"/>
          <w:sz w:val="32"/>
          <w:szCs w:val="32"/>
          <w:lang w:val="en-US" w:eastAsia="zh-CN"/>
        </w:rPr>
        <w:t>35.14</w:t>
      </w:r>
      <w:r>
        <w:rPr>
          <w:rFonts w:hint="eastAsia" w:ascii="仿宋_GB2312" w:hAnsi="黑体" w:eastAsia="仿宋_GB2312"/>
          <w:sz w:val="32"/>
          <w:szCs w:val="32"/>
        </w:rPr>
        <w:t>万元、住房保障支</w:t>
      </w:r>
      <w:r>
        <w:rPr>
          <w:rFonts w:hint="eastAsia" w:ascii="仿宋_GB2312" w:hAnsi="黑体" w:eastAsia="仿宋_GB2312"/>
          <w:sz w:val="32"/>
          <w:szCs w:val="32"/>
          <w:lang w:val="en-US" w:eastAsia="zh-CN"/>
        </w:rPr>
        <w:t>4.13</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镇综合行政执法中队2024年一般公共预算当年拨款</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3.46</w:t>
      </w:r>
      <w:r>
        <w:rPr>
          <w:rFonts w:hint="eastAsia" w:ascii="仿宋_GB2312" w:hAnsi="黑体" w:eastAsia="仿宋_GB2312"/>
          <w:sz w:val="32"/>
          <w:szCs w:val="32"/>
        </w:rPr>
        <w:t>万元，主要是因为</w:t>
      </w:r>
      <w:r>
        <w:rPr>
          <w:rFonts w:hint="eastAsia" w:ascii="仿宋_GB2312" w:hAnsi="黑体" w:eastAsia="仿宋_GB2312"/>
          <w:sz w:val="32"/>
          <w:szCs w:val="32"/>
          <w:lang w:eastAsia="zh-CN"/>
        </w:rPr>
        <w:t>，人员减少</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_GB2312" w:hAnsi="黑体" w:eastAsia="仿宋_GB2312"/>
          <w:sz w:val="32"/>
          <w:szCs w:val="32"/>
        </w:rPr>
      </w:pP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9.16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17</w:t>
      </w:r>
      <w:r>
        <w:rPr>
          <w:rFonts w:hint="eastAsia" w:ascii="仿宋_GB2312" w:hAnsi="黑体" w:eastAsia="仿宋_GB2312"/>
          <w:sz w:val="32"/>
          <w:szCs w:val="32"/>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5.36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w:t>
      </w:r>
      <w:r>
        <w:rPr>
          <w:rFonts w:hint="eastAsia" w:ascii="仿宋_GB2312" w:hAnsi="黑体" w:eastAsia="仿宋_GB2312"/>
          <w:sz w:val="32"/>
          <w:szCs w:val="32"/>
        </w:rPr>
        <w:t>%；城乡社区</w:t>
      </w:r>
      <w:r>
        <w:rPr>
          <w:rFonts w:hint="eastAsia" w:ascii="仿宋_GB2312" w:hAnsi="黑体" w:eastAsia="仿宋_GB2312" w:cs="仿宋_GB2312"/>
          <w:sz w:val="32"/>
          <w:szCs w:val="32"/>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35.14</w:t>
      </w:r>
      <w:r>
        <w:rPr>
          <w:rFonts w:hint="eastAsia" w:ascii="仿宋_GB2312" w:hAnsi="黑体" w:eastAsia="仿宋_GB2312"/>
          <w:sz w:val="32"/>
          <w:szCs w:val="32"/>
        </w:rPr>
        <w:t>万元，占6</w:t>
      </w:r>
      <w:r>
        <w:rPr>
          <w:rFonts w:hint="eastAsia" w:ascii="仿宋_GB2312" w:hAnsi="黑体" w:eastAsia="仿宋_GB2312"/>
          <w:sz w:val="32"/>
          <w:szCs w:val="32"/>
          <w:lang w:val="en-US" w:eastAsia="zh-CN"/>
        </w:rPr>
        <w:t>5.34</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4.13</w:t>
      </w:r>
      <w:r>
        <w:rPr>
          <w:rFonts w:hint="eastAsia" w:ascii="仿宋_GB2312" w:hAnsi="黑体" w:eastAsia="仿宋_GB2312"/>
          <w:sz w:val="32"/>
          <w:szCs w:val="32"/>
        </w:rPr>
        <w:t>万元，占7.</w:t>
      </w:r>
      <w:r>
        <w:rPr>
          <w:rFonts w:hint="eastAsia" w:ascii="仿宋_GB2312" w:hAnsi="黑体" w:eastAsia="仿宋_GB2312"/>
          <w:sz w:val="32"/>
          <w:szCs w:val="32"/>
          <w:lang w:val="en-US" w:eastAsia="zh-CN"/>
        </w:rPr>
        <w:t>6</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1.社会保障和就业（类）行政事业单位养老支出（款）机关事业单位基本养老保险缴费支出（项）2024年</w:t>
      </w:r>
      <w:r>
        <w:rPr>
          <w:rFonts w:hint="eastAsia" w:ascii="仿宋_GB2312" w:hAnsi="黑体" w:eastAsia="仿宋_GB2312"/>
          <w:sz w:val="32"/>
          <w:szCs w:val="32"/>
        </w:rPr>
        <w:t>预算数为4.</w:t>
      </w:r>
      <w:r>
        <w:rPr>
          <w:rFonts w:hint="eastAsia" w:ascii="仿宋_GB2312" w:hAnsi="黑体" w:eastAsia="仿宋_GB2312"/>
          <w:sz w:val="32"/>
          <w:szCs w:val="32"/>
          <w:lang w:val="en-US" w:eastAsia="zh-CN"/>
        </w:rPr>
        <w:t>32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rPr>
        <w:t>0.</w:t>
      </w:r>
      <w:r>
        <w:rPr>
          <w:rFonts w:hint="eastAsia" w:ascii="仿宋_GB2312" w:hAnsi="黑体" w:eastAsia="仿宋_GB2312"/>
          <w:sz w:val="32"/>
          <w:szCs w:val="32"/>
          <w:lang w:val="en-US" w:eastAsia="zh-CN"/>
        </w:rPr>
        <w:t>89</w:t>
      </w:r>
      <w:r>
        <w:rPr>
          <w:rFonts w:hint="eastAsia" w:ascii="仿宋_GB2312" w:hAnsi="黑体" w:eastAsia="仿宋_GB2312"/>
          <w:sz w:val="32"/>
          <w:szCs w:val="32"/>
        </w:rPr>
        <w:t>万元，主要原因是人员</w:t>
      </w:r>
      <w:r>
        <w:rPr>
          <w:rFonts w:hint="eastAsia" w:ascii="仿宋_GB2312" w:hAnsi="黑体" w:eastAsia="仿宋_GB2312"/>
          <w:sz w:val="32"/>
          <w:szCs w:val="32"/>
          <w:lang w:eastAsia="zh-CN"/>
        </w:rPr>
        <w:t>人员减少</w:t>
      </w:r>
      <w:r>
        <w:rPr>
          <w:rFonts w:hint="eastAsia" w:ascii="仿宋_GB2312" w:hAnsi="黑体" w:eastAsia="仿宋_GB2312"/>
          <w:sz w:val="32"/>
          <w:szCs w:val="32"/>
        </w:rPr>
        <w:t>，对应的社会保险基数调高。</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社会保障和就业（类）行政事业单位养老支出（款）机关事业单位职业年金缴费支出（项）2024年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4.84</w:t>
      </w:r>
      <w:r>
        <w:rPr>
          <w:rFonts w:hint="eastAsia" w:ascii="仿宋_GB2312" w:hAnsi="黑体" w:eastAsia="仿宋_GB2312"/>
          <w:sz w:val="32"/>
          <w:szCs w:val="32"/>
        </w:rPr>
        <w:t>万元，新增会计科目，与上年无单独对应科目，无法对比，为镇执法中队职业年金纪实金额。</w:t>
      </w:r>
    </w:p>
    <w:p>
      <w:pPr>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卫生健康（类）行政事业单位医疗（款）事业单位医疗（项）2024年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1.92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0.35</w:t>
      </w:r>
      <w:r>
        <w:rPr>
          <w:rFonts w:hint="eastAsia" w:ascii="仿宋_GB2312" w:hAnsi="黑体" w:eastAsia="仿宋_GB2312"/>
          <w:sz w:val="32"/>
          <w:szCs w:val="32"/>
        </w:rPr>
        <w:t>万元，主要原因是人员</w:t>
      </w:r>
      <w:r>
        <w:rPr>
          <w:rFonts w:hint="eastAsia" w:ascii="仿宋_GB2312" w:hAnsi="黑体" w:eastAsia="仿宋_GB2312"/>
          <w:sz w:val="32"/>
          <w:szCs w:val="32"/>
          <w:lang w:eastAsia="zh-CN"/>
        </w:rPr>
        <w:t>减少</w:t>
      </w:r>
      <w:r>
        <w:rPr>
          <w:rFonts w:hint="eastAsia" w:ascii="仿宋_GB2312" w:hAnsi="黑体" w:eastAsia="仿宋_GB2312"/>
          <w:sz w:val="32"/>
          <w:szCs w:val="32"/>
        </w:rPr>
        <w:t>，对应的社会保险基数调高。</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卫生健康（类）行政事业单位医疗（款）公务员医疗补助（项）2024年</w:t>
      </w:r>
      <w:r>
        <w:rPr>
          <w:rFonts w:hint="eastAsia" w:ascii="仿宋_GB2312" w:hAnsi="黑体" w:eastAsia="仿宋_GB2312"/>
          <w:sz w:val="32"/>
          <w:szCs w:val="32"/>
        </w:rPr>
        <w:t>预算数为3.</w:t>
      </w:r>
      <w:r>
        <w:rPr>
          <w:rFonts w:hint="eastAsia" w:ascii="仿宋_GB2312" w:hAnsi="黑体" w:eastAsia="仿宋_GB2312"/>
          <w:sz w:val="32"/>
          <w:szCs w:val="32"/>
          <w:lang w:val="en-US" w:eastAsia="zh-CN"/>
        </w:rPr>
        <w:t>44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0.78</w:t>
      </w:r>
      <w:r>
        <w:rPr>
          <w:rFonts w:hint="eastAsia" w:ascii="仿宋_GB2312" w:hAnsi="黑体" w:eastAsia="仿宋_GB2312"/>
          <w:sz w:val="32"/>
          <w:szCs w:val="32"/>
        </w:rPr>
        <w:t>万元，主要原因是人员工资标准提高，对应的社会保险基数调高。</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城乡社区（类）城乡社区管理事务（款）城管执法（项）2024年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35.14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5.34</w:t>
      </w:r>
      <w:r>
        <w:rPr>
          <w:rFonts w:hint="eastAsia" w:ascii="仿宋_GB2312" w:hAnsi="黑体" w:eastAsia="仿宋_GB2312"/>
          <w:sz w:val="32"/>
          <w:szCs w:val="32"/>
        </w:rPr>
        <w:t>万元，主要原因是人员</w:t>
      </w:r>
      <w:r>
        <w:rPr>
          <w:rFonts w:hint="eastAsia" w:ascii="仿宋_GB2312" w:hAnsi="黑体" w:eastAsia="仿宋_GB2312"/>
          <w:sz w:val="32"/>
          <w:szCs w:val="32"/>
          <w:lang w:eastAsia="zh-CN"/>
        </w:rPr>
        <w:t>减少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住房保障（类）住房改革支出（款）住房公积金（项）2024年</w:t>
      </w:r>
      <w:r>
        <w:rPr>
          <w:rFonts w:hint="eastAsia" w:ascii="仿宋_GB2312" w:hAnsi="黑体" w:eastAsia="仿宋_GB2312"/>
          <w:sz w:val="32"/>
          <w:szCs w:val="32"/>
        </w:rPr>
        <w:t>预算数为4</w:t>
      </w:r>
      <w:r>
        <w:rPr>
          <w:rFonts w:hint="eastAsia" w:ascii="仿宋_GB2312" w:hAnsi="黑体" w:eastAsia="仿宋_GB2312"/>
          <w:sz w:val="32"/>
          <w:szCs w:val="32"/>
          <w:lang w:val="en-US" w:eastAsia="zh-CN"/>
        </w:rPr>
        <w:t>.13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0.93</w:t>
      </w:r>
      <w:r>
        <w:rPr>
          <w:rFonts w:hint="eastAsia" w:ascii="仿宋_GB2312" w:hAnsi="黑体" w:eastAsia="仿宋_GB2312"/>
          <w:sz w:val="32"/>
          <w:szCs w:val="32"/>
        </w:rPr>
        <w:t>万元，主要原因是人员</w:t>
      </w:r>
      <w:r>
        <w:rPr>
          <w:rFonts w:hint="eastAsia" w:ascii="仿宋_GB2312" w:hAnsi="黑体" w:eastAsia="仿宋_GB2312"/>
          <w:sz w:val="32"/>
          <w:szCs w:val="32"/>
          <w:lang w:eastAsia="zh-CN"/>
        </w:rPr>
        <w:t>减少</w:t>
      </w:r>
      <w:r>
        <w:rPr>
          <w:rFonts w:hint="eastAsia" w:ascii="仿宋_GB2312" w:hAnsi="黑体" w:eastAsia="仿宋_GB2312"/>
          <w:sz w:val="32"/>
          <w:szCs w:val="32"/>
        </w:rPr>
        <w:t>，对应的公积金基数调高。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镇综合行政执法中队2024年一般公共预算基本支出为</w:t>
      </w:r>
      <w:r>
        <w:rPr>
          <w:rFonts w:hint="eastAsia" w:ascii="仿宋_GB2312" w:hAnsi="黑体" w:eastAsia="仿宋_GB2312" w:cs="仿宋_GB2312"/>
          <w:sz w:val="32"/>
          <w:szCs w:val="32"/>
          <w:lang w:val="en-US" w:eastAsia="zh-CN"/>
        </w:rPr>
        <w:t>53.78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49.96</w:t>
      </w:r>
      <w:r>
        <w:rPr>
          <w:rFonts w:hint="eastAsia" w:ascii="仿宋_GB2312" w:hAnsi="黑体" w:eastAsia="仿宋_GB2312"/>
          <w:sz w:val="32"/>
          <w:szCs w:val="32"/>
        </w:rPr>
        <w:t>万元，主要包括：基本工资、津贴补贴、奖金、其他人员工资、社会保障缴费、绩效工资、机关事业单位基本养老保险缴费、职业年金缴费、医疗费、住房公积金。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公用经费3.8</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万元，主要包括：办办公费、水费、电费、邮电费、物业管理费、差旅费、维修（护）费、会议费、培训费、工会经费。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会山</w:t>
      </w:r>
      <w:r>
        <w:rPr>
          <w:rFonts w:hint="eastAsia" w:ascii="黑体" w:hAnsi="黑体" w:eastAsia="黑体"/>
          <w:sz w:val="32"/>
          <w:szCs w:val="32"/>
        </w:rPr>
        <w:t>镇综合行政执法中队2024年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镇综合行政执法中队2024年一般公共预算“三公”经费预算数为0万元，其中：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与上年度保持一致</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与上年度保持一致；</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w:t>
      </w:r>
      <w:r>
        <w:rPr>
          <w:rFonts w:hint="eastAsia" w:ascii="仿宋_GB2312" w:hAnsi="黑体" w:eastAsia="仿宋_GB2312"/>
          <w:sz w:val="32"/>
          <w:szCs w:val="32"/>
        </w:rPr>
        <w:t>与上年度保持一致</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与上年度保持一致</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黑体" w:eastAsia="仿宋_GB2312"/>
          <w:sz w:val="32"/>
          <w:szCs w:val="32"/>
        </w:rPr>
        <w:t>与上年度保持一致；</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w:t>
      </w:r>
      <w:r>
        <w:rPr>
          <w:rFonts w:hint="eastAsia" w:ascii="仿宋_GB2312" w:hAnsi="黑体" w:eastAsia="仿宋_GB2312"/>
          <w:sz w:val="32"/>
          <w:szCs w:val="32"/>
        </w:rPr>
        <w:t>与上年度保持一致</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w:t>
      </w:r>
      <w:r>
        <w:rPr>
          <w:rFonts w:hint="eastAsia" w:ascii="黑体" w:hAnsi="黑体" w:eastAsia="黑体"/>
          <w:sz w:val="32"/>
          <w:shd w:val="clear" w:color="auto" w:fill="FFFFFF"/>
        </w:rPr>
        <w:t>政</w:t>
      </w:r>
      <w:r>
        <w:rPr>
          <w:rFonts w:hint="eastAsia" w:ascii="黑体" w:hAnsi="黑体" w:eastAsia="黑体" w:cs="Times New Roman"/>
          <w:sz w:val="32"/>
          <w:shd w:val="clear" w:color="auto" w:fill="FFFFFF"/>
        </w:rPr>
        <w:t>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镇综合行政执法中队2024年政府性基金预算当年拨款0万元，与上年度保持一致</w:t>
      </w:r>
      <w:r>
        <w:rPr>
          <w:rFonts w:hint="eastAsia" w:ascii="Times New Roman" w:hAnsi="Times New Roman" w:eastAsia="仿宋_GB2312" w:cs="Times New Roman"/>
          <w:sz w:val="32"/>
          <w:shd w:val="clear" w:color="auto" w:fill="FFFFFF"/>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镇综合行政执法中队2024年无政府性基金预算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镇综合行政执法中队2024年无政府性基金支出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w:t>
      </w:r>
      <w:r>
        <w:rPr>
          <w:rFonts w:hint="eastAsia" w:ascii="黑体" w:hAnsi="黑体" w:eastAsia="黑体"/>
          <w:sz w:val="32"/>
          <w:shd w:val="clear" w:color="auto" w:fill="FFFFFF"/>
        </w:rPr>
        <w:t>收支</w:t>
      </w:r>
      <w:r>
        <w:rPr>
          <w:rFonts w:hint="eastAsia" w:ascii="黑体" w:hAnsi="黑体" w:eastAsia="黑体" w:cs="Times New Roman"/>
          <w:sz w:val="32"/>
          <w:shd w:val="clear" w:color="auto" w:fill="FFFFFF"/>
        </w:rPr>
        <w:t>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镇综合行政执法中队所有收入和支出均纳入部门预算管理。收入包括：一般公共预算收入</w:t>
      </w:r>
      <w:r>
        <w:rPr>
          <w:rFonts w:hint="eastAsia" w:ascii="仿宋_GB2312" w:hAnsi="黑体" w:eastAsia="仿宋_GB2312"/>
          <w:sz w:val="32"/>
          <w:szCs w:val="32"/>
        </w:rPr>
        <w:t>；支出包括：社会保障和就业支出、卫生健康支出、城乡社区支出、住房保障支出。</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镇综合行政执法中队2024年收支总预算</w:t>
      </w:r>
      <w:r>
        <w:rPr>
          <w:rFonts w:hint="eastAsia" w:ascii="仿宋_GB2312" w:hAnsi="黑体" w:eastAsia="仿宋_GB2312" w:cs="仿宋_GB2312"/>
          <w:sz w:val="32"/>
          <w:szCs w:val="32"/>
          <w:lang w:val="en-US" w:eastAsia="zh-CN"/>
        </w:rPr>
        <w:t>53.78</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镇综合行政执法中队2024年收入预算</w:t>
      </w:r>
      <w:r>
        <w:rPr>
          <w:rFonts w:hint="eastAsia" w:ascii="仿宋_GB2312" w:hAnsi="黑体" w:eastAsia="仿宋_GB2312" w:cs="仿宋_GB2312"/>
          <w:sz w:val="32"/>
          <w:szCs w:val="32"/>
          <w:lang w:val="en-US" w:eastAsia="zh-CN"/>
        </w:rPr>
        <w:t>53.78</w:t>
      </w:r>
      <w:r>
        <w:rPr>
          <w:rFonts w:hint="eastAsia" w:ascii="仿宋_GB2312" w:hAnsi="黑体" w:eastAsia="仿宋_GB2312" w:cs="仿宋_GB2312"/>
          <w:sz w:val="32"/>
          <w:szCs w:val="32"/>
        </w:rPr>
        <w:t>万元，其中：一般公共预算收入</w:t>
      </w:r>
      <w:r>
        <w:rPr>
          <w:rFonts w:hint="eastAsia" w:ascii="仿宋_GB2312" w:hAnsi="黑体" w:eastAsia="仿宋_GB2312" w:cs="仿宋_GB2312"/>
          <w:sz w:val="32"/>
          <w:szCs w:val="32"/>
          <w:lang w:val="en-US" w:eastAsia="zh-CN"/>
        </w:rPr>
        <w:t>53.78</w:t>
      </w:r>
      <w:r>
        <w:rPr>
          <w:rFonts w:hint="eastAsia" w:ascii="仿宋_GB2312" w:hAnsi="黑体" w:eastAsia="仿宋_GB2312" w:cs="仿宋_GB2312"/>
          <w:sz w:val="32"/>
          <w:szCs w:val="32"/>
        </w:rPr>
        <w:t>元，占100%。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3.46</w:t>
      </w:r>
      <w:r>
        <w:rPr>
          <w:rFonts w:hint="eastAsia" w:ascii="仿宋_GB2312" w:hAnsi="黑体" w:eastAsia="仿宋_GB2312"/>
          <w:sz w:val="32"/>
          <w:szCs w:val="32"/>
        </w:rPr>
        <w:t>万元，主要是因为人员</w:t>
      </w:r>
      <w:r>
        <w:rPr>
          <w:rFonts w:hint="eastAsia" w:ascii="仿宋_GB2312" w:hAnsi="黑体" w:eastAsia="仿宋_GB2312"/>
          <w:sz w:val="32"/>
          <w:szCs w:val="32"/>
          <w:lang w:eastAsia="zh-CN"/>
        </w:rPr>
        <w:t>减少，</w:t>
      </w:r>
      <w:r>
        <w:rPr>
          <w:rFonts w:hint="eastAsia" w:ascii="仿宋_GB2312" w:hAnsi="黑体" w:eastAsia="仿宋_GB2312"/>
          <w:sz w:val="32"/>
          <w:szCs w:val="32"/>
        </w:rPr>
        <w:t>对应的社会保险、公积金等基数调高，人员公用经费定额标准提高。</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会山</w:t>
      </w:r>
      <w:r>
        <w:rPr>
          <w:rFonts w:hint="eastAsia" w:ascii="黑体" w:hAnsi="黑体" w:eastAsia="黑体"/>
          <w:sz w:val="32"/>
          <w:szCs w:val="32"/>
        </w:rPr>
        <w:t>镇综合行政执法中队2024年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镇综合行政执法中队2024年收入预算</w:t>
      </w:r>
      <w:r>
        <w:rPr>
          <w:rFonts w:hint="eastAsia" w:ascii="仿宋_GB2312" w:hAnsi="黑体" w:eastAsia="仿宋_GB2312" w:cs="仿宋_GB2312"/>
          <w:sz w:val="32"/>
          <w:szCs w:val="32"/>
          <w:lang w:val="en-US" w:eastAsia="zh-CN"/>
        </w:rPr>
        <w:t>53.78</w:t>
      </w:r>
      <w:r>
        <w:rPr>
          <w:rFonts w:hint="eastAsia" w:ascii="仿宋_GB2312" w:hAnsi="黑体" w:eastAsia="仿宋_GB2312" w:cs="仿宋_GB2312"/>
          <w:sz w:val="32"/>
          <w:szCs w:val="32"/>
        </w:rPr>
        <w:t>万元，其中：一般公共预算收入</w:t>
      </w:r>
      <w:r>
        <w:rPr>
          <w:rFonts w:hint="eastAsia" w:ascii="仿宋_GB2312" w:hAnsi="黑体" w:eastAsia="仿宋_GB2312" w:cs="仿宋_GB2312"/>
          <w:sz w:val="32"/>
          <w:szCs w:val="32"/>
          <w:lang w:val="en-US" w:eastAsia="zh-CN"/>
        </w:rPr>
        <w:t>53.78</w:t>
      </w:r>
      <w:r>
        <w:rPr>
          <w:rFonts w:hint="eastAsia" w:ascii="仿宋_GB2312" w:hAnsi="黑体" w:eastAsia="仿宋_GB2312" w:cs="仿宋_GB2312"/>
          <w:sz w:val="32"/>
          <w:szCs w:val="32"/>
        </w:rPr>
        <w:t>万元，占100%。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3.46</w:t>
      </w:r>
      <w:r>
        <w:rPr>
          <w:rFonts w:hint="eastAsia" w:ascii="仿宋_GB2312" w:hAnsi="黑体" w:eastAsia="仿宋_GB2312"/>
          <w:sz w:val="32"/>
          <w:szCs w:val="32"/>
        </w:rPr>
        <w:t>万元，主要是因为人员</w:t>
      </w:r>
      <w:r>
        <w:rPr>
          <w:rFonts w:hint="eastAsia" w:ascii="仿宋_GB2312" w:hAnsi="黑体" w:eastAsia="仿宋_GB2312"/>
          <w:sz w:val="32"/>
          <w:szCs w:val="32"/>
          <w:lang w:eastAsia="zh-CN"/>
        </w:rPr>
        <w:t>减少</w:t>
      </w:r>
      <w:r>
        <w:rPr>
          <w:rFonts w:hint="eastAsia" w:ascii="仿宋_GB2312" w:hAnsi="黑体" w:eastAsia="仿宋_GB2312"/>
          <w:sz w:val="32"/>
          <w:szCs w:val="32"/>
        </w:rPr>
        <w:t>，对应的社会保险、公积金等基数调高，人员公用经费定额标准提高。</w:t>
      </w:r>
    </w:p>
    <w:p>
      <w:pPr>
        <w:ind w:firstLine="640" w:firstLineChars="200"/>
        <w:rPr>
          <w:rFonts w:ascii="楷体" w:hAnsi="楷体" w:eastAsia="楷体"/>
          <w:sz w:val="32"/>
          <w:szCs w:val="32"/>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2024年</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镇综合行政执法中队无采购预算。</w:t>
      </w:r>
    </w:p>
    <w:p>
      <w:pPr>
        <w:ind w:firstLine="640" w:firstLineChars="200"/>
        <w:rPr>
          <w:rFonts w:ascii="楷体" w:hAnsi="楷体" w:eastAsia="楷体"/>
          <w:sz w:val="32"/>
          <w:szCs w:val="32"/>
        </w:rPr>
      </w:pPr>
      <w:r>
        <w:rPr>
          <w:rFonts w:hint="eastAsia" w:ascii="楷体" w:hAnsi="楷体" w:eastAsia="楷体"/>
          <w:sz w:val="32"/>
          <w:szCs w:val="32"/>
        </w:rPr>
        <w:t>（二）国有资产占有使用情况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截至2023年12月31日，</w:t>
      </w:r>
      <w:r>
        <w:rPr>
          <w:rFonts w:hint="eastAsia" w:ascii="仿宋_GB2312" w:hAnsi="黑体" w:eastAsia="仿宋_GB2312" w:cs="仿宋_GB2312"/>
          <w:sz w:val="32"/>
          <w:szCs w:val="32"/>
          <w:lang w:eastAsia="zh-CN"/>
        </w:rPr>
        <w:t>会山</w:t>
      </w:r>
      <w:r>
        <w:rPr>
          <w:rFonts w:hint="eastAsia" w:ascii="仿宋_GB2312" w:hAnsi="黑体" w:eastAsia="仿宋_GB2312" w:cs="仿宋_GB2312"/>
          <w:sz w:val="32"/>
          <w:szCs w:val="32"/>
        </w:rPr>
        <w:t>镇综合行政执法中队及下属各预算单位共有车辆0辆，其中，领导干部用车0辆，机要通信应急用车0辆、一般执法执勤用车0辆、特种专业技术用车0辆、其他用车0辆。单位价值100万元以上设备0台（套）。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（三）绩效目标设置情况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2024年</w:t>
      </w:r>
      <w:r>
        <w:rPr>
          <w:rFonts w:hint="eastAsia" w:ascii="仿宋_GB2312" w:hAnsi="黑体" w:eastAsia="仿宋_GB2312"/>
          <w:sz w:val="32"/>
          <w:szCs w:val="32"/>
          <w:lang w:eastAsia="zh-CN"/>
        </w:rPr>
        <w:t>会山</w:t>
      </w:r>
      <w:r>
        <w:rPr>
          <w:rFonts w:hint="eastAsia" w:ascii="仿宋_GB2312" w:hAnsi="黑体" w:eastAsia="仿宋_GB2312"/>
          <w:sz w:val="32"/>
          <w:szCs w:val="32"/>
        </w:rPr>
        <w:t>镇综合行政执法中队9</w:t>
      </w:r>
      <w:r>
        <w:rPr>
          <w:rFonts w:hint="eastAsia" w:ascii="仿宋_GB2312" w:hAnsi="黑体" w:eastAsia="仿宋_GB2312" w:cs="仿宋_GB2312"/>
          <w:sz w:val="32"/>
          <w:szCs w:val="32"/>
        </w:rPr>
        <w:t>个项目实行绩效目标管理，涉及一般公共预算5</w:t>
      </w:r>
      <w:r>
        <w:rPr>
          <w:rFonts w:hint="eastAsia" w:ascii="仿宋_GB2312" w:hAnsi="黑体" w:eastAsia="仿宋_GB2312" w:cs="仿宋_GB2312"/>
          <w:sz w:val="32"/>
          <w:szCs w:val="32"/>
          <w:lang w:val="en-US" w:eastAsia="zh-CN"/>
        </w:rPr>
        <w:t>3.78</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十四、社会保障和就业支出（类）行政事业单位养老支出（款）机关事业单位职业年金缴费支出（项）：反映机关事业单位实施养老保险制度由单位实际缴纳的职业年金支出。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卫生健康支出（类）行政事业单位医疗（款）事业单位医疗（项）：反映财政部门安排的事业单位基本医疗保险缴纳经费，未参加医疗保险的事业单位的公费医疗经费，按国家规定享受离休人员待遇的医疗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十六、卫生健康支出（类）行政事业单位医疗（款）公务员医疗补助（项）：反映财政部门安排的公务员医疗补助经费。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十七、城乡社区支出（类）城乡社区管理事务（款）城管执法（项）：反映城市管理综合行政执法、加强城市市容和环境卫生管理等方面的支出。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十八、城乡社区支出（类）城乡社区管理事务（款）其他城乡社区管理事务支出（项）：反映除上述项目以外其他用于城乡社区管理事务方面的支出。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195F6B"/>
    <w:multiLevelType w:val="singleLevel"/>
    <w:tmpl w:val="29195F6B"/>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2ZhY2VkZmQ0MDdhMzY4NjE4ODgxZWE2ZjczMTkifQ=="/>
  </w:docVars>
  <w:rsids>
    <w:rsidRoot w:val="711462FB"/>
    <w:rsid w:val="003F07C0"/>
    <w:rsid w:val="00F734CE"/>
    <w:rsid w:val="0689367E"/>
    <w:rsid w:val="1D136C05"/>
    <w:rsid w:val="229D1590"/>
    <w:rsid w:val="2C5C6BA7"/>
    <w:rsid w:val="2D9E1704"/>
    <w:rsid w:val="2E940FEE"/>
    <w:rsid w:val="2F2076FA"/>
    <w:rsid w:val="30CD5E8E"/>
    <w:rsid w:val="31792013"/>
    <w:rsid w:val="31A51F63"/>
    <w:rsid w:val="342D15B0"/>
    <w:rsid w:val="3A022EEF"/>
    <w:rsid w:val="3C2172C0"/>
    <w:rsid w:val="412C6529"/>
    <w:rsid w:val="50C73F45"/>
    <w:rsid w:val="58776306"/>
    <w:rsid w:val="5F112D8A"/>
    <w:rsid w:val="6B967A7B"/>
    <w:rsid w:val="711462FB"/>
    <w:rsid w:val="7BF6768C"/>
    <w:rsid w:val="7D20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640</Words>
  <Characters>3649</Characters>
  <Lines>30</Lines>
  <Paragraphs>8</Paragraphs>
  <TotalTime>41</TotalTime>
  <ScaleCrop>false</ScaleCrop>
  <LinksUpToDate>false</LinksUpToDate>
  <CharactersWithSpaces>4281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2024-05-28T01:33:00Z</dcterms:created>
  <dc:creator>Administrator</dc:creator>
  <cp:lastModifiedBy>Administrator</cp:lastModifiedBy>
  <dcterms:modified xsi:type="dcterms:W3CDTF">2024-05-28T02:25:06Z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AE0395190E3E4F388401843596ED78F2</vt:lpwstr>
  </property>
</Properties>
</file>