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7A85A">
      <w:pPr>
        <w:spacing w:line="578" w:lineRule="exact"/>
        <w:ind w:firstLine="0" w:firstLineChars="0"/>
        <w:jc w:val="center"/>
        <w:outlineLvl w:val="0"/>
        <w:rPr>
          <w:rFonts w:hint="eastAsia" w:ascii="宋体" w:hAnsi="宋体" w:eastAsia="宋体" w:cs="宋体"/>
          <w:b/>
          <w:bCs/>
          <w:sz w:val="44"/>
          <w:szCs w:val="44"/>
        </w:rPr>
      </w:pPr>
      <w:r>
        <w:rPr>
          <w:rFonts w:hint="eastAsia" w:ascii="方正小标宋简体" w:hAnsi="方正小标宋简体" w:eastAsia="方正小标宋简体" w:cs="方正小标宋简体"/>
          <w:b w:val="0"/>
          <w:bCs w:val="0"/>
          <w:sz w:val="44"/>
          <w:szCs w:val="44"/>
          <w:lang w:val="en-US" w:eastAsia="zh-CN"/>
        </w:rPr>
        <w:t>园区考核奖励资金</w:t>
      </w:r>
      <w:r>
        <w:rPr>
          <w:rFonts w:hint="eastAsia" w:ascii="方正小标宋简体" w:hAnsi="方正小标宋简体" w:eastAsia="方正小标宋简体" w:cs="方正小标宋简体"/>
          <w:b w:val="0"/>
          <w:bCs w:val="0"/>
          <w:sz w:val="44"/>
          <w:szCs w:val="44"/>
        </w:rPr>
        <w:t>项目支出绩效评价报告</w:t>
      </w:r>
    </w:p>
    <w:p w14:paraId="403D5B3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outlineLvl w:val="0"/>
        <w:rPr>
          <w:rFonts w:hint="eastAsia" w:ascii="楷体_GB2312" w:hAnsi="仿宋" w:eastAsia="楷体_GB2312"/>
          <w:sz w:val="32"/>
          <w:szCs w:val="32"/>
          <w:lang w:eastAsia="zh-CN"/>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5665"/>
      </w:tblGrid>
      <w:tr w14:paraId="1D78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0" w:type="dxa"/>
            <w:gridSpan w:val="2"/>
            <w:noWrap w:val="0"/>
            <w:vAlign w:val="top"/>
          </w:tcPr>
          <w:p w14:paraId="1B0C6765">
            <w:pPr>
              <w:spacing w:line="578" w:lineRule="exact"/>
              <w:jc w:val="center"/>
              <w:rPr>
                <w:rFonts w:hint="eastAsia" w:ascii="仿宋" w:hAnsi="仿宋" w:eastAsia="仿宋" w:cs="仿宋"/>
                <w:sz w:val="24"/>
                <w:szCs w:val="24"/>
                <w:vertAlign w:val="baseline"/>
              </w:rPr>
            </w:pPr>
            <w:r>
              <w:rPr>
                <w:rFonts w:hint="eastAsia" w:ascii="仿宋" w:hAnsi="仿宋" w:eastAsia="仿宋" w:cs="仿宋"/>
                <w:b/>
                <w:bCs/>
                <w:sz w:val="24"/>
                <w:szCs w:val="24"/>
                <w:lang w:eastAsia="zh-CN"/>
              </w:rPr>
              <w:t>绩效评价总览表</w:t>
            </w:r>
          </w:p>
        </w:tc>
      </w:tr>
      <w:tr w14:paraId="37AB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890" w:type="dxa"/>
            <w:gridSpan w:val="2"/>
            <w:noWrap w:val="0"/>
            <w:vAlign w:val="top"/>
          </w:tcPr>
          <w:p w14:paraId="529BC14C">
            <w:pPr>
              <w:spacing w:line="578" w:lineRule="exac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 w:eastAsia="zh-CN"/>
              </w:rPr>
              <w:t>一、预算资金安排和使用情况</w:t>
            </w:r>
          </w:p>
        </w:tc>
      </w:tr>
      <w:tr w14:paraId="2E3C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3" w:type="dxa"/>
            <w:noWrap w:val="0"/>
            <w:vAlign w:val="top"/>
          </w:tcPr>
          <w:p w14:paraId="312DD172">
            <w:pPr>
              <w:spacing w:line="578" w:lineRule="exact"/>
              <w:jc w:val="center"/>
              <w:rPr>
                <w:rFonts w:hint="eastAsia" w:ascii="仿宋" w:hAnsi="仿宋" w:eastAsia="仿宋" w:cs="仿宋"/>
                <w:b/>
                <w:bCs/>
                <w:kern w:val="2"/>
                <w:sz w:val="24"/>
                <w:szCs w:val="24"/>
                <w:vertAlign w:val="baseline"/>
                <w:lang w:val="en" w:eastAsia="zh-CN" w:bidi="ar-SA"/>
              </w:rPr>
            </w:pPr>
            <w:r>
              <w:rPr>
                <w:rFonts w:hint="eastAsia" w:ascii="仿宋" w:hAnsi="仿宋" w:eastAsia="仿宋" w:cs="仿宋"/>
                <w:b/>
                <w:bCs/>
                <w:sz w:val="24"/>
                <w:szCs w:val="24"/>
                <w:vertAlign w:val="baseline"/>
                <w:lang w:val="en" w:eastAsia="zh"/>
              </w:rPr>
              <w:t>项目</w:t>
            </w:r>
            <w:r>
              <w:rPr>
                <w:rFonts w:hint="eastAsia" w:ascii="仿宋" w:hAnsi="仿宋" w:eastAsia="仿宋" w:cs="仿宋"/>
                <w:b/>
                <w:bCs/>
                <w:sz w:val="24"/>
                <w:szCs w:val="24"/>
                <w:vertAlign w:val="baseline"/>
                <w:lang w:val="en" w:eastAsia="zh-CN"/>
              </w:rPr>
              <w:t>名称</w:t>
            </w:r>
          </w:p>
        </w:tc>
        <w:tc>
          <w:tcPr>
            <w:tcW w:w="5927" w:type="dxa"/>
            <w:noWrap w:val="0"/>
            <w:vAlign w:val="top"/>
          </w:tcPr>
          <w:p w14:paraId="5548D275">
            <w:pPr>
              <w:spacing w:line="578"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2024年园区考核奖励资金</w:t>
            </w:r>
          </w:p>
        </w:tc>
      </w:tr>
      <w:tr w14:paraId="487A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3" w:type="dxa"/>
            <w:noWrap w:val="0"/>
            <w:vAlign w:val="top"/>
          </w:tcPr>
          <w:p w14:paraId="2CEC90F9">
            <w:pPr>
              <w:spacing w:line="578" w:lineRule="exact"/>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eastAsia="zh-CN"/>
              </w:rPr>
              <w:t>实施单位</w:t>
            </w:r>
          </w:p>
        </w:tc>
        <w:tc>
          <w:tcPr>
            <w:tcW w:w="5927" w:type="dxa"/>
            <w:noWrap w:val="0"/>
            <w:vAlign w:val="top"/>
          </w:tcPr>
          <w:p w14:paraId="241DD7CD">
            <w:pPr>
              <w:spacing w:line="578"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海南博鳌乐城国际医疗旅游先行区管理局</w:t>
            </w:r>
          </w:p>
        </w:tc>
      </w:tr>
      <w:tr w14:paraId="0613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3" w:type="dxa"/>
            <w:noWrap w:val="0"/>
            <w:vAlign w:val="top"/>
          </w:tcPr>
          <w:p w14:paraId="6C084911">
            <w:pPr>
              <w:spacing w:line="552" w:lineRule="exact"/>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eastAsia="zh-CN"/>
              </w:rPr>
              <w:t>资金安排情况</w:t>
            </w:r>
          </w:p>
        </w:tc>
        <w:tc>
          <w:tcPr>
            <w:tcW w:w="5927" w:type="dxa"/>
            <w:noWrap w:val="0"/>
            <w:vAlign w:val="top"/>
          </w:tcPr>
          <w:p w14:paraId="100149ED">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1000万元</w:t>
            </w:r>
          </w:p>
        </w:tc>
      </w:tr>
      <w:tr w14:paraId="7BF3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3" w:type="dxa"/>
            <w:noWrap w:val="0"/>
            <w:vAlign w:val="top"/>
          </w:tcPr>
          <w:p w14:paraId="5B8EFE2C">
            <w:pPr>
              <w:spacing w:line="552" w:lineRule="exact"/>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eastAsia="zh-CN"/>
              </w:rPr>
              <w:t>资金支出情况</w:t>
            </w:r>
          </w:p>
        </w:tc>
        <w:tc>
          <w:tcPr>
            <w:tcW w:w="5927" w:type="dxa"/>
            <w:noWrap w:val="0"/>
            <w:vAlign w:val="top"/>
          </w:tcPr>
          <w:p w14:paraId="1BE45EF1">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1000万元</w:t>
            </w:r>
          </w:p>
        </w:tc>
      </w:tr>
      <w:tr w14:paraId="2DB0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0" w:type="dxa"/>
            <w:gridSpan w:val="2"/>
            <w:noWrap w:val="0"/>
            <w:vAlign w:val="top"/>
          </w:tcPr>
          <w:p w14:paraId="31475178">
            <w:pPr>
              <w:spacing w:line="552" w:lineRule="exact"/>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二、绩效目标：通过规范使用2024年度园区考核奖励资金，高质量完成两大核心任务：一是成功筹办1届海南真实世界数据医保创新应用大会，推动真实世界数据赋能医疗医药创新发展，同步做好医保创新政策宣传与行业协同；二是完成医工转化平台划转税款一次性申报缴纳，保障平台合法运营。</w:t>
            </w:r>
          </w:p>
        </w:tc>
      </w:tr>
      <w:tr w14:paraId="030C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0" w:type="dxa"/>
            <w:gridSpan w:val="2"/>
            <w:noWrap w:val="0"/>
            <w:vAlign w:val="top"/>
          </w:tcPr>
          <w:p w14:paraId="1165DA26">
            <w:pPr>
              <w:spacing w:line="552" w:lineRule="exact"/>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三、实施成效：2024年度园区考核奖励资金已全额规范使用，预算执行率100%，两大核心任务均高质量完成：一是成功筹办1届海南真实世界数据医保创新应用大会，围绕“推动真实世界数据赋能医疗医药创新发展”开展主题活动，医保创新政策宣传覆盖率达 100%，有效促进医疗医药行业协同创新；二是完成医工转化平台划转税款一次性申报缴纳，税款缴纳准确率、按期缴纳率均为100%，保障平台合法运营。项目有效提升海南博鳌乐城国际医疗旅游先行区医疗医药创新发展能力与医保治理现代化水平，社会效益成效显著。</w:t>
            </w:r>
          </w:p>
        </w:tc>
      </w:tr>
      <w:tr w14:paraId="6BAC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0" w:type="dxa"/>
            <w:gridSpan w:val="2"/>
            <w:noWrap w:val="0"/>
            <w:vAlign w:val="top"/>
          </w:tcPr>
          <w:p w14:paraId="349D1653">
            <w:pPr>
              <w:spacing w:line="552" w:lineRule="exact"/>
              <w:rPr>
                <w:rFonts w:hint="eastAsia" w:ascii="仿宋" w:hAnsi="仿宋" w:eastAsia="仿宋" w:cs="仿宋"/>
                <w:sz w:val="24"/>
                <w:szCs w:val="24"/>
                <w:vertAlign w:val="baseline"/>
                <w:lang w:val="en-US"/>
              </w:rPr>
            </w:pPr>
            <w:r>
              <w:rPr>
                <w:rFonts w:hint="eastAsia" w:ascii="仿宋" w:hAnsi="仿宋" w:eastAsia="仿宋" w:cs="仿宋"/>
                <w:sz w:val="24"/>
                <w:szCs w:val="24"/>
                <w:vertAlign w:val="baseline"/>
                <w:lang w:eastAsia="zh-CN"/>
              </w:rPr>
              <w:t>四、主要问题及有关建议：</w:t>
            </w:r>
            <w:r>
              <w:rPr>
                <w:rFonts w:hint="eastAsia" w:ascii="仿宋" w:hAnsi="仿宋" w:eastAsia="仿宋" w:cs="仿宋"/>
                <w:sz w:val="24"/>
                <w:szCs w:val="24"/>
                <w:vertAlign w:val="baseline"/>
                <w:lang w:val="en-US" w:eastAsia="zh-CN"/>
              </w:rPr>
              <w:t>无</w:t>
            </w:r>
          </w:p>
        </w:tc>
      </w:tr>
      <w:tr w14:paraId="19F5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0" w:type="dxa"/>
            <w:gridSpan w:val="2"/>
            <w:noWrap w:val="0"/>
            <w:vAlign w:val="top"/>
          </w:tcPr>
          <w:p w14:paraId="27B8177A">
            <w:pPr>
              <w:spacing w:line="552" w:lineRule="exact"/>
              <w:rPr>
                <w:rFonts w:hint="eastAsia" w:ascii="仿宋" w:hAnsi="仿宋" w:eastAsia="仿宋" w:cs="仿宋"/>
                <w:sz w:val="24"/>
                <w:szCs w:val="24"/>
                <w:vertAlign w:val="baseline"/>
                <w:lang w:val="en-US"/>
              </w:rPr>
            </w:pPr>
            <w:r>
              <w:rPr>
                <w:rFonts w:hint="eastAsia" w:ascii="仿宋" w:hAnsi="仿宋" w:eastAsia="仿宋" w:cs="仿宋"/>
                <w:sz w:val="24"/>
                <w:szCs w:val="24"/>
                <w:vertAlign w:val="baseline"/>
                <w:lang w:eastAsia="zh-CN"/>
              </w:rPr>
              <w:t>五、评价得分和等级：</w:t>
            </w:r>
            <w:r>
              <w:rPr>
                <w:rFonts w:hint="eastAsia" w:ascii="仿宋" w:hAnsi="仿宋" w:eastAsia="仿宋" w:cs="仿宋"/>
                <w:sz w:val="24"/>
                <w:szCs w:val="24"/>
                <w:vertAlign w:val="baseline"/>
                <w:lang w:val="en-US" w:eastAsia="zh-CN"/>
              </w:rPr>
              <w:t>优</w:t>
            </w:r>
          </w:p>
        </w:tc>
      </w:tr>
      <w:tr w14:paraId="6E6B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5" w:hRule="atLeast"/>
          <w:jc w:val="center"/>
        </w:trPr>
        <w:tc>
          <w:tcPr>
            <w:tcW w:w="8890" w:type="dxa"/>
            <w:gridSpan w:val="2"/>
            <w:noWrap w:val="0"/>
            <w:vAlign w:val="top"/>
          </w:tcPr>
          <w:p w14:paraId="1C36D64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z w:val="24"/>
                <w:szCs w:val="24"/>
                <w:vertAlign w:val="baseline"/>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2"/>
              <w:gridCol w:w="2062"/>
              <w:gridCol w:w="2063"/>
              <w:gridCol w:w="2109"/>
            </w:tblGrid>
            <w:tr w14:paraId="5C9E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8" w:type="dxa"/>
                  <w:noWrap w:val="0"/>
                  <w:vAlign w:val="top"/>
                </w:tcPr>
                <w:p w14:paraId="410C9C31">
                  <w:pPr>
                    <w:spacing w:line="552" w:lineRule="exact"/>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一级指标</w:t>
                  </w:r>
                </w:p>
              </w:tc>
              <w:tc>
                <w:tcPr>
                  <w:tcW w:w="2168" w:type="dxa"/>
                  <w:noWrap w:val="0"/>
                  <w:vAlign w:val="top"/>
                </w:tcPr>
                <w:p w14:paraId="6340B89D">
                  <w:pPr>
                    <w:spacing w:line="552" w:lineRule="exact"/>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分值</w:t>
                  </w:r>
                </w:p>
              </w:tc>
              <w:tc>
                <w:tcPr>
                  <w:tcW w:w="2169" w:type="dxa"/>
                  <w:noWrap w:val="0"/>
                  <w:vAlign w:val="top"/>
                </w:tcPr>
                <w:p w14:paraId="18566B8F">
                  <w:pPr>
                    <w:spacing w:line="552" w:lineRule="exact"/>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得分</w:t>
                  </w:r>
                </w:p>
              </w:tc>
              <w:tc>
                <w:tcPr>
                  <w:tcW w:w="2169" w:type="dxa"/>
                  <w:noWrap w:val="0"/>
                  <w:vAlign w:val="top"/>
                </w:tcPr>
                <w:p w14:paraId="013E46CB">
                  <w:pPr>
                    <w:spacing w:line="552" w:lineRule="exact"/>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得分率（</w:t>
                  </w:r>
                  <w:r>
                    <w:rPr>
                      <w:rFonts w:hint="eastAsia" w:ascii="仿宋" w:hAnsi="仿宋" w:eastAsia="仿宋" w:cs="仿宋"/>
                      <w:b/>
                      <w:bCs/>
                      <w:sz w:val="24"/>
                      <w:szCs w:val="24"/>
                      <w:vertAlign w:val="baseline"/>
                      <w:lang w:val="en-US" w:eastAsia="zh-CN"/>
                    </w:rPr>
                    <w:t>100%</w:t>
                  </w:r>
                  <w:r>
                    <w:rPr>
                      <w:rFonts w:hint="eastAsia" w:ascii="仿宋" w:hAnsi="仿宋" w:eastAsia="仿宋" w:cs="仿宋"/>
                      <w:b/>
                      <w:bCs/>
                      <w:sz w:val="24"/>
                      <w:szCs w:val="24"/>
                      <w:vertAlign w:val="baseline"/>
                      <w:lang w:eastAsia="zh-CN"/>
                    </w:rPr>
                    <w:t>）</w:t>
                  </w:r>
                </w:p>
              </w:tc>
            </w:tr>
            <w:tr w14:paraId="33EF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8" w:type="dxa"/>
                  <w:noWrap w:val="0"/>
                  <w:vAlign w:val="top"/>
                </w:tcPr>
                <w:p w14:paraId="42B78AD8">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产出指标</w:t>
                  </w:r>
                </w:p>
              </w:tc>
              <w:tc>
                <w:tcPr>
                  <w:tcW w:w="2168" w:type="dxa"/>
                  <w:noWrap w:val="0"/>
                  <w:vAlign w:val="top"/>
                </w:tcPr>
                <w:p w14:paraId="7774A9A8">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50</w:t>
                  </w:r>
                </w:p>
              </w:tc>
              <w:tc>
                <w:tcPr>
                  <w:tcW w:w="2169" w:type="dxa"/>
                  <w:noWrap w:val="0"/>
                  <w:vAlign w:val="top"/>
                </w:tcPr>
                <w:p w14:paraId="7121DED9">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50</w:t>
                  </w:r>
                </w:p>
              </w:tc>
              <w:tc>
                <w:tcPr>
                  <w:tcW w:w="2169" w:type="dxa"/>
                  <w:noWrap w:val="0"/>
                  <w:vAlign w:val="top"/>
                </w:tcPr>
                <w:p w14:paraId="25623404">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100</w:t>
                  </w:r>
                </w:p>
              </w:tc>
            </w:tr>
            <w:tr w14:paraId="6BF9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8" w:type="dxa"/>
                  <w:noWrap w:val="0"/>
                  <w:vAlign w:val="top"/>
                </w:tcPr>
                <w:p w14:paraId="125E0D2C">
                  <w:pPr>
                    <w:spacing w:line="552" w:lineRule="exact"/>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成本指标</w:t>
                  </w:r>
                </w:p>
              </w:tc>
              <w:tc>
                <w:tcPr>
                  <w:tcW w:w="2168" w:type="dxa"/>
                  <w:noWrap w:val="0"/>
                  <w:vAlign w:val="top"/>
                </w:tcPr>
                <w:p w14:paraId="2316D9F8">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169" w:type="dxa"/>
                  <w:noWrap w:val="0"/>
                  <w:vAlign w:val="top"/>
                </w:tcPr>
                <w:p w14:paraId="5CC796EE">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169" w:type="dxa"/>
                  <w:noWrap w:val="0"/>
                  <w:vAlign w:val="top"/>
                </w:tcPr>
                <w:p w14:paraId="4142DDD7">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100</w:t>
                  </w:r>
                </w:p>
              </w:tc>
            </w:tr>
            <w:tr w14:paraId="348C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8" w:type="dxa"/>
                  <w:noWrap w:val="0"/>
                  <w:vAlign w:val="top"/>
                </w:tcPr>
                <w:p w14:paraId="29488181">
                  <w:pPr>
                    <w:spacing w:line="552" w:lineRule="exact"/>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效益指标</w:t>
                  </w:r>
                </w:p>
              </w:tc>
              <w:tc>
                <w:tcPr>
                  <w:tcW w:w="2168" w:type="dxa"/>
                  <w:noWrap w:val="0"/>
                  <w:vAlign w:val="top"/>
                </w:tcPr>
                <w:p w14:paraId="5A2BC1F3">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w:t>
                  </w:r>
                </w:p>
              </w:tc>
              <w:tc>
                <w:tcPr>
                  <w:tcW w:w="2169" w:type="dxa"/>
                  <w:noWrap w:val="0"/>
                  <w:vAlign w:val="top"/>
                </w:tcPr>
                <w:p w14:paraId="2B712AFE">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w:t>
                  </w:r>
                </w:p>
              </w:tc>
              <w:tc>
                <w:tcPr>
                  <w:tcW w:w="2169" w:type="dxa"/>
                  <w:noWrap w:val="0"/>
                  <w:vAlign w:val="top"/>
                </w:tcPr>
                <w:p w14:paraId="1B5B2277">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100</w:t>
                  </w:r>
                </w:p>
              </w:tc>
            </w:tr>
            <w:tr w14:paraId="55E5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8" w:type="dxa"/>
                  <w:noWrap w:val="0"/>
                  <w:vAlign w:val="top"/>
                </w:tcPr>
                <w:p w14:paraId="661C7366">
                  <w:pPr>
                    <w:spacing w:line="552" w:lineRule="exact"/>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满意度指标</w:t>
                  </w:r>
                </w:p>
              </w:tc>
              <w:tc>
                <w:tcPr>
                  <w:tcW w:w="2168" w:type="dxa"/>
                  <w:noWrap w:val="0"/>
                  <w:vAlign w:val="top"/>
                </w:tcPr>
                <w:p w14:paraId="24BCCF95">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169" w:type="dxa"/>
                  <w:noWrap w:val="0"/>
                  <w:vAlign w:val="top"/>
                </w:tcPr>
                <w:p w14:paraId="65024377">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169" w:type="dxa"/>
                  <w:noWrap w:val="0"/>
                  <w:vAlign w:val="top"/>
                </w:tcPr>
                <w:p w14:paraId="32C275E3">
                  <w:pPr>
                    <w:spacing w:line="552" w:lineRule="exac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100</w:t>
                  </w:r>
                </w:p>
              </w:tc>
            </w:tr>
          </w:tbl>
          <w:p w14:paraId="705E5884">
            <w:pPr>
              <w:spacing w:line="552" w:lineRule="exact"/>
              <w:ind w:firstLine="720" w:firstLineChars="300"/>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绩效评价得分：</w:t>
            </w:r>
            <w:r>
              <w:rPr>
                <w:rFonts w:hint="eastAsia" w:ascii="仿宋" w:hAnsi="仿宋" w:eastAsia="仿宋" w:cs="仿宋"/>
                <w:sz w:val="24"/>
                <w:szCs w:val="24"/>
                <w:vertAlign w:val="baseline"/>
                <w:lang w:val="en-US" w:eastAsia="zh-CN"/>
              </w:rPr>
              <w:t>100       评价结果等级：优</w:t>
            </w:r>
          </w:p>
          <w:p w14:paraId="3B90CB3D">
            <w:pPr>
              <w:spacing w:line="552" w:lineRule="exact"/>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填列所制定的绩效评价指标体系具体得分情况，并就扣分情况分项作简要说明。</w:t>
            </w:r>
          </w:p>
        </w:tc>
      </w:tr>
    </w:tbl>
    <w:p w14:paraId="4F980ADA">
      <w:pPr>
        <w:spacing w:line="552" w:lineRule="exact"/>
        <w:ind w:firstLine="640" w:firstLineChars="200"/>
        <w:rPr>
          <w:rFonts w:hint="eastAsia" w:ascii="黑体" w:hAnsi="仿宋" w:eastAsia="黑体"/>
          <w:sz w:val="32"/>
          <w:szCs w:val="32"/>
          <w:lang w:eastAsia="zh-CN"/>
        </w:rPr>
      </w:pPr>
    </w:p>
    <w:p w14:paraId="70184E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一、基本情况</w:t>
      </w:r>
    </w:p>
    <w:p w14:paraId="44D8EE0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rPr>
        <w:t>（一）项目概况</w:t>
      </w:r>
    </w:p>
    <w:p w14:paraId="0FF5BE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政策背景</w:t>
      </w:r>
    </w:p>
    <w:p w14:paraId="3A618A7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rPr>
        <w:t>为推进海南自贸试验区及自贸港建设，优化园区营商环境、加快乐城先行区建设，依据《海南省人民政府办公厅关于印发海南省促进经济高质量发展若干财政措施的通知》（琼府办〔2021〕65号）、《海南省省级园区发展建设联席会议办公室关于2024年度海南省产业园区考核评价情况的通报》（琼发改便函〔2025〕2234号）等文件，安排园区考核奖励资金项目。</w:t>
      </w:r>
    </w:p>
    <w:p w14:paraId="59FF777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rPr>
        <w:t>该项目实施主体乐城管理局，系依据相关省政府令及省人大常委会决定，经立法和法定程序设立的法定机构，履行部分政府管理和公共服务职能，独立法人、市场化运作，不属于政府机构及公务员体系、不以营利为目的；该局于2019年8月成立，原系国有独资公司（注册资本1亿元），2020年5月14日注销企业登记，5月7日取得省委编办颁发的统一社会信用代码证书（11460000MB1A5937XE），机构性质为机关，地址位于乐城先行区康祥路12号，负责人傅晟。</w:t>
      </w:r>
    </w:p>
    <w:p w14:paraId="58346F1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资金情况</w:t>
      </w:r>
    </w:p>
    <w:p w14:paraId="358E22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（1）</w:t>
      </w:r>
      <w:r>
        <w:rPr>
          <w:rFonts w:hint="eastAsia" w:ascii="仿宋" w:hAnsi="仿宋" w:eastAsia="仿宋" w:cs="仿宋"/>
          <w:sz w:val="32"/>
          <w:szCs w:val="32"/>
        </w:rPr>
        <w:t>项目资金安排落实情况</w:t>
      </w:r>
    </w:p>
    <w:p w14:paraId="3B4B3DB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rPr>
        <w:t>根据《海南省财政厅关于下达促进经济高质量发展资金（2024年度园区考核奖励）的通知》（琼财支县〔2025〕707号），2025年财政部门下达乐城管理局2024年度园区考核奖励资金1000万元，截至2025年末，该资金已全部到位。</w:t>
      </w:r>
    </w:p>
    <w:p w14:paraId="0D1FCA7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（2）</w:t>
      </w:r>
      <w:r>
        <w:rPr>
          <w:rFonts w:hint="eastAsia" w:ascii="仿宋" w:hAnsi="仿宋" w:eastAsia="仿宋" w:cs="仿宋"/>
          <w:sz w:val="32"/>
          <w:szCs w:val="32"/>
        </w:rPr>
        <w:t>项目资金实际使用情况</w:t>
      </w:r>
    </w:p>
    <w:p w14:paraId="65D722A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lang w:val="en" w:eastAsia="zh-CN"/>
        </w:rPr>
      </w:pPr>
      <w:r>
        <w:rPr>
          <w:rFonts w:hint="eastAsia" w:ascii="仿宋" w:hAnsi="仿宋" w:eastAsia="仿宋" w:cs="仿宋"/>
          <w:sz w:val="32"/>
          <w:szCs w:val="32"/>
        </w:rPr>
        <w:t>截至2025年末，2024年度园区考核奖励资金预算1000万元，实际支出1000万元，资金执行率100%，年末无结余</w:t>
      </w:r>
      <w:r>
        <w:rPr>
          <w:rFonts w:hint="eastAsia" w:ascii="仿宋" w:hAnsi="仿宋" w:eastAsia="仿宋" w:cs="仿宋"/>
          <w:sz w:val="32"/>
          <w:szCs w:val="32"/>
          <w:lang w:eastAsia="zh-CN"/>
        </w:rPr>
        <w:t>。</w:t>
      </w:r>
      <w:r>
        <w:rPr>
          <w:rFonts w:hint="eastAsia" w:ascii="仿宋" w:hAnsi="仿宋" w:eastAsia="仿宋" w:cs="仿宋"/>
          <w:sz w:val="32"/>
          <w:szCs w:val="32"/>
        </w:rPr>
        <w:t>包括项目背景、主要内容及实施情况、资金投入和使用情况等</w:t>
      </w:r>
      <w:r>
        <w:rPr>
          <w:rFonts w:hint="eastAsia" w:ascii="仿宋" w:hAnsi="仿宋" w:eastAsia="仿宋" w:cs="仿宋"/>
          <w:sz w:val="32"/>
          <w:szCs w:val="32"/>
          <w:lang w:val="en" w:eastAsia="zh-CN"/>
        </w:rPr>
        <w:t>。</w:t>
      </w:r>
    </w:p>
    <w:p w14:paraId="1F0955DF">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项目绩效目标</w:t>
      </w:r>
    </w:p>
    <w:p w14:paraId="0E2ED8D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outlineLvl w:val="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1.总体绩效目标</w:t>
      </w:r>
    </w:p>
    <w:p w14:paraId="42C8752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（1）总体绩效目标设定</w:t>
      </w:r>
    </w:p>
    <w:p w14:paraId="2C05575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规范使用2024年度园区考核奖励资金，高质量完成两大核心任务：一是成功筹办1届海南真实世界数据医保创新应用大会，推动真实世界数据赋能医疗医药创新发展，同步做好医保创新政策宣传与行业协同；二是完成医工转化平台划转税款一次性申报缴纳，保障平台合法运营。</w:t>
      </w:r>
    </w:p>
    <w:p w14:paraId="3620C9DA">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00"/>
        <w:textAlignment w:val="auto"/>
        <w:outlineLvl w:val="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总体目标完成情况分析</w:t>
      </w:r>
    </w:p>
    <w:p w14:paraId="46688EC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截至2025年末，2024年度园区考核奖励资金1000万元已全额拨付使用，预算执行率达100%，两大核心任务均高质量落地见效：一是成功筹办1届海南真实世界数据医保创新应用大会，紧扣推动真实世界数据赋能医疗医药创新发展核心方向开展系列主题活动，医保创新政策宣传覆盖率达100%，有效促成医疗医药领域政产学研用协同创新；二是顺利完成医工转化平台划转税款一次性申报缴纳工作，税款缴纳准确率、按期缴纳率均达100%，无滞纳金发生，切实保障平台合法合规运营。项目有效提升海南博鳌乐城国际医疗旅游先行区医疗医药创新发展能力与医保治理现代化水平，社会效益成效显著。</w:t>
      </w:r>
    </w:p>
    <w:p w14:paraId="348B7F5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textAlignment w:val="auto"/>
        <w:outlineLvl w:val="0"/>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绩效指标完成情况分析</w:t>
      </w:r>
    </w:p>
    <w:p w14:paraId="08AFF35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602" w:leftChars="0"/>
        <w:textAlignment w:val="auto"/>
        <w:outlineLvl w:val="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（1）具体绩效目标情况</w:t>
      </w:r>
    </w:p>
    <w:p w14:paraId="1D9503F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2025年度，本项目聚焦产出、效益、满意度三类核心绩效指标推进落实，8项具体绩效目标均已完成，总体完成情况良好，具体如下：</w:t>
      </w:r>
    </w:p>
    <w:tbl>
      <w:tblPr>
        <w:tblStyle w:val="4"/>
        <w:tblpPr w:leftFromText="180" w:rightFromText="180" w:vertAnchor="text" w:horzAnchor="page" w:tblpX="1187" w:tblpY="590"/>
        <w:tblOverlap w:val="never"/>
        <w:tblW w:w="94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705"/>
        <w:gridCol w:w="1104"/>
        <w:gridCol w:w="3906"/>
        <w:gridCol w:w="1596"/>
        <w:gridCol w:w="1284"/>
      </w:tblGrid>
      <w:tr w14:paraId="48E2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3342E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绩效指标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0A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指标</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25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二级指标</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4E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三级指标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47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指标值</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D6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全年实际完成值</w:t>
            </w:r>
          </w:p>
        </w:tc>
      </w:tr>
      <w:tr w14:paraId="0B17F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F7D525">
            <w:pPr>
              <w:jc w:val="center"/>
              <w:rPr>
                <w:rFonts w:hint="eastAsia" w:ascii="仿宋" w:hAnsi="仿宋" w:eastAsia="仿宋" w:cs="仿宋"/>
                <w:i w:val="0"/>
                <w:iCs w:val="0"/>
                <w:color w:val="000000"/>
                <w:sz w:val="24"/>
                <w:szCs w:val="24"/>
                <w:u w:val="none"/>
              </w:rPr>
            </w:pP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4F2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标</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19D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数量指标</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27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筹办海南真实世界数据医保创新应用大会</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52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=1届</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EC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1届</w:t>
            </w:r>
          </w:p>
        </w:tc>
      </w:tr>
      <w:tr w14:paraId="0ED1B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A1B036">
            <w:pPr>
              <w:jc w:val="center"/>
              <w:rPr>
                <w:rFonts w:hint="eastAsia" w:ascii="仿宋" w:hAnsi="仿宋" w:eastAsia="仿宋" w:cs="仿宋"/>
                <w:i w:val="0"/>
                <w:iCs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76D91">
            <w:pPr>
              <w:jc w:val="center"/>
              <w:rPr>
                <w:rFonts w:hint="eastAsia" w:ascii="仿宋" w:hAnsi="仿宋" w:eastAsia="仿宋" w:cs="仿宋"/>
                <w:i w:val="0"/>
                <w:iCs w:val="0"/>
                <w:color w:val="000000"/>
                <w:sz w:val="24"/>
                <w:szCs w:val="24"/>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42612">
            <w:pPr>
              <w:jc w:val="center"/>
              <w:rPr>
                <w:rFonts w:hint="eastAsia" w:ascii="仿宋" w:hAnsi="仿宋" w:eastAsia="仿宋" w:cs="仿宋"/>
                <w:i w:val="0"/>
                <w:iCs w:val="0"/>
                <w:color w:val="000000"/>
                <w:sz w:val="24"/>
                <w:szCs w:val="24"/>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F4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完成医工转化平台划转税款申报缴纳</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D1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=1次</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93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1次</w:t>
            </w:r>
          </w:p>
        </w:tc>
      </w:tr>
      <w:tr w14:paraId="69A78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DBD400">
            <w:pPr>
              <w:jc w:val="center"/>
              <w:rPr>
                <w:rFonts w:hint="eastAsia" w:ascii="仿宋" w:hAnsi="仿宋" w:eastAsia="仿宋" w:cs="仿宋"/>
                <w:i w:val="0"/>
                <w:iCs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94186">
            <w:pPr>
              <w:jc w:val="center"/>
              <w:rPr>
                <w:rFonts w:hint="eastAsia" w:ascii="仿宋" w:hAnsi="仿宋" w:eastAsia="仿宋" w:cs="仿宋"/>
                <w:i w:val="0"/>
                <w:iCs w:val="0"/>
                <w:color w:val="000000"/>
                <w:sz w:val="24"/>
                <w:szCs w:val="24"/>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DD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质量指标</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C4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税款缴纳准确率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1C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16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386FB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10B0A1">
            <w:pPr>
              <w:jc w:val="center"/>
              <w:rPr>
                <w:rFonts w:hint="eastAsia" w:ascii="仿宋" w:hAnsi="仿宋" w:eastAsia="仿宋" w:cs="仿宋"/>
                <w:i w:val="0"/>
                <w:iCs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040EC">
            <w:pPr>
              <w:jc w:val="center"/>
              <w:rPr>
                <w:rFonts w:hint="eastAsia" w:ascii="仿宋" w:hAnsi="仿宋" w:eastAsia="仿宋" w:cs="仿宋"/>
                <w:i w:val="0"/>
                <w:iCs w:val="0"/>
                <w:color w:val="000000"/>
                <w:sz w:val="24"/>
                <w:szCs w:val="24"/>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1B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时效指标</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BB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医工转化平台划转税款按期缴纳率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02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E3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7F988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678F03">
            <w:pPr>
              <w:jc w:val="center"/>
              <w:rPr>
                <w:rFonts w:hint="eastAsia" w:ascii="仿宋" w:hAnsi="仿宋" w:eastAsia="仿宋" w:cs="仿宋"/>
                <w:i w:val="0"/>
                <w:iCs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DE914">
            <w:pPr>
              <w:jc w:val="center"/>
              <w:rPr>
                <w:rFonts w:hint="eastAsia" w:ascii="仿宋" w:hAnsi="仿宋" w:eastAsia="仿宋" w:cs="仿宋"/>
                <w:i w:val="0"/>
                <w:iCs w:val="0"/>
                <w:color w:val="000000"/>
                <w:sz w:val="24"/>
                <w:szCs w:val="24"/>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1B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成本指标</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A1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滞纳金发生额</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DC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1D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0元</w:t>
            </w:r>
          </w:p>
        </w:tc>
      </w:tr>
      <w:tr w14:paraId="14F80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429EE8">
            <w:pPr>
              <w:jc w:val="center"/>
              <w:rPr>
                <w:rFonts w:hint="eastAsia" w:ascii="仿宋" w:hAnsi="仿宋" w:eastAsia="仿宋" w:cs="仿宋"/>
                <w:i w:val="0"/>
                <w:iCs w:val="0"/>
                <w:color w:val="000000"/>
                <w:sz w:val="24"/>
                <w:szCs w:val="24"/>
                <w:u w:val="none"/>
              </w:rPr>
            </w:pP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063B4">
            <w:pPr>
              <w:jc w:val="center"/>
              <w:rPr>
                <w:rFonts w:hint="eastAsia" w:ascii="仿宋" w:hAnsi="仿宋" w:eastAsia="仿宋" w:cs="仿宋"/>
                <w:i w:val="0"/>
                <w:iCs w:val="0"/>
                <w:color w:val="000000"/>
                <w:sz w:val="24"/>
                <w:szCs w:val="24"/>
                <w:u w:val="none"/>
              </w:rPr>
            </w:pP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CC0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社会效益</w:t>
            </w:r>
            <w:bookmarkStart w:id="0" w:name="_GoBack"/>
            <w:bookmarkEnd w:id="0"/>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指标</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37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平台资产确权与合法运营保障率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69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F8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1E819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F88565">
            <w:pPr>
              <w:jc w:val="center"/>
              <w:rPr>
                <w:rFonts w:hint="eastAsia" w:ascii="仿宋" w:hAnsi="仿宋" w:eastAsia="仿宋" w:cs="仿宋"/>
                <w:i w:val="0"/>
                <w:iCs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AA7F2">
            <w:pPr>
              <w:jc w:val="center"/>
              <w:rPr>
                <w:rFonts w:hint="eastAsia" w:ascii="仿宋" w:hAnsi="仿宋" w:eastAsia="仿宋" w:cs="仿宋"/>
                <w:i w:val="0"/>
                <w:iCs w:val="0"/>
                <w:color w:val="000000"/>
                <w:sz w:val="24"/>
                <w:szCs w:val="24"/>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0B25B">
            <w:pPr>
              <w:jc w:val="center"/>
              <w:rPr>
                <w:rFonts w:hint="eastAsia" w:ascii="仿宋" w:hAnsi="仿宋" w:eastAsia="仿宋" w:cs="仿宋"/>
                <w:i w:val="0"/>
                <w:iCs w:val="0"/>
                <w:color w:val="000000"/>
                <w:sz w:val="24"/>
                <w:szCs w:val="24"/>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DF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医保创新应用大会政策宣传覆盖率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0F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0B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4F069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97213E4">
            <w:pPr>
              <w:jc w:val="center"/>
              <w:rPr>
                <w:rFonts w:hint="eastAsia" w:ascii="仿宋" w:hAnsi="仿宋" w:eastAsia="仿宋" w:cs="仿宋"/>
                <w:i w:val="0"/>
                <w:iCs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6E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满意度指标</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31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服务对象满意度指标</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BA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参会对象满意度</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09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r>
              <w:rPr>
                <w:rStyle w:val="7"/>
                <w:rFonts w:hint="eastAsia" w:ascii="仿宋" w:hAnsi="仿宋" w:eastAsia="仿宋" w:cs="仿宋"/>
                <w:sz w:val="24"/>
                <w:szCs w:val="24"/>
                <w:lang w:val="en-US" w:eastAsia="zh-CN" w:bidi="ar"/>
              </w:rPr>
              <w:t>90%</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9E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90分</w:t>
            </w:r>
          </w:p>
        </w:tc>
      </w:tr>
    </w:tbl>
    <w:p w14:paraId="05091FE9">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textAlignment w:val="auto"/>
        <w:outlineLvl w:val="0"/>
        <w:rPr>
          <w:rFonts w:hint="eastAsia" w:ascii="仿宋" w:hAnsi="仿宋" w:eastAsia="仿宋" w:cs="仿宋"/>
          <w:b/>
          <w:bCs/>
          <w:sz w:val="32"/>
          <w:szCs w:val="32"/>
        </w:rPr>
      </w:pPr>
    </w:p>
    <w:p w14:paraId="740428A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outlineLvl w:val="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（2）具体绩效目标情况完成情况分析</w:t>
      </w:r>
    </w:p>
    <w:p w14:paraId="2D01898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①产出指标</w:t>
      </w:r>
    </w:p>
    <w:p w14:paraId="7F49313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数量指标</w:t>
      </w:r>
    </w:p>
    <w:p w14:paraId="768D9FD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指标1：筹办海南真实世界数据医保创新应用大会，指标值=1届，全年实际完成值为“1届”，已于2025年12月27日至28日成功举办。本次大会围绕真实世界数据赋能医疗医药创新发展主题，邀请了国内外医疗、医药、医保领域的专家学者、企业代表及政府相关部门人员参与，通过主题演讲、专题研讨、成果展示等多种形式，搭建了高水平的交流合作平台。</w:t>
      </w:r>
    </w:p>
    <w:p w14:paraId="0DD4738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指标2：完成医工转化平台划转税款申报缴纳，指标值=1次，全年实际完成值为“1次”，已于2025年12月25日顺利完成该平台划转税款的一次性申报缴纳工作，确保了平台资产的规范管理。</w:t>
      </w:r>
    </w:p>
    <w:p w14:paraId="579AF1A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质量指标</w:t>
      </w:r>
    </w:p>
    <w:p w14:paraId="6EDE438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指标1：税款缴纳准确率，指标值=100%，全年实际完成值为“100%”。在医工转化平台划转税款申报缴纳过程中，乐城管理局财务部门与税务部门紧密沟通，对相关税收政策进行了深入研究，仔细核对了计税依据、适用税率等关键信息，确保了申报数据的准确性，经税务部门审核无误，未出现任何错缴、漏缴情况。</w:t>
      </w:r>
    </w:p>
    <w:p w14:paraId="715DC03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时效指标</w:t>
      </w:r>
    </w:p>
    <w:p w14:paraId="3286A20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指标1：医工转化平台划转税款按期缴纳率，指标值=100%，全年实际完成值为“100%”。乐城管理局严格按照税务部门规定的申报期限和缴纳期限，提前做好资金调度和申报准备工作，在规定时间内足额缴纳税款，保障了税务申报缴纳工作的及时性。</w:t>
      </w:r>
    </w:p>
    <w:p w14:paraId="1B8D9E5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②成本指标</w:t>
      </w:r>
    </w:p>
    <w:p w14:paraId="1BC9B1B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指标1：滞纳金发生额，指标值为=0元，全年实际完成值为“0元”。由于税款申报准确、缴纳及时，未产生任何因逾期缴纳税款而导致的滞纳金，有效控制了项目成本，提高了资金使用效益。</w:t>
      </w:r>
    </w:p>
    <w:p w14:paraId="3983042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③效益指标－社会效益指标</w:t>
      </w:r>
    </w:p>
    <w:p w14:paraId="2768C7A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指标1：平台资产确权与合法运营保障率，指标值为=100%，全年实际完成值为“100%”。乐城管理局通过完成医工转化平台划转税款的申报缴纳，将医工转化平台以增资入股方式将平台资产划转至海南博鳌乐城控股集团有限公司名下，清晰界定了平台资产权属关系，为平台合法合规运营筑牢坚实法律保障，有利于吸引优质项目与资源入驻，推动园区医工转化产业高质量健康发展。</w:t>
      </w:r>
    </w:p>
    <w:p w14:paraId="147CA1C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指标2：医保创新应用大会政策宣传覆盖率，指标值为“=100%”，全年实际完成值为“100%”。大会构建线上+线下、场内+场外、行业+全域的立体化政策宣传体系，线下向各级医保部门、高校、科研机构、医药企业等参会代表，全面解读国家及海南真实世界数据医保创新、乐城特许药械真研医保准入等核心政策，实现场内宣传无死角；线上通过医保局官方平台、主流媒体及行业专业平台发布政策解读、成果总结等内容，将海南医保创新政策辐射全国医疗医药及医保行业从业者，实现政策宣传全覆盖。</w:t>
      </w:r>
    </w:p>
    <w:p w14:paraId="69303D8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④满意度指标－服务对象</w:t>
      </w:r>
    </w:p>
    <w:p w14:paraId="3663C9F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b w:val="0"/>
          <w:bCs w:val="0"/>
          <w:sz w:val="32"/>
          <w:szCs w:val="32"/>
          <w:lang w:val="en-US" w:eastAsia="zh-CN"/>
        </w:rPr>
        <w:t>指标1：参会对象满意度，指标值≥90%，全年实际完成值为“90分”。组委会通过做好全流程服务、合理安排议程及搭建交流平台，基本满足了各界参会需求。从反馈情况看，参会代表对会议组织、内容设置及服务保障等方面表示认可，大会综合满意度良好，起到了政策传播和行业交流的作用，顺利完成了预定目标。</w:t>
      </w:r>
    </w:p>
    <w:p w14:paraId="650B7C5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二、绩效评价工作开展情况</w:t>
      </w:r>
    </w:p>
    <w:p w14:paraId="15BEB99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（一）评价目的</w:t>
      </w:r>
    </w:p>
    <w:p w14:paraId="7032230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eastAsia="宋体"/>
          <w:lang w:eastAsia="zh-CN"/>
        </w:rPr>
      </w:pPr>
      <w:r>
        <w:rPr>
          <w:rFonts w:hint="eastAsia" w:ascii="仿宋" w:hAnsi="仿宋" w:eastAsia="仿宋" w:cs="仿宋"/>
          <w:sz w:val="32"/>
          <w:szCs w:val="32"/>
          <w:lang w:eastAsia="zh-CN"/>
        </w:rPr>
        <w:t>全面梳理2024年度园区考核奖励资金的使用、管理及项目实施成效，客观评价资金使用效益与项目实施效果，精准查找项目管理和资金使用中的薄弱环节，针对性提出改进措施，为后续资金分配、项目管理及政策优化提供科学决策依据。</w:t>
      </w:r>
    </w:p>
    <w:p w14:paraId="1CAC78B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（二）评价对象和范围</w:t>
      </w:r>
    </w:p>
    <w:p w14:paraId="682B48D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评价对象为2024年度园区考核奖励资金1000万元；评价范围覆盖资金投入、资金管理、项目产出、项目效益及满意度等全流程环节，评价周期为202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年1月1日至2025年12月31日。</w:t>
      </w:r>
    </w:p>
    <w:p w14:paraId="37A668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（三）绩效评价原则</w:t>
      </w:r>
    </w:p>
    <w:p w14:paraId="2BB67EA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200" w:right="0" w:rightChars="0"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科学规范、公正公开、绩效导向、精简高效。</w:t>
      </w:r>
    </w:p>
    <w:p w14:paraId="58C79E5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（四）评价方法</w:t>
      </w:r>
    </w:p>
    <w:p w14:paraId="5995B5A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rPr>
          <w:rFonts w:hint="eastAsia" w:eastAsia="宋体"/>
          <w:lang w:eastAsia="zh-CN"/>
        </w:rPr>
      </w:pPr>
      <w:r>
        <w:rPr>
          <w:rFonts w:hint="eastAsia" w:ascii="仿宋" w:hAnsi="仿宋" w:eastAsia="仿宋" w:cs="仿宋"/>
          <w:sz w:val="32"/>
          <w:szCs w:val="32"/>
          <w:lang w:val="en-US" w:eastAsia="zh-CN"/>
        </w:rPr>
        <w:t>比较法：通过对比绩效目标实际完成值与计划值，量化评价目标完成程度。</w:t>
      </w:r>
    </w:p>
    <w:p w14:paraId="52D1C19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核查法：通过查阅资金拨付凭证、合同、发票、会议资料、税务申报表等原始资料，逐项验证项目执行的真实性、合规性与有效性。</w:t>
      </w:r>
    </w:p>
    <w:p w14:paraId="42945EF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rPr>
          <w:rFonts w:hint="eastAsia" w:eastAsia="宋体"/>
          <w:lang w:eastAsia="zh-CN"/>
        </w:rPr>
      </w:pPr>
      <w:r>
        <w:rPr>
          <w:rFonts w:hint="eastAsia" w:ascii="仿宋" w:hAnsi="仿宋" w:eastAsia="仿宋" w:cs="仿宋"/>
          <w:sz w:val="32"/>
          <w:szCs w:val="32"/>
          <w:lang w:val="en-US" w:eastAsia="zh-CN"/>
        </w:rPr>
        <w:t>公众评判法：结合参会反馈、媒体报道、行业影响等信息，开展满意度与社会效益评价。</w:t>
      </w:r>
    </w:p>
    <w:p w14:paraId="6C65F8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（五）绩效评价工作过程</w:t>
      </w:r>
    </w:p>
    <w:p w14:paraId="2B16C9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严格遵照财政绩效管理相关规定，全面收集、系统整理项目全周期资料，对照预设绩效目标开展多维度数据核验与综合研判，客观公正地评价项目实施成效，最终形成规范完整的绩效评价报告。</w:t>
      </w:r>
    </w:p>
    <w:p w14:paraId="44653027">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综合评价情况及评价结论（附相关评分表）</w:t>
      </w:r>
    </w:p>
    <w:p w14:paraId="7F4848F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rPr>
          <w:rFonts w:hint="default" w:eastAsia="宋体"/>
          <w:lang w:val="en-US" w:eastAsia="zh-CN"/>
        </w:rPr>
      </w:pPr>
      <w:r>
        <w:rPr>
          <w:rFonts w:hint="eastAsia" w:ascii="黑体" w:hAnsi="仿宋" w:eastAsia="黑体"/>
          <w:sz w:val="32"/>
          <w:szCs w:val="32"/>
          <w:lang w:val="en-US" w:eastAsia="zh-CN"/>
        </w:rPr>
        <w:t xml:space="preserve">    </w:t>
      </w:r>
      <w:r>
        <w:rPr>
          <w:rFonts w:hint="eastAsia" w:ascii="仿宋" w:hAnsi="仿宋" w:eastAsia="仿宋" w:cs="仿宋"/>
          <w:sz w:val="32"/>
          <w:szCs w:val="32"/>
          <w:lang w:val="en-US" w:eastAsia="zh-CN"/>
        </w:rPr>
        <w:t>本次绩效评价严格遵循财政绩效管理相关规定，围绕资金管理、项目产出、项目效益及服务对象满意度等维度开展全面评估。项目资金使用合规规范、管控严谨到位，预算执行率达100%，未发生截留、挤占、挪用等任何违规违纪行为；各项产出指标与效益指标均圆满完成既定计划，在政策宣贯落地、平台合规运维、产业赋能支撑等方面成效突出，服务对象满意度达标并符合预期目标（详见附件1）。</w:t>
      </w:r>
    </w:p>
    <w:p w14:paraId="13FF49D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四、绩效评价指标分析</w:t>
      </w:r>
    </w:p>
    <w:p w14:paraId="7A1D479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rPr>
        <w:t>（一）项目决策情况</w:t>
      </w:r>
    </w:p>
    <w:p w14:paraId="01C48E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仿宋" w:hAnsi="仿宋" w:eastAsia="仿宋" w:cs="仿宋"/>
          <w:sz w:val="32"/>
          <w:szCs w:val="32"/>
          <w:lang w:val="en"/>
        </w:rPr>
      </w:pPr>
      <w:r>
        <w:rPr>
          <w:rFonts w:hint="eastAsia" w:ascii="仿宋" w:hAnsi="仿宋" w:eastAsia="仿宋" w:cs="仿宋"/>
          <w:sz w:val="32"/>
          <w:szCs w:val="32"/>
          <w:lang w:val="en"/>
        </w:rPr>
        <w:t>项目立项依据充分，符合海南自贸港与乐城先行区发展规划，紧扣园区考核奖励资金使用方向。绩效目标设置合理、指标明确，资金安排与园区重点工作匹配，项目审批程序规范，决策科学合规。</w:t>
      </w:r>
    </w:p>
    <w:p w14:paraId="42BA6F5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rPr>
        <w:t>项目过程情况</w:t>
      </w:r>
    </w:p>
    <w:p w14:paraId="4FCCFDB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资金到位及时，预算执行率100%，资金使用合规，支出手续完备，无截留、挤占、挪用等情况。财务管理制度健全，资金管理规范，项目实施流程清晰，资料归档完整，全过程管控到位。</w:t>
      </w:r>
    </w:p>
    <w:p w14:paraId="4B3B8DB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200" w:right="0" w:rightChars="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项目产出情况</w:t>
      </w:r>
    </w:p>
    <w:p w14:paraId="1A8709D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outlineLvl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项目按计划完成全部产出任务：成功举办1届医保创新应用大会，按期完成医工转化平台税款申报缴纳，税款缴纳准确率、按期缴纳率均达100%，未产生滞纳金，各项产出指标均达到预期标准。</w:t>
      </w:r>
    </w:p>
    <w:p w14:paraId="0F48008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200" w:right="0" w:rightChars="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项目效益情况</w:t>
      </w:r>
    </w:p>
    <w:p w14:paraId="69678E9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textAlignment w:val="auto"/>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项目社会效益显著，有效保障医工转化平台合法合规运营，医保创新政策宣传覆盖率100%，提升了乐城先行区行业影响力与产业发展环境，参会对象满意度达标，整体效益良好。</w:t>
      </w:r>
    </w:p>
    <w:p w14:paraId="274843C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四、存在的主要问题</w:t>
      </w:r>
    </w:p>
    <w:p w14:paraId="1A8B83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一是</w:t>
      </w:r>
      <w:r>
        <w:rPr>
          <w:rFonts w:hint="eastAsia" w:ascii="仿宋" w:hAnsi="仿宋" w:eastAsia="仿宋" w:cs="仿宋"/>
          <w:sz w:val="32"/>
          <w:szCs w:val="32"/>
        </w:rPr>
        <w:t>满意度数据支撑不足</w:t>
      </w:r>
      <w:r>
        <w:rPr>
          <w:rFonts w:hint="eastAsia" w:ascii="仿宋" w:hAnsi="仿宋" w:eastAsia="仿宋" w:cs="仿宋"/>
          <w:sz w:val="32"/>
          <w:szCs w:val="32"/>
          <w:lang w:eastAsia="zh-CN"/>
        </w:rPr>
        <w:t>。</w:t>
      </w:r>
      <w:r>
        <w:rPr>
          <w:rFonts w:hint="eastAsia" w:ascii="仿宋" w:hAnsi="仿宋" w:eastAsia="仿宋" w:cs="仿宋"/>
          <w:sz w:val="32"/>
          <w:szCs w:val="32"/>
        </w:rPr>
        <w:t>参会对象满意度仅依据会后新闻报道、官方通稿定性归纳，未开展现场问卷、线上评分等直接量化调查，缺乏一手统计数据，佐证材料不够</w:t>
      </w:r>
      <w:r>
        <w:rPr>
          <w:rFonts w:hint="eastAsia" w:ascii="仿宋" w:hAnsi="仿宋" w:eastAsia="仿宋" w:cs="仿宋"/>
          <w:sz w:val="32"/>
          <w:szCs w:val="32"/>
          <w:lang w:eastAsia="zh-CN"/>
        </w:rPr>
        <w:t>翔实</w:t>
      </w:r>
      <w:r>
        <w:rPr>
          <w:rFonts w:hint="eastAsia" w:ascii="仿宋" w:hAnsi="仿宋" w:eastAsia="仿宋" w:cs="仿宋"/>
          <w:sz w:val="32"/>
          <w:szCs w:val="32"/>
        </w:rPr>
        <w:t>。</w:t>
      </w:r>
    </w:p>
    <w:p w14:paraId="46877BF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二是</w:t>
      </w:r>
      <w:r>
        <w:rPr>
          <w:rFonts w:hint="eastAsia" w:ascii="仿宋" w:hAnsi="仿宋" w:eastAsia="仿宋" w:cs="仿宋"/>
          <w:sz w:val="32"/>
          <w:szCs w:val="32"/>
        </w:rPr>
        <w:t>绩效评价精细化程度有待提升</w:t>
      </w:r>
      <w:r>
        <w:rPr>
          <w:rFonts w:hint="eastAsia" w:ascii="仿宋" w:hAnsi="仿宋" w:eastAsia="仿宋" w:cs="仿宋"/>
          <w:sz w:val="32"/>
          <w:szCs w:val="32"/>
          <w:lang w:eastAsia="zh-CN"/>
        </w:rPr>
        <w:t>。</w:t>
      </w:r>
      <w:r>
        <w:rPr>
          <w:rFonts w:hint="eastAsia" w:ascii="仿宋" w:hAnsi="仿宋" w:eastAsia="仿宋" w:cs="仿宋"/>
          <w:sz w:val="32"/>
          <w:szCs w:val="32"/>
        </w:rPr>
        <w:t>满意度评价未拆解为会议内容、服务保障、议程安排等细分维度，评价颗粒度较粗，难以精准反映工作短板。</w:t>
      </w:r>
    </w:p>
    <w:p w14:paraId="7188E99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仿宋" w:eastAsia="黑体"/>
          <w:sz w:val="32"/>
          <w:szCs w:val="32"/>
        </w:rPr>
      </w:pPr>
      <w:r>
        <w:rPr>
          <w:rFonts w:hint="eastAsia" w:ascii="黑体" w:hAnsi="仿宋" w:eastAsia="黑体"/>
          <w:sz w:val="32"/>
          <w:szCs w:val="32"/>
        </w:rPr>
        <w:t>五、下一步改进措施</w:t>
      </w:r>
    </w:p>
    <w:p w14:paraId="6FF5397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一是</w:t>
      </w:r>
      <w:r>
        <w:rPr>
          <w:rFonts w:hint="eastAsia" w:ascii="仿宋" w:hAnsi="仿宋" w:eastAsia="仿宋" w:cs="仿宋"/>
          <w:sz w:val="32"/>
          <w:szCs w:val="32"/>
        </w:rPr>
        <w:t>完善数据采集机制</w:t>
      </w:r>
      <w:r>
        <w:rPr>
          <w:rFonts w:hint="eastAsia" w:ascii="仿宋" w:hAnsi="仿宋" w:eastAsia="仿宋" w:cs="仿宋"/>
          <w:sz w:val="32"/>
          <w:szCs w:val="32"/>
          <w:lang w:eastAsia="zh-CN"/>
        </w:rPr>
        <w:t>。</w:t>
      </w:r>
      <w:r>
        <w:rPr>
          <w:rFonts w:hint="eastAsia" w:ascii="仿宋" w:hAnsi="仿宋" w:eastAsia="仿宋" w:cs="仿宋"/>
          <w:sz w:val="32"/>
          <w:szCs w:val="32"/>
        </w:rPr>
        <w:t>后续大型会议强制增设现场扫码评分、线上问卷调研环节，直接收集参会者一手打分数据，确保绩效评价有据可依。</w:t>
      </w:r>
    </w:p>
    <w:p w14:paraId="620F7F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二是</w:t>
      </w:r>
      <w:r>
        <w:rPr>
          <w:rFonts w:hint="eastAsia" w:ascii="仿宋" w:hAnsi="仿宋" w:eastAsia="仿宋" w:cs="仿宋"/>
          <w:sz w:val="32"/>
          <w:szCs w:val="32"/>
          <w:lang w:eastAsia="zh-CN"/>
        </w:rPr>
        <w:t>细化绩效评价指标。将满意度评价拆解为会议内容质量、现场服务保障、议程科学合理性等细分维度，制定对应量化评价标准，精准定位工作短板。将满意度拆解为内容质量、组织服务、后勤保障、宣传效果等具体维度，细化分项量化评价指标与标准，提升评价精准度。</w:t>
      </w:r>
    </w:p>
    <w:p w14:paraId="1CCE40B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三是</w:t>
      </w:r>
      <w:r>
        <w:rPr>
          <w:rFonts w:hint="eastAsia" w:ascii="仿宋" w:hAnsi="仿宋" w:eastAsia="仿宋" w:cs="仿宋"/>
          <w:sz w:val="32"/>
          <w:szCs w:val="32"/>
        </w:rPr>
        <w:t>强化全过程绩效管理</w:t>
      </w:r>
      <w:r>
        <w:rPr>
          <w:rFonts w:hint="eastAsia" w:ascii="仿宋" w:hAnsi="仿宋" w:eastAsia="仿宋" w:cs="仿宋"/>
          <w:sz w:val="32"/>
          <w:szCs w:val="32"/>
          <w:lang w:eastAsia="zh-CN"/>
        </w:rPr>
        <w:t>。加强项目实施前、中、后全流程动态监控，规范资料收集、整理与归档全环节管理，完善绩效佐证材料的归集与审核机制，提升项目管理与绩效管理精细化水平。</w:t>
      </w:r>
    </w:p>
    <w:p w14:paraId="7FC4244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四是</w:t>
      </w:r>
      <w:r>
        <w:rPr>
          <w:rFonts w:hint="eastAsia" w:ascii="仿宋" w:hAnsi="仿宋" w:eastAsia="仿宋" w:cs="仿宋"/>
          <w:sz w:val="32"/>
          <w:szCs w:val="32"/>
        </w:rPr>
        <w:t>推广优秀管理经验</w:t>
      </w:r>
      <w:r>
        <w:rPr>
          <w:rFonts w:hint="eastAsia" w:ascii="仿宋" w:hAnsi="仿宋" w:eastAsia="仿宋" w:cs="仿宋"/>
          <w:sz w:val="32"/>
          <w:szCs w:val="32"/>
          <w:lang w:eastAsia="zh-CN"/>
        </w:rPr>
        <w:t>。系统梳理并固化本次项目资金规范管理、高效执行的经验做法，形成可复制、可推广的标准化操作指引，应用于后续财政资金项目，持续提升资金使用效益与项目实施质量。</w:t>
      </w:r>
    </w:p>
    <w:p w14:paraId="1256A524">
      <w:pPr>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jc w:val="both"/>
        <w:textAlignment w:val="auto"/>
        <w:outlineLvl w:val="0"/>
        <w:rPr>
          <w:rFonts w:hint="eastAsia" w:ascii="黑体" w:hAnsi="黑体" w:eastAsia="黑体" w:cs="黑体"/>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2BB8E"/>
    <w:multiLevelType w:val="singleLevel"/>
    <w:tmpl w:val="8AE2BB8E"/>
    <w:lvl w:ilvl="0" w:tentative="0">
      <w:start w:val="2"/>
      <w:numFmt w:val="decimal"/>
      <w:suff w:val="nothing"/>
      <w:lvlText w:val="（%1）"/>
      <w:lvlJc w:val="left"/>
    </w:lvl>
  </w:abstractNum>
  <w:abstractNum w:abstractNumId="1">
    <w:nsid w:val="AF94A9D8"/>
    <w:multiLevelType w:val="singleLevel"/>
    <w:tmpl w:val="AF94A9D8"/>
    <w:lvl w:ilvl="0" w:tentative="0">
      <w:start w:val="2"/>
      <w:numFmt w:val="chineseCounting"/>
      <w:suff w:val="nothing"/>
      <w:lvlText w:val="（%1）"/>
      <w:lvlJc w:val="left"/>
      <w:rPr>
        <w:rFonts w:hint="eastAsia"/>
      </w:rPr>
    </w:lvl>
  </w:abstractNum>
  <w:abstractNum w:abstractNumId="2">
    <w:nsid w:val="7F8E841A"/>
    <w:multiLevelType w:val="singleLevel"/>
    <w:tmpl w:val="7F8E841A"/>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137E8"/>
    <w:rsid w:val="36E63379"/>
    <w:rsid w:val="3DF1535E"/>
    <w:rsid w:val="4DDB47C1"/>
    <w:rsid w:val="5DB67C32"/>
    <w:rsid w:val="7FFF3829"/>
    <w:rsid w:val="FED7D4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line="708" w:lineRule="exact"/>
      <w:ind w:left="675"/>
      <w:jc w:val="center"/>
      <w:outlineLvl w:val="0"/>
    </w:pPr>
    <w:rPr>
      <w:rFonts w:ascii="微软雅黑" w:hAnsi="微软雅黑" w:eastAsia="微软雅黑" w:cs="微软雅黑"/>
      <w:b/>
      <w:bCs/>
      <w:sz w:val="44"/>
      <w:szCs w:val="44"/>
      <w:lang w:val="zh-CN" w:eastAsia="zh-CN" w:bidi="zh-C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32"/>
      <w:szCs w:val="32"/>
      <w:lang w:val="zh-CN" w:eastAsia="zh-CN" w:bidi="zh-CN"/>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1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4524</Words>
  <Characters>4778</Characters>
  <Lines>0</Lines>
  <Paragraphs>0</Paragraphs>
  <TotalTime>15</TotalTime>
  <ScaleCrop>false</ScaleCrop>
  <LinksUpToDate>false</LinksUpToDate>
  <CharactersWithSpaces>4794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2023-03-03T19:13:00Z</dcterms:created>
  <dc:creator>lenovo</dc:creator>
  <cp:lastModifiedBy>小蔡</cp:lastModifiedBy>
  <cp:lastPrinted>2026-05-20T02:01:17Z</cp:lastPrinted>
  <dcterms:modified xsi:type="dcterms:W3CDTF">2026-05-20T02:01:30Z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2CC291DF0A52462E91B180AE2AC5236C</vt:lpwstr>
  </property>
  <property fmtid="{D5CDD505-2E9C-101B-9397-08002B2CF9AE}" pid="4" name="KSOTemplateDocerSaveRecord">
    <vt:lpwstr>eyJoZGlkIjoiZTJmZDAwZWM2OWE3ZWNlYjc3ZTA0ODI1Y2ZhYTRhZTciLCJ1c2VySWQiOiIyNjM0ODY1NzUifQ==</vt:lpwstr>
  </property>
</Properties>
</file>