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046F92">
      <w:pPr>
        <w:ind w:left="0" w:leftChars="0" w:firstLine="0" w:firstLineChars="0"/>
        <w:jc w:val="center"/>
        <w:rPr>
          <w:rFonts w:hint="default"/>
          <w:sz w:val="36"/>
          <w:szCs w:val="36"/>
          <w:lang w:val="en-US" w:eastAsia="zh-CN"/>
        </w:rPr>
      </w:pPr>
      <w:bookmarkStart w:id="0" w:name="_GoBack"/>
      <w:r>
        <w:rPr>
          <w:rFonts w:hint="eastAsia"/>
          <w:b/>
          <w:bCs/>
          <w:sz w:val="36"/>
          <w:szCs w:val="36"/>
          <w:lang w:val="en-US" w:eastAsia="zh-CN"/>
        </w:rPr>
        <w:t>评审标准及分值</w:t>
      </w:r>
    </w:p>
    <w:bookmarkEnd w:id="0"/>
    <w:tbl>
      <w:tblPr>
        <w:tblStyle w:val="16"/>
        <w:tblW w:w="960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454"/>
        <w:gridCol w:w="6625"/>
        <w:gridCol w:w="816"/>
      </w:tblGrid>
      <w:tr w14:paraId="7DB23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710" w:type="dxa"/>
            <w:noWrap w:val="0"/>
            <w:vAlign w:val="center"/>
          </w:tcPr>
          <w:p w14:paraId="0B48CF5E">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b/>
                <w:sz w:val="24"/>
                <w:szCs w:val="24"/>
              </w:rPr>
            </w:pPr>
            <w:r>
              <w:rPr>
                <w:rFonts w:hint="eastAsia" w:ascii="宋体" w:hAnsi="宋体" w:eastAsia="宋体" w:cs="宋体"/>
                <w:b/>
                <w:sz w:val="24"/>
                <w:szCs w:val="24"/>
              </w:rPr>
              <w:t>序号</w:t>
            </w:r>
          </w:p>
        </w:tc>
        <w:tc>
          <w:tcPr>
            <w:tcW w:w="1454" w:type="dxa"/>
            <w:noWrap w:val="0"/>
            <w:vAlign w:val="center"/>
          </w:tcPr>
          <w:p w14:paraId="6F17773E">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b/>
                <w:sz w:val="24"/>
                <w:szCs w:val="24"/>
              </w:rPr>
            </w:pPr>
            <w:r>
              <w:rPr>
                <w:rFonts w:hint="eastAsia" w:ascii="宋体" w:hAnsi="宋体" w:eastAsia="宋体" w:cs="宋体"/>
                <w:b/>
                <w:sz w:val="24"/>
                <w:szCs w:val="24"/>
              </w:rPr>
              <w:t>评分项目</w:t>
            </w:r>
          </w:p>
        </w:tc>
        <w:tc>
          <w:tcPr>
            <w:tcW w:w="6625" w:type="dxa"/>
            <w:noWrap w:val="0"/>
            <w:vAlign w:val="center"/>
          </w:tcPr>
          <w:p w14:paraId="76C08094">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b/>
                <w:sz w:val="24"/>
                <w:szCs w:val="24"/>
              </w:rPr>
            </w:pPr>
            <w:r>
              <w:rPr>
                <w:rFonts w:hint="eastAsia" w:ascii="宋体" w:hAnsi="宋体" w:eastAsia="宋体" w:cs="宋体"/>
                <w:b/>
                <w:sz w:val="24"/>
                <w:szCs w:val="24"/>
              </w:rPr>
              <w:t>评分标准</w:t>
            </w:r>
          </w:p>
        </w:tc>
        <w:tc>
          <w:tcPr>
            <w:tcW w:w="816" w:type="dxa"/>
            <w:noWrap w:val="0"/>
            <w:vAlign w:val="top"/>
          </w:tcPr>
          <w:p w14:paraId="25E3A56B">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b/>
                <w:sz w:val="24"/>
                <w:szCs w:val="24"/>
              </w:rPr>
            </w:pPr>
            <w:r>
              <w:rPr>
                <w:rFonts w:hint="eastAsia" w:ascii="宋体" w:hAnsi="宋体" w:eastAsia="宋体" w:cs="宋体"/>
                <w:b/>
                <w:sz w:val="24"/>
                <w:szCs w:val="24"/>
              </w:rPr>
              <w:t>满分</w:t>
            </w:r>
          </w:p>
        </w:tc>
      </w:tr>
      <w:tr w14:paraId="39C5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10" w:type="dxa"/>
            <w:noWrap w:val="0"/>
            <w:vAlign w:val="center"/>
          </w:tcPr>
          <w:p w14:paraId="3BD66A83">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454" w:type="dxa"/>
            <w:vMerge w:val="restart"/>
            <w:noWrap w:val="0"/>
            <w:vAlign w:val="center"/>
          </w:tcPr>
          <w:p w14:paraId="33DEC44D">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服务方案</w:t>
            </w:r>
          </w:p>
        </w:tc>
        <w:tc>
          <w:tcPr>
            <w:tcW w:w="6625" w:type="dxa"/>
            <w:noWrap w:val="0"/>
            <w:vAlign w:val="center"/>
          </w:tcPr>
          <w:p w14:paraId="58AA8DED">
            <w:pPr>
              <w:keepNext w:val="0"/>
              <w:keepLines w:val="0"/>
              <w:pageBreakBefore w:val="0"/>
              <w:kinsoku/>
              <w:wordWrap/>
              <w:overflowPunct/>
              <w:topLinePunct w:val="0"/>
              <w:autoSpaceDE/>
              <w:autoSpaceDN/>
              <w:bidi w:val="0"/>
              <w:adjustRightInd/>
              <w:spacing w:line="360" w:lineRule="auto"/>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1、招标代理工作程序，方案中包含但不限于：代理中选后至开标前准备工作、开标程序及注意事项、开标后收尾工作。</w:t>
            </w:r>
          </w:p>
          <w:p w14:paraId="77867DBA">
            <w:pPr>
              <w:keepNext w:val="0"/>
              <w:keepLines w:val="0"/>
              <w:pageBreakBefore w:val="0"/>
              <w:kinsoku/>
              <w:wordWrap/>
              <w:overflowPunct/>
              <w:topLinePunct w:val="0"/>
              <w:autoSpaceDE/>
              <w:autoSpaceDN/>
              <w:bidi w:val="0"/>
              <w:adjustRightInd/>
              <w:spacing w:line="360" w:lineRule="auto"/>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A：代理工作程序要点齐全，方案切实可行，制度和措施健全、完善，实施过程务实；得</w:t>
            </w:r>
            <w:r>
              <w:rPr>
                <w:rFonts w:hint="eastAsia" w:ascii="宋体" w:hAnsi="宋体" w:eastAsia="宋体" w:cs="宋体"/>
                <w:sz w:val="24"/>
                <w:szCs w:val="24"/>
                <w:lang w:val="en-US" w:eastAsia="zh-CN"/>
              </w:rPr>
              <w:t>1</w:t>
            </w:r>
            <w:r>
              <w:rPr>
                <w:rFonts w:hint="eastAsia" w:ascii="宋体" w:hAnsi="宋体" w:cs="宋体"/>
                <w:sz w:val="24"/>
                <w:szCs w:val="24"/>
                <w:lang w:val="en-US" w:eastAsia="zh-CN"/>
              </w:rPr>
              <w:t>3</w:t>
            </w:r>
            <w:r>
              <w:rPr>
                <w:rFonts w:hint="eastAsia" w:ascii="宋体" w:hAnsi="宋体" w:eastAsia="宋体" w:cs="宋体"/>
                <w:sz w:val="24"/>
                <w:szCs w:val="24"/>
                <w:lang w:val="en-US" w:eastAsia="zh-CN"/>
              </w:rPr>
              <w:t>-1</w:t>
            </w:r>
            <w:r>
              <w:rPr>
                <w:rFonts w:hint="eastAsia" w:ascii="宋体" w:hAnsi="宋体" w:cs="宋体"/>
                <w:sz w:val="24"/>
                <w:szCs w:val="24"/>
                <w:lang w:val="en-US" w:eastAsia="zh-CN"/>
              </w:rPr>
              <w:t>8</w:t>
            </w:r>
            <w:r>
              <w:rPr>
                <w:rFonts w:hint="eastAsia" w:ascii="宋体" w:hAnsi="宋体" w:eastAsia="宋体" w:cs="宋体"/>
                <w:sz w:val="24"/>
                <w:szCs w:val="24"/>
              </w:rPr>
              <w:t>分。</w:t>
            </w:r>
          </w:p>
          <w:p w14:paraId="0B830A63">
            <w:pPr>
              <w:keepNext w:val="0"/>
              <w:keepLines w:val="0"/>
              <w:pageBreakBefore w:val="0"/>
              <w:kinsoku/>
              <w:wordWrap/>
              <w:overflowPunct/>
              <w:topLinePunct w:val="0"/>
              <w:autoSpaceDE/>
              <w:autoSpaceDN/>
              <w:bidi w:val="0"/>
              <w:adjustRightInd/>
              <w:spacing w:line="360" w:lineRule="auto"/>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B：代理工作程序要点基本齐全，方案较切实可行，制度和措施基本健全、基本完善，实施过程一般；得</w:t>
            </w:r>
            <w:r>
              <w:rPr>
                <w:rFonts w:hint="eastAsia" w:ascii="宋体" w:hAnsi="宋体" w:cs="宋体"/>
                <w:sz w:val="24"/>
                <w:szCs w:val="24"/>
                <w:lang w:val="en-US" w:eastAsia="zh-CN"/>
              </w:rPr>
              <w:t>7</w:t>
            </w:r>
            <w:r>
              <w:rPr>
                <w:rFonts w:hint="eastAsia" w:ascii="宋体" w:hAnsi="宋体" w:eastAsia="宋体" w:cs="宋体"/>
                <w:sz w:val="24"/>
                <w:szCs w:val="24"/>
              </w:rPr>
              <w:t>-</w:t>
            </w:r>
            <w:r>
              <w:rPr>
                <w:rFonts w:hint="eastAsia" w:ascii="宋体" w:hAnsi="宋体" w:cs="宋体"/>
                <w:sz w:val="24"/>
                <w:szCs w:val="24"/>
                <w:lang w:val="en-US" w:eastAsia="zh-CN"/>
              </w:rPr>
              <w:t>12</w:t>
            </w:r>
            <w:r>
              <w:rPr>
                <w:rFonts w:hint="eastAsia" w:ascii="宋体" w:hAnsi="宋体" w:eastAsia="宋体" w:cs="宋体"/>
                <w:sz w:val="24"/>
                <w:szCs w:val="24"/>
              </w:rPr>
              <w:t>分。</w:t>
            </w:r>
          </w:p>
          <w:p w14:paraId="01E902AF">
            <w:pPr>
              <w:keepNext w:val="0"/>
              <w:keepLines w:val="0"/>
              <w:pageBreakBefore w:val="0"/>
              <w:kinsoku/>
              <w:wordWrap/>
              <w:overflowPunct/>
              <w:topLinePunct w:val="0"/>
              <w:autoSpaceDE/>
              <w:autoSpaceDN/>
              <w:bidi w:val="0"/>
              <w:adjustRightInd/>
              <w:spacing w:line="360" w:lineRule="auto"/>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C：代理工作程序要点不齐全，方案不可行，制度和措施不健全、不完善，实施过程差；得1-</w:t>
            </w:r>
            <w:r>
              <w:rPr>
                <w:rFonts w:hint="eastAsia" w:ascii="宋体" w:hAnsi="宋体" w:cs="宋体"/>
                <w:sz w:val="24"/>
                <w:szCs w:val="24"/>
                <w:lang w:val="en-US" w:eastAsia="zh-CN"/>
              </w:rPr>
              <w:t>6</w:t>
            </w:r>
            <w:r>
              <w:rPr>
                <w:rFonts w:hint="eastAsia" w:ascii="宋体" w:hAnsi="宋体" w:eastAsia="宋体" w:cs="宋体"/>
                <w:sz w:val="24"/>
                <w:szCs w:val="24"/>
              </w:rPr>
              <w:t>分。</w:t>
            </w:r>
          </w:p>
          <w:p w14:paraId="48736CF7">
            <w:pPr>
              <w:keepNext w:val="0"/>
              <w:keepLines w:val="0"/>
              <w:pageBreakBefore w:val="0"/>
              <w:kinsoku/>
              <w:wordWrap/>
              <w:overflowPunct/>
              <w:topLinePunct w:val="0"/>
              <w:autoSpaceDE/>
              <w:autoSpaceDN/>
              <w:bidi w:val="0"/>
              <w:adjustRightInd/>
              <w:spacing w:line="360" w:lineRule="auto"/>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D：不提供不得分。</w:t>
            </w:r>
          </w:p>
        </w:tc>
        <w:tc>
          <w:tcPr>
            <w:tcW w:w="816" w:type="dxa"/>
            <w:noWrap w:val="0"/>
            <w:vAlign w:val="center"/>
          </w:tcPr>
          <w:p w14:paraId="4C0E9F4C">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18</w:t>
            </w:r>
          </w:p>
        </w:tc>
      </w:tr>
      <w:tr w14:paraId="3D10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10" w:type="dxa"/>
            <w:noWrap w:val="0"/>
            <w:vAlign w:val="center"/>
          </w:tcPr>
          <w:p w14:paraId="1496CC3C">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1454" w:type="dxa"/>
            <w:vMerge w:val="continue"/>
            <w:noWrap w:val="0"/>
            <w:vAlign w:val="center"/>
          </w:tcPr>
          <w:p w14:paraId="63FBE482">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sz w:val="24"/>
                <w:szCs w:val="24"/>
              </w:rPr>
            </w:pPr>
          </w:p>
        </w:tc>
        <w:tc>
          <w:tcPr>
            <w:tcW w:w="6625" w:type="dxa"/>
            <w:noWrap w:val="0"/>
            <w:vAlign w:val="center"/>
          </w:tcPr>
          <w:p w14:paraId="67B6BC0B">
            <w:pPr>
              <w:keepNext w:val="0"/>
              <w:keepLines w:val="0"/>
              <w:pageBreakBefore w:val="0"/>
              <w:kinsoku/>
              <w:wordWrap/>
              <w:overflowPunct/>
              <w:topLinePunct w:val="0"/>
              <w:autoSpaceDE/>
              <w:autoSpaceDN/>
              <w:bidi w:val="0"/>
              <w:adjustRightInd/>
              <w:spacing w:line="360" w:lineRule="auto"/>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2、招标代理质量保证措施，方案中包含但不限于：代理中选后至开标前质量保证措施、开标质量保证措施、开标后质量保证措施。</w:t>
            </w:r>
          </w:p>
          <w:p w14:paraId="16F31CD8">
            <w:pPr>
              <w:keepNext w:val="0"/>
              <w:keepLines w:val="0"/>
              <w:pageBreakBefore w:val="0"/>
              <w:kinsoku/>
              <w:wordWrap/>
              <w:overflowPunct/>
              <w:topLinePunct w:val="0"/>
              <w:autoSpaceDE/>
              <w:autoSpaceDN/>
              <w:bidi w:val="0"/>
              <w:adjustRightInd/>
              <w:spacing w:line="360" w:lineRule="auto"/>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A：质量保证措施要点齐全，方案切实可行，制度和措施健全、完善，实施过程务实；得</w:t>
            </w:r>
            <w:r>
              <w:rPr>
                <w:rFonts w:hint="eastAsia" w:ascii="宋体" w:hAnsi="宋体" w:eastAsia="宋体" w:cs="宋体"/>
                <w:sz w:val="24"/>
                <w:szCs w:val="24"/>
                <w:lang w:val="en-US" w:eastAsia="zh-CN"/>
              </w:rPr>
              <w:t>1</w:t>
            </w:r>
            <w:r>
              <w:rPr>
                <w:rFonts w:hint="eastAsia" w:ascii="宋体" w:hAnsi="宋体" w:cs="宋体"/>
                <w:sz w:val="24"/>
                <w:szCs w:val="24"/>
                <w:lang w:val="en-US" w:eastAsia="zh-CN"/>
              </w:rPr>
              <w:t>2</w:t>
            </w:r>
            <w:r>
              <w:rPr>
                <w:rFonts w:hint="eastAsia" w:ascii="宋体" w:hAnsi="宋体" w:eastAsia="宋体" w:cs="宋体"/>
                <w:sz w:val="24"/>
                <w:szCs w:val="24"/>
                <w:lang w:val="en-US" w:eastAsia="zh-CN"/>
              </w:rPr>
              <w:t>-1</w:t>
            </w:r>
            <w:r>
              <w:rPr>
                <w:rFonts w:hint="eastAsia" w:ascii="宋体" w:hAnsi="宋体" w:cs="宋体"/>
                <w:sz w:val="24"/>
                <w:szCs w:val="24"/>
                <w:lang w:val="en-US" w:eastAsia="zh-CN"/>
              </w:rPr>
              <w:t>6</w:t>
            </w:r>
            <w:r>
              <w:rPr>
                <w:rFonts w:hint="eastAsia" w:ascii="宋体" w:hAnsi="宋体" w:eastAsia="宋体" w:cs="宋体"/>
                <w:sz w:val="24"/>
                <w:szCs w:val="24"/>
              </w:rPr>
              <w:t>分。</w:t>
            </w:r>
          </w:p>
          <w:p w14:paraId="57F67B48">
            <w:pPr>
              <w:keepNext w:val="0"/>
              <w:keepLines w:val="0"/>
              <w:pageBreakBefore w:val="0"/>
              <w:kinsoku/>
              <w:wordWrap/>
              <w:overflowPunct/>
              <w:topLinePunct w:val="0"/>
              <w:autoSpaceDE/>
              <w:autoSpaceDN/>
              <w:bidi w:val="0"/>
              <w:adjustRightInd/>
              <w:spacing w:line="360" w:lineRule="auto"/>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B：质量保证措施要点基本齐全，方案较切实可行，制度和措施基本健全、基本完善，实施过程一般；得</w:t>
            </w:r>
            <w:r>
              <w:rPr>
                <w:rFonts w:hint="eastAsia" w:ascii="宋体" w:hAnsi="宋体" w:eastAsia="宋体" w:cs="宋体"/>
                <w:sz w:val="24"/>
                <w:szCs w:val="24"/>
                <w:lang w:val="en-US" w:eastAsia="zh-CN"/>
              </w:rPr>
              <w:t>6</w:t>
            </w: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cs="宋体"/>
                <w:sz w:val="24"/>
                <w:szCs w:val="24"/>
                <w:lang w:val="en-US" w:eastAsia="zh-CN"/>
              </w:rPr>
              <w:t>1</w:t>
            </w:r>
            <w:r>
              <w:rPr>
                <w:rFonts w:hint="eastAsia" w:ascii="宋体" w:hAnsi="宋体" w:eastAsia="宋体" w:cs="宋体"/>
                <w:sz w:val="24"/>
                <w:szCs w:val="24"/>
              </w:rPr>
              <w:t>分。</w:t>
            </w:r>
          </w:p>
          <w:p w14:paraId="4F27C8D7">
            <w:pPr>
              <w:keepNext w:val="0"/>
              <w:keepLines w:val="0"/>
              <w:pageBreakBefore w:val="0"/>
              <w:kinsoku/>
              <w:wordWrap/>
              <w:overflowPunct/>
              <w:topLinePunct w:val="0"/>
              <w:autoSpaceDE/>
              <w:autoSpaceDN/>
              <w:bidi w:val="0"/>
              <w:adjustRightInd/>
              <w:spacing w:line="360" w:lineRule="auto"/>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C：质量保证措施要点不齐全，方案不可行，制度和措施不健全、不完善，实施过程差；得1-</w:t>
            </w:r>
            <w:r>
              <w:rPr>
                <w:rFonts w:hint="eastAsia" w:ascii="宋体" w:hAnsi="宋体" w:eastAsia="宋体" w:cs="宋体"/>
                <w:sz w:val="24"/>
                <w:szCs w:val="24"/>
                <w:lang w:val="en-US" w:eastAsia="zh-CN"/>
              </w:rPr>
              <w:t>5</w:t>
            </w:r>
            <w:r>
              <w:rPr>
                <w:rFonts w:hint="eastAsia" w:ascii="宋体" w:hAnsi="宋体" w:eastAsia="宋体" w:cs="宋体"/>
                <w:sz w:val="24"/>
                <w:szCs w:val="24"/>
              </w:rPr>
              <w:t>分。</w:t>
            </w:r>
          </w:p>
          <w:p w14:paraId="2F1BE932">
            <w:pPr>
              <w:keepNext w:val="0"/>
              <w:keepLines w:val="0"/>
              <w:pageBreakBefore w:val="0"/>
              <w:kinsoku/>
              <w:wordWrap/>
              <w:overflowPunct/>
              <w:topLinePunct w:val="0"/>
              <w:autoSpaceDE/>
              <w:autoSpaceDN/>
              <w:bidi w:val="0"/>
              <w:adjustRightInd/>
              <w:spacing w:line="360" w:lineRule="auto"/>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D：不提供不得分。</w:t>
            </w:r>
          </w:p>
        </w:tc>
        <w:tc>
          <w:tcPr>
            <w:tcW w:w="816" w:type="dxa"/>
            <w:noWrap w:val="0"/>
            <w:vAlign w:val="center"/>
          </w:tcPr>
          <w:p w14:paraId="74522359">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16</w:t>
            </w:r>
          </w:p>
        </w:tc>
      </w:tr>
      <w:tr w14:paraId="37C4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10" w:type="dxa"/>
            <w:noWrap w:val="0"/>
            <w:vAlign w:val="center"/>
          </w:tcPr>
          <w:p w14:paraId="35C1350A">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1454" w:type="dxa"/>
            <w:vMerge w:val="continue"/>
            <w:noWrap w:val="0"/>
            <w:vAlign w:val="center"/>
          </w:tcPr>
          <w:p w14:paraId="56C1F38F">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sz w:val="24"/>
                <w:szCs w:val="24"/>
              </w:rPr>
            </w:pPr>
          </w:p>
        </w:tc>
        <w:tc>
          <w:tcPr>
            <w:tcW w:w="6625" w:type="dxa"/>
            <w:noWrap w:val="0"/>
            <w:vAlign w:val="center"/>
          </w:tcPr>
          <w:p w14:paraId="75D57A00">
            <w:pPr>
              <w:keepNext w:val="0"/>
              <w:keepLines w:val="0"/>
              <w:pageBreakBefore w:val="0"/>
              <w:kinsoku/>
              <w:wordWrap/>
              <w:overflowPunct/>
              <w:topLinePunct w:val="0"/>
              <w:autoSpaceDE/>
              <w:autoSpaceDN/>
              <w:bidi w:val="0"/>
              <w:adjustRightInd/>
              <w:spacing w:line="360" w:lineRule="auto"/>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3、处理突发事件及投诉的策略方案，方案中包含但不限于：开标时处理突发事件策略方案、开标后处理投诉的策略方案。</w:t>
            </w:r>
          </w:p>
          <w:p w14:paraId="3918E62B">
            <w:pPr>
              <w:keepNext w:val="0"/>
              <w:keepLines w:val="0"/>
              <w:pageBreakBefore w:val="0"/>
              <w:kinsoku/>
              <w:wordWrap/>
              <w:overflowPunct/>
              <w:topLinePunct w:val="0"/>
              <w:autoSpaceDE/>
              <w:autoSpaceDN/>
              <w:bidi w:val="0"/>
              <w:adjustRightInd/>
              <w:spacing w:line="360" w:lineRule="auto"/>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A：处理突发事件及投诉的要点齐全，方案切实可行，制度和措施健全、完善，实施过程务实；得</w:t>
            </w:r>
            <w:r>
              <w:rPr>
                <w:rFonts w:hint="eastAsia" w:ascii="宋体" w:hAnsi="宋体" w:eastAsia="宋体" w:cs="宋体"/>
                <w:sz w:val="24"/>
                <w:szCs w:val="24"/>
                <w:lang w:val="en-US" w:eastAsia="zh-CN"/>
              </w:rPr>
              <w:t>1</w:t>
            </w:r>
            <w:r>
              <w:rPr>
                <w:rFonts w:hint="eastAsia" w:ascii="宋体" w:hAnsi="宋体" w:cs="宋体"/>
                <w:sz w:val="24"/>
                <w:szCs w:val="24"/>
                <w:lang w:val="en-US" w:eastAsia="zh-CN"/>
              </w:rPr>
              <w:t>2</w:t>
            </w:r>
            <w:r>
              <w:rPr>
                <w:rFonts w:hint="eastAsia" w:ascii="宋体" w:hAnsi="宋体" w:eastAsia="宋体" w:cs="宋体"/>
                <w:sz w:val="24"/>
                <w:szCs w:val="24"/>
                <w:lang w:val="en-US" w:eastAsia="zh-CN"/>
              </w:rPr>
              <w:t>-1</w:t>
            </w:r>
            <w:r>
              <w:rPr>
                <w:rFonts w:hint="eastAsia" w:ascii="宋体" w:hAnsi="宋体" w:cs="宋体"/>
                <w:sz w:val="24"/>
                <w:szCs w:val="24"/>
                <w:lang w:val="en-US" w:eastAsia="zh-CN"/>
              </w:rPr>
              <w:t>6</w:t>
            </w:r>
            <w:r>
              <w:rPr>
                <w:rFonts w:hint="eastAsia" w:ascii="宋体" w:hAnsi="宋体" w:eastAsia="宋体" w:cs="宋体"/>
                <w:sz w:val="24"/>
                <w:szCs w:val="24"/>
              </w:rPr>
              <w:t>分。</w:t>
            </w:r>
          </w:p>
          <w:p w14:paraId="6077A340">
            <w:pPr>
              <w:keepNext w:val="0"/>
              <w:keepLines w:val="0"/>
              <w:pageBreakBefore w:val="0"/>
              <w:kinsoku/>
              <w:wordWrap/>
              <w:overflowPunct/>
              <w:topLinePunct w:val="0"/>
              <w:autoSpaceDE/>
              <w:autoSpaceDN/>
              <w:bidi w:val="0"/>
              <w:adjustRightInd/>
              <w:spacing w:line="360" w:lineRule="auto"/>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B：处理突发事件及投诉的要点基本齐全 ，方案较切实可行，制度和措施基本健全、基本完善，实施过程一般；得</w:t>
            </w:r>
            <w:r>
              <w:rPr>
                <w:rFonts w:hint="eastAsia" w:ascii="宋体" w:hAnsi="宋体" w:eastAsia="宋体" w:cs="宋体"/>
                <w:sz w:val="24"/>
                <w:szCs w:val="24"/>
                <w:lang w:val="en-US" w:eastAsia="zh-CN"/>
              </w:rPr>
              <w:t>6</w:t>
            </w: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cs="宋体"/>
                <w:sz w:val="24"/>
                <w:szCs w:val="24"/>
                <w:lang w:val="en-US" w:eastAsia="zh-CN"/>
              </w:rPr>
              <w:t>1</w:t>
            </w:r>
            <w:r>
              <w:rPr>
                <w:rFonts w:hint="eastAsia" w:ascii="宋体" w:hAnsi="宋体" w:eastAsia="宋体" w:cs="宋体"/>
                <w:sz w:val="24"/>
                <w:szCs w:val="24"/>
              </w:rPr>
              <w:t>分。</w:t>
            </w:r>
          </w:p>
          <w:p w14:paraId="2ECFDB3E">
            <w:pPr>
              <w:keepNext w:val="0"/>
              <w:keepLines w:val="0"/>
              <w:pageBreakBefore w:val="0"/>
              <w:kinsoku/>
              <w:wordWrap/>
              <w:overflowPunct/>
              <w:topLinePunct w:val="0"/>
              <w:autoSpaceDE/>
              <w:autoSpaceDN/>
              <w:bidi w:val="0"/>
              <w:adjustRightInd/>
              <w:spacing w:line="360" w:lineRule="auto"/>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C：处理突发事件及投诉的要点不齐全，方案不可行，制度和措施不健全、不完善，实施过程差；得1-</w:t>
            </w:r>
            <w:r>
              <w:rPr>
                <w:rFonts w:hint="eastAsia" w:ascii="宋体" w:hAnsi="宋体" w:eastAsia="宋体" w:cs="宋体"/>
                <w:sz w:val="24"/>
                <w:szCs w:val="24"/>
                <w:lang w:val="en-US" w:eastAsia="zh-CN"/>
              </w:rPr>
              <w:t>5</w:t>
            </w:r>
            <w:r>
              <w:rPr>
                <w:rFonts w:hint="eastAsia" w:ascii="宋体" w:hAnsi="宋体" w:eastAsia="宋体" w:cs="宋体"/>
                <w:sz w:val="24"/>
                <w:szCs w:val="24"/>
              </w:rPr>
              <w:t>分。</w:t>
            </w:r>
          </w:p>
          <w:p w14:paraId="59DFE8AD">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D：不提供不得分</w:t>
            </w:r>
          </w:p>
        </w:tc>
        <w:tc>
          <w:tcPr>
            <w:tcW w:w="816" w:type="dxa"/>
            <w:noWrap w:val="0"/>
            <w:vAlign w:val="center"/>
          </w:tcPr>
          <w:p w14:paraId="5CEAB986">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16</w:t>
            </w:r>
          </w:p>
        </w:tc>
      </w:tr>
      <w:tr w14:paraId="2535E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10" w:type="dxa"/>
            <w:noWrap w:val="0"/>
            <w:vAlign w:val="center"/>
          </w:tcPr>
          <w:p w14:paraId="1D96E06C">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4</w:t>
            </w:r>
          </w:p>
        </w:tc>
        <w:tc>
          <w:tcPr>
            <w:tcW w:w="1454" w:type="dxa"/>
            <w:noWrap w:val="0"/>
            <w:vAlign w:val="center"/>
          </w:tcPr>
          <w:p w14:paraId="2E62FB2E">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供应商实力</w:t>
            </w:r>
          </w:p>
        </w:tc>
        <w:tc>
          <w:tcPr>
            <w:tcW w:w="6625" w:type="dxa"/>
            <w:noWrap w:val="0"/>
            <w:vAlign w:val="center"/>
          </w:tcPr>
          <w:p w14:paraId="5D7AE99E">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1.招标采购代理服务机构具有固定办公场所和档案室的得</w:t>
            </w:r>
            <w:r>
              <w:rPr>
                <w:rFonts w:hint="eastAsia" w:ascii="宋体" w:hAnsi="宋体" w:cs="宋体"/>
                <w:sz w:val="24"/>
                <w:szCs w:val="24"/>
                <w:lang w:val="en-US" w:eastAsia="zh-CN"/>
              </w:rPr>
              <w:t>2.5</w:t>
            </w:r>
            <w:r>
              <w:rPr>
                <w:rFonts w:hint="eastAsia" w:ascii="宋体" w:hAnsi="宋体" w:eastAsia="宋体" w:cs="宋体"/>
                <w:sz w:val="24"/>
                <w:szCs w:val="24"/>
              </w:rPr>
              <w:t>分。</w:t>
            </w:r>
          </w:p>
          <w:p w14:paraId="6D02531D">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2.具备符合开评标要求的监控设备及开评标场所的得</w:t>
            </w:r>
            <w:r>
              <w:rPr>
                <w:rFonts w:hint="eastAsia" w:ascii="宋体" w:hAnsi="宋体" w:cs="宋体"/>
                <w:sz w:val="24"/>
                <w:szCs w:val="24"/>
                <w:lang w:val="en-US" w:eastAsia="zh-CN"/>
              </w:rPr>
              <w:t>2.5</w:t>
            </w:r>
            <w:r>
              <w:rPr>
                <w:rFonts w:hint="eastAsia" w:ascii="宋体" w:hAnsi="宋体" w:eastAsia="宋体" w:cs="宋体"/>
                <w:sz w:val="24"/>
                <w:szCs w:val="24"/>
              </w:rPr>
              <w:t>分。</w:t>
            </w:r>
          </w:p>
          <w:p w14:paraId="254C22D9">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sz w:val="24"/>
                <w:szCs w:val="24"/>
              </w:rPr>
            </w:pPr>
            <w:r>
              <w:rPr>
                <w:rFonts w:hint="eastAsia" w:ascii="宋体" w:hAnsi="宋体" w:cs="宋体"/>
                <w:sz w:val="24"/>
                <w:szCs w:val="24"/>
                <w:lang w:val="en-US" w:eastAsia="zh-CN"/>
              </w:rPr>
              <w:t>注：</w:t>
            </w:r>
            <w:r>
              <w:rPr>
                <w:rFonts w:hint="eastAsia" w:ascii="宋体" w:hAnsi="宋体" w:eastAsia="宋体" w:cs="宋体"/>
                <w:sz w:val="24"/>
                <w:szCs w:val="24"/>
              </w:rPr>
              <w:t>提供场地照片、产权证明或租赁合同以及证书证明材料复印件，未提供证明材料的不得分。</w:t>
            </w:r>
          </w:p>
        </w:tc>
        <w:tc>
          <w:tcPr>
            <w:tcW w:w="816" w:type="dxa"/>
            <w:noWrap w:val="0"/>
            <w:vAlign w:val="center"/>
          </w:tcPr>
          <w:p w14:paraId="02EA1172">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cs="宋体"/>
                <w:sz w:val="24"/>
                <w:szCs w:val="24"/>
                <w:lang w:val="en-US" w:eastAsia="zh-CN"/>
              </w:rPr>
            </w:pPr>
            <w:r>
              <w:rPr>
                <w:rFonts w:hint="eastAsia" w:ascii="宋体" w:hAnsi="宋体" w:cs="宋体"/>
                <w:sz w:val="24"/>
                <w:szCs w:val="24"/>
                <w:lang w:val="en-US" w:eastAsia="zh-CN"/>
              </w:rPr>
              <w:t>5</w:t>
            </w:r>
          </w:p>
        </w:tc>
      </w:tr>
      <w:tr w14:paraId="661B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10" w:type="dxa"/>
            <w:noWrap w:val="0"/>
            <w:vAlign w:val="center"/>
          </w:tcPr>
          <w:p w14:paraId="7568CABD">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p>
        </w:tc>
        <w:tc>
          <w:tcPr>
            <w:tcW w:w="1454" w:type="dxa"/>
            <w:noWrap w:val="0"/>
            <w:vAlign w:val="center"/>
          </w:tcPr>
          <w:p w14:paraId="2AAE8E7E">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业绩</w:t>
            </w:r>
          </w:p>
        </w:tc>
        <w:tc>
          <w:tcPr>
            <w:tcW w:w="6625" w:type="dxa"/>
            <w:noWrap w:val="0"/>
            <w:vAlign w:val="center"/>
          </w:tcPr>
          <w:p w14:paraId="67E98B77">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sz w:val="24"/>
                <w:szCs w:val="24"/>
              </w:rPr>
            </w:pPr>
            <w:r>
              <w:rPr>
                <w:rFonts w:hint="eastAsia" w:ascii="宋体" w:hAnsi="宋体" w:cs="宋体"/>
                <w:sz w:val="24"/>
                <w:szCs w:val="24"/>
                <w:lang w:val="en-US" w:eastAsia="zh-CN"/>
              </w:rPr>
              <w:t>供应商2022年1月1日至今</w:t>
            </w:r>
            <w:r>
              <w:rPr>
                <w:rFonts w:hint="eastAsia" w:ascii="宋体" w:hAnsi="宋体" w:eastAsia="宋体" w:cs="宋体"/>
                <w:sz w:val="24"/>
                <w:szCs w:val="24"/>
              </w:rPr>
              <w:t>具有</w:t>
            </w:r>
            <w:r>
              <w:rPr>
                <w:rFonts w:hint="eastAsia" w:ascii="宋体" w:hAnsi="宋体" w:cs="宋体"/>
                <w:sz w:val="24"/>
                <w:szCs w:val="24"/>
                <w:lang w:val="en-US" w:eastAsia="zh-CN"/>
              </w:rPr>
              <w:t>信息类项目招标代理</w:t>
            </w:r>
            <w:r>
              <w:rPr>
                <w:rFonts w:hint="eastAsia" w:ascii="宋体" w:hAnsi="宋体" w:eastAsia="宋体" w:cs="宋体"/>
                <w:sz w:val="24"/>
                <w:szCs w:val="24"/>
              </w:rPr>
              <w:t>业绩</w:t>
            </w:r>
            <w:r>
              <w:rPr>
                <w:rFonts w:hint="eastAsia" w:ascii="宋体" w:hAnsi="宋体" w:cs="宋体"/>
                <w:sz w:val="24"/>
                <w:szCs w:val="24"/>
                <w:lang w:eastAsia="zh-CN"/>
              </w:rPr>
              <w:t>的</w:t>
            </w:r>
            <w:r>
              <w:rPr>
                <w:rFonts w:hint="eastAsia" w:ascii="宋体" w:hAnsi="宋体" w:cs="宋体"/>
                <w:sz w:val="24"/>
                <w:szCs w:val="24"/>
                <w:lang w:val="en-US" w:eastAsia="zh-CN"/>
              </w:rPr>
              <w:t>每个得5分</w:t>
            </w:r>
            <w:r>
              <w:rPr>
                <w:rFonts w:hint="eastAsia" w:ascii="宋体" w:hAnsi="宋体" w:eastAsia="宋体" w:cs="宋体"/>
                <w:sz w:val="24"/>
                <w:szCs w:val="24"/>
              </w:rPr>
              <w:t>，满分</w:t>
            </w:r>
            <w:r>
              <w:rPr>
                <w:rFonts w:hint="eastAsia" w:ascii="宋体" w:hAnsi="宋体" w:cs="宋体"/>
                <w:sz w:val="24"/>
                <w:szCs w:val="24"/>
                <w:lang w:val="en-US" w:eastAsia="zh-CN"/>
              </w:rPr>
              <w:t>15</w:t>
            </w:r>
            <w:r>
              <w:rPr>
                <w:rFonts w:hint="eastAsia" w:ascii="宋体" w:hAnsi="宋体" w:eastAsia="宋体" w:cs="宋体"/>
                <w:sz w:val="24"/>
                <w:szCs w:val="24"/>
              </w:rPr>
              <w:t>分。</w:t>
            </w:r>
          </w:p>
          <w:p w14:paraId="046614C1">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证明材料：提供</w:t>
            </w:r>
            <w:r>
              <w:rPr>
                <w:rFonts w:hint="eastAsia" w:ascii="宋体" w:hAnsi="宋体" w:cs="宋体"/>
                <w:sz w:val="24"/>
                <w:szCs w:val="24"/>
                <w:lang w:val="en-US" w:eastAsia="zh-CN"/>
              </w:rPr>
              <w:t>招标代理</w:t>
            </w:r>
            <w:r>
              <w:rPr>
                <w:rFonts w:hint="eastAsia" w:ascii="宋体" w:hAnsi="宋体" w:eastAsia="宋体" w:cs="宋体"/>
                <w:sz w:val="24"/>
                <w:szCs w:val="24"/>
              </w:rPr>
              <w:t>合同复印件加盖公章，时间以合同</w:t>
            </w:r>
            <w:r>
              <w:rPr>
                <w:rFonts w:hint="eastAsia" w:ascii="宋体" w:hAnsi="宋体" w:cs="宋体"/>
                <w:sz w:val="24"/>
                <w:szCs w:val="24"/>
                <w:lang w:val="en-US" w:eastAsia="zh-CN"/>
              </w:rPr>
              <w:t>签订</w:t>
            </w:r>
            <w:r>
              <w:rPr>
                <w:rFonts w:hint="eastAsia" w:ascii="宋体" w:hAnsi="宋体" w:eastAsia="宋体" w:cs="宋体"/>
                <w:sz w:val="24"/>
                <w:szCs w:val="24"/>
              </w:rPr>
              <w:t>时间为准。</w:t>
            </w:r>
          </w:p>
        </w:tc>
        <w:tc>
          <w:tcPr>
            <w:tcW w:w="816" w:type="dxa"/>
            <w:noWrap w:val="0"/>
            <w:vAlign w:val="center"/>
          </w:tcPr>
          <w:p w14:paraId="5F176CCA">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15</w:t>
            </w:r>
          </w:p>
        </w:tc>
      </w:tr>
      <w:tr w14:paraId="13E43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10" w:type="dxa"/>
            <w:vMerge w:val="restart"/>
            <w:noWrap w:val="0"/>
            <w:vAlign w:val="center"/>
          </w:tcPr>
          <w:p w14:paraId="67695B46">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6</w:t>
            </w:r>
          </w:p>
        </w:tc>
        <w:tc>
          <w:tcPr>
            <w:tcW w:w="1454" w:type="dxa"/>
            <w:vMerge w:val="restart"/>
            <w:noWrap w:val="0"/>
            <w:vAlign w:val="center"/>
          </w:tcPr>
          <w:p w14:paraId="1E119B65">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sz w:val="24"/>
                <w:szCs w:val="24"/>
              </w:rPr>
            </w:pPr>
            <w:r>
              <w:rPr>
                <w:rFonts w:hint="eastAsia" w:ascii="宋体" w:hAnsi="宋体" w:cs="宋体"/>
                <w:sz w:val="24"/>
                <w:szCs w:val="24"/>
                <w:lang w:val="en-US" w:eastAsia="zh-CN"/>
              </w:rPr>
              <w:t>服务团队</w:t>
            </w:r>
          </w:p>
        </w:tc>
        <w:tc>
          <w:tcPr>
            <w:tcW w:w="6625" w:type="dxa"/>
            <w:noWrap w:val="0"/>
            <w:vAlign w:val="center"/>
          </w:tcPr>
          <w:p w14:paraId="0AFBBCBF">
            <w:pPr>
              <w:keepNext w:val="0"/>
              <w:keepLines w:val="0"/>
              <w:pageBreakBefore w:val="0"/>
              <w:widowControl/>
              <w:kinsoku/>
              <w:wordWrap/>
              <w:overflowPunct/>
              <w:topLinePunct w:val="0"/>
              <w:autoSpaceDE/>
              <w:autoSpaceDN/>
              <w:bidi w:val="0"/>
              <w:adjustRightInd/>
              <w:snapToGrid w:val="0"/>
              <w:spacing w:line="360" w:lineRule="auto"/>
              <w:ind w:firstLine="0" w:firstLineChars="0"/>
              <w:textAlignment w:val="auto"/>
              <w:rPr>
                <w:rFonts w:hint="eastAsia" w:ascii="宋体" w:hAnsi="宋体" w:cs="宋体"/>
                <w:sz w:val="24"/>
                <w:szCs w:val="24"/>
                <w:lang w:val="en-US" w:eastAsia="zh-CN"/>
              </w:rPr>
            </w:pPr>
            <w:r>
              <w:rPr>
                <w:rFonts w:hint="eastAsia" w:ascii="宋体" w:hAnsi="宋体" w:cs="宋体"/>
                <w:sz w:val="24"/>
                <w:szCs w:val="24"/>
                <w:lang w:val="en-US" w:eastAsia="zh-CN"/>
              </w:rPr>
              <w:t>1.招标代理服务</w:t>
            </w:r>
            <w:r>
              <w:rPr>
                <w:rFonts w:hint="eastAsia" w:ascii="宋体" w:hAnsi="宋体" w:eastAsia="宋体" w:cs="宋体"/>
                <w:sz w:val="24"/>
                <w:szCs w:val="24"/>
              </w:rPr>
              <w:t>机构</w:t>
            </w:r>
            <w:r>
              <w:rPr>
                <w:rFonts w:hint="eastAsia" w:ascii="宋体" w:hAnsi="宋体" w:cs="宋体"/>
                <w:sz w:val="24"/>
                <w:szCs w:val="24"/>
                <w:lang w:val="en-US" w:eastAsia="zh-CN"/>
              </w:rPr>
              <w:t>应具有履行合同所需的专业技术能力，比选单位的专职从业人员参加2025年省级（含）以上政府采购主管部门或者省级（含）以上政府采购（招投标）行业协会培训并经考核取得从业人员培训合格证书的，每人得3分，最高15分。</w:t>
            </w:r>
          </w:p>
          <w:p w14:paraId="468B1698">
            <w:pPr>
              <w:keepNext w:val="0"/>
              <w:keepLines w:val="0"/>
              <w:pageBreakBefore w:val="0"/>
              <w:widowControl/>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kern w:val="2"/>
                <w:sz w:val="24"/>
                <w:szCs w:val="24"/>
                <w:lang w:val="en-US" w:eastAsia="zh-CN" w:bidi="ar-SA"/>
              </w:rPr>
            </w:pPr>
            <w:r>
              <w:rPr>
                <w:rFonts w:hint="eastAsia" w:ascii="宋体" w:hAnsi="宋体" w:cs="宋体"/>
                <w:sz w:val="24"/>
                <w:szCs w:val="24"/>
                <w:lang w:val="en-US" w:eastAsia="zh-CN"/>
              </w:rPr>
              <w:t>注：提供相关人员的培训合格证书、2025年6月1日至今任意3个月在本单位缴纳的社保证明等证书复印件。</w:t>
            </w:r>
          </w:p>
        </w:tc>
        <w:tc>
          <w:tcPr>
            <w:tcW w:w="816" w:type="dxa"/>
            <w:noWrap w:val="0"/>
            <w:vAlign w:val="center"/>
          </w:tcPr>
          <w:p w14:paraId="633C0DD5">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15</w:t>
            </w:r>
          </w:p>
        </w:tc>
      </w:tr>
      <w:tr w14:paraId="1C0A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10" w:type="dxa"/>
            <w:vMerge w:val="continue"/>
            <w:noWrap w:val="0"/>
            <w:vAlign w:val="center"/>
          </w:tcPr>
          <w:p w14:paraId="18DC70FF">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sz w:val="24"/>
                <w:szCs w:val="24"/>
                <w:lang w:val="en-US" w:eastAsia="zh-CN"/>
              </w:rPr>
            </w:pPr>
          </w:p>
        </w:tc>
        <w:tc>
          <w:tcPr>
            <w:tcW w:w="1454" w:type="dxa"/>
            <w:vMerge w:val="continue"/>
            <w:noWrap w:val="0"/>
            <w:vAlign w:val="center"/>
          </w:tcPr>
          <w:p w14:paraId="6628E760">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cs="宋体"/>
                <w:sz w:val="24"/>
                <w:szCs w:val="24"/>
                <w:lang w:val="en-US" w:eastAsia="zh-CN"/>
              </w:rPr>
            </w:pPr>
          </w:p>
        </w:tc>
        <w:tc>
          <w:tcPr>
            <w:tcW w:w="6625" w:type="dxa"/>
            <w:noWrap w:val="0"/>
            <w:vAlign w:val="center"/>
          </w:tcPr>
          <w:p w14:paraId="7651535F">
            <w:pPr>
              <w:keepNext w:val="0"/>
              <w:keepLines w:val="0"/>
              <w:pageBreakBefore w:val="0"/>
              <w:widowControl/>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2</w:t>
            </w:r>
            <w:r>
              <w:rPr>
                <w:rFonts w:hint="eastAsia" w:ascii="宋体" w:hAnsi="宋体" w:eastAsia="宋体" w:cs="宋体"/>
                <w:kern w:val="2"/>
                <w:sz w:val="24"/>
                <w:szCs w:val="24"/>
                <w:lang w:val="en-US" w:eastAsia="zh-CN" w:bidi="ar-SA"/>
              </w:rPr>
              <w:t>.职称或执业资格证书：招标采购代理服务机构拟派项目负责人具有中级以上职称或二级注册建造师执业资格的得5分，本项满分</w:t>
            </w:r>
            <w:r>
              <w:rPr>
                <w:rFonts w:hint="eastAsia" w:ascii="宋体" w:hAnsi="宋体" w:cs="宋体"/>
                <w:kern w:val="2"/>
                <w:sz w:val="24"/>
                <w:szCs w:val="24"/>
                <w:lang w:val="en-US" w:eastAsia="zh-CN" w:bidi="ar-SA"/>
              </w:rPr>
              <w:t>5</w:t>
            </w:r>
            <w:r>
              <w:rPr>
                <w:rFonts w:hint="eastAsia" w:ascii="宋体" w:hAnsi="宋体" w:eastAsia="宋体" w:cs="宋体"/>
                <w:kern w:val="2"/>
                <w:sz w:val="24"/>
                <w:szCs w:val="24"/>
                <w:lang w:val="en-US" w:eastAsia="zh-CN" w:bidi="ar-SA"/>
              </w:rPr>
              <w:t>分。</w:t>
            </w:r>
          </w:p>
        </w:tc>
        <w:tc>
          <w:tcPr>
            <w:tcW w:w="816" w:type="dxa"/>
            <w:noWrap w:val="0"/>
            <w:vAlign w:val="center"/>
          </w:tcPr>
          <w:p w14:paraId="0D8A8B5C">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5</w:t>
            </w:r>
          </w:p>
        </w:tc>
      </w:tr>
      <w:tr w14:paraId="692F2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10" w:type="dxa"/>
            <w:noWrap w:val="0"/>
            <w:vAlign w:val="center"/>
          </w:tcPr>
          <w:p w14:paraId="340D7CDD">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7</w:t>
            </w:r>
          </w:p>
        </w:tc>
        <w:tc>
          <w:tcPr>
            <w:tcW w:w="1454" w:type="dxa"/>
            <w:noWrap w:val="0"/>
            <w:vAlign w:val="center"/>
          </w:tcPr>
          <w:p w14:paraId="5ECD61C2">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价格分</w:t>
            </w:r>
          </w:p>
        </w:tc>
        <w:tc>
          <w:tcPr>
            <w:tcW w:w="6625" w:type="dxa"/>
            <w:noWrap w:val="0"/>
            <w:vAlign w:val="center"/>
          </w:tcPr>
          <w:p w14:paraId="3C67AAEC">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招标代理服务机构以业主单位规定的招标代理服务费作为基准价，在基准价的基础上，根据自身情况投报合适的招标代理服务费折扣率。</w:t>
            </w:r>
          </w:p>
          <w:p w14:paraId="558C6714">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为避免比选单位恶意低价竞争，降低服务质量，招标代理服务费折扣率不得低于</w:t>
            </w:r>
            <w:r>
              <w:rPr>
                <w:rFonts w:hint="eastAsia" w:ascii="宋体" w:hAnsi="宋体" w:cs="宋体"/>
                <w:sz w:val="24"/>
                <w:szCs w:val="24"/>
                <w:lang w:val="en-US" w:eastAsia="zh-CN"/>
              </w:rPr>
              <w:t>7</w:t>
            </w:r>
            <w:r>
              <w:rPr>
                <w:rFonts w:hint="eastAsia" w:ascii="宋体" w:hAnsi="宋体" w:eastAsia="宋体" w:cs="宋体"/>
                <w:sz w:val="24"/>
                <w:szCs w:val="24"/>
              </w:rPr>
              <w:t>折（在</w:t>
            </w:r>
            <w:r>
              <w:rPr>
                <w:rFonts w:hint="eastAsia" w:ascii="宋体" w:hAnsi="宋体" w:cs="宋体"/>
                <w:sz w:val="24"/>
                <w:szCs w:val="24"/>
                <w:lang w:val="en-US" w:eastAsia="zh-CN"/>
              </w:rPr>
              <w:t>70</w:t>
            </w:r>
            <w:r>
              <w:rPr>
                <w:rFonts w:hint="eastAsia" w:ascii="宋体" w:hAnsi="宋体" w:eastAsia="宋体" w:cs="宋体"/>
                <w:sz w:val="24"/>
                <w:szCs w:val="24"/>
              </w:rPr>
              <w:t>%~100%之间报价），按百分比报出（如8折，则填报80%），折扣率最大的报价（即百分比数最小）为报价得分评审基准价，得满分10分，其他单位报价得分按照下列公式计算：报价得分=（评审基准价/比选单位报价）*10%*100，折扣率超出有效范围的，按无效报价处理，本项不得分。</w:t>
            </w:r>
          </w:p>
        </w:tc>
        <w:tc>
          <w:tcPr>
            <w:tcW w:w="816" w:type="dxa"/>
            <w:noWrap w:val="0"/>
            <w:vAlign w:val="center"/>
          </w:tcPr>
          <w:p w14:paraId="02E2C9E0">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r>
      <w:tr w14:paraId="5557B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10" w:type="dxa"/>
            <w:noWrap w:val="0"/>
            <w:vAlign w:val="center"/>
          </w:tcPr>
          <w:p w14:paraId="11662A9A">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8</w:t>
            </w:r>
          </w:p>
        </w:tc>
        <w:tc>
          <w:tcPr>
            <w:tcW w:w="1454" w:type="dxa"/>
            <w:noWrap w:val="0"/>
            <w:vAlign w:val="center"/>
          </w:tcPr>
          <w:p w14:paraId="2B18D5F7">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 xml:space="preserve"> 合计</w:t>
            </w:r>
          </w:p>
        </w:tc>
        <w:tc>
          <w:tcPr>
            <w:tcW w:w="6625" w:type="dxa"/>
            <w:noWrap w:val="0"/>
            <w:vAlign w:val="center"/>
          </w:tcPr>
          <w:p w14:paraId="00E81C23">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sz w:val="24"/>
                <w:szCs w:val="24"/>
              </w:rPr>
            </w:pPr>
          </w:p>
        </w:tc>
        <w:tc>
          <w:tcPr>
            <w:tcW w:w="816" w:type="dxa"/>
            <w:noWrap w:val="0"/>
            <w:vAlign w:val="top"/>
          </w:tcPr>
          <w:p w14:paraId="0957DD02">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100</w:t>
            </w:r>
          </w:p>
        </w:tc>
      </w:tr>
    </w:tbl>
    <w:p w14:paraId="30A92196">
      <w:pPr>
        <w:ind w:left="0" w:leftChars="0" w:firstLine="0" w:firstLineChars="0"/>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jMGUwMzE0Y2QyOWMwNGUwZTBiOGZiMTIzNDIzN2IifQ=="/>
  </w:docVars>
  <w:rsids>
    <w:rsidRoot w:val="3E7E17EF"/>
    <w:rsid w:val="01511834"/>
    <w:rsid w:val="01803FF7"/>
    <w:rsid w:val="02333AD4"/>
    <w:rsid w:val="02DE5ECF"/>
    <w:rsid w:val="037106DD"/>
    <w:rsid w:val="047E2892"/>
    <w:rsid w:val="04962A41"/>
    <w:rsid w:val="05A7680E"/>
    <w:rsid w:val="06182AB5"/>
    <w:rsid w:val="061C15F5"/>
    <w:rsid w:val="062D35D9"/>
    <w:rsid w:val="06D8779C"/>
    <w:rsid w:val="08FE787B"/>
    <w:rsid w:val="091C6A51"/>
    <w:rsid w:val="09842FC9"/>
    <w:rsid w:val="0998414F"/>
    <w:rsid w:val="09F91437"/>
    <w:rsid w:val="0A496B8C"/>
    <w:rsid w:val="0B8302FF"/>
    <w:rsid w:val="0B992037"/>
    <w:rsid w:val="0BF51052"/>
    <w:rsid w:val="0C39035F"/>
    <w:rsid w:val="0C846EC7"/>
    <w:rsid w:val="0C8737C0"/>
    <w:rsid w:val="0D29243C"/>
    <w:rsid w:val="0D6924F1"/>
    <w:rsid w:val="0D965783"/>
    <w:rsid w:val="0EB465BD"/>
    <w:rsid w:val="0F0F5869"/>
    <w:rsid w:val="0F5E666E"/>
    <w:rsid w:val="0FF55EE0"/>
    <w:rsid w:val="10046849"/>
    <w:rsid w:val="10956208"/>
    <w:rsid w:val="10984374"/>
    <w:rsid w:val="10A33BC6"/>
    <w:rsid w:val="116411FB"/>
    <w:rsid w:val="141E52C9"/>
    <w:rsid w:val="153B33D4"/>
    <w:rsid w:val="155A769A"/>
    <w:rsid w:val="15AF5BD9"/>
    <w:rsid w:val="15C36208"/>
    <w:rsid w:val="17920AD7"/>
    <w:rsid w:val="17A937E7"/>
    <w:rsid w:val="18701553"/>
    <w:rsid w:val="18900277"/>
    <w:rsid w:val="196F7279"/>
    <w:rsid w:val="197D4607"/>
    <w:rsid w:val="1982266D"/>
    <w:rsid w:val="198C1B4A"/>
    <w:rsid w:val="1A0F68CF"/>
    <w:rsid w:val="1AE91ABD"/>
    <w:rsid w:val="1AEF3E96"/>
    <w:rsid w:val="1B5D46CC"/>
    <w:rsid w:val="1B7F653A"/>
    <w:rsid w:val="1BAD02DB"/>
    <w:rsid w:val="1C525167"/>
    <w:rsid w:val="1D520C7E"/>
    <w:rsid w:val="1D786EC9"/>
    <w:rsid w:val="1ECD748C"/>
    <w:rsid w:val="1F21644C"/>
    <w:rsid w:val="1F7E03C6"/>
    <w:rsid w:val="201557E0"/>
    <w:rsid w:val="2026241D"/>
    <w:rsid w:val="219F145C"/>
    <w:rsid w:val="23066585"/>
    <w:rsid w:val="2311107B"/>
    <w:rsid w:val="23320451"/>
    <w:rsid w:val="24356D58"/>
    <w:rsid w:val="24E4412A"/>
    <w:rsid w:val="25ED1E01"/>
    <w:rsid w:val="26292A05"/>
    <w:rsid w:val="262F275F"/>
    <w:rsid w:val="2862347E"/>
    <w:rsid w:val="288954EB"/>
    <w:rsid w:val="293843DA"/>
    <w:rsid w:val="29522DDE"/>
    <w:rsid w:val="29794C39"/>
    <w:rsid w:val="29957903"/>
    <w:rsid w:val="29CF6CD0"/>
    <w:rsid w:val="2A117722"/>
    <w:rsid w:val="2A4D70F2"/>
    <w:rsid w:val="2A6B02A8"/>
    <w:rsid w:val="2A98565A"/>
    <w:rsid w:val="2AC068F5"/>
    <w:rsid w:val="2AD42F29"/>
    <w:rsid w:val="2AE571F8"/>
    <w:rsid w:val="2C0A6943"/>
    <w:rsid w:val="2C491DF6"/>
    <w:rsid w:val="2C7A3C4B"/>
    <w:rsid w:val="2D5C58BF"/>
    <w:rsid w:val="2DE21F25"/>
    <w:rsid w:val="2EC128B8"/>
    <w:rsid w:val="2F2D786E"/>
    <w:rsid w:val="2F6A2294"/>
    <w:rsid w:val="2F9970E8"/>
    <w:rsid w:val="2FE738B1"/>
    <w:rsid w:val="308F7090"/>
    <w:rsid w:val="329C14E1"/>
    <w:rsid w:val="32FA4D55"/>
    <w:rsid w:val="33340775"/>
    <w:rsid w:val="33370B5F"/>
    <w:rsid w:val="34D52F84"/>
    <w:rsid w:val="34E333F9"/>
    <w:rsid w:val="34E8505A"/>
    <w:rsid w:val="36136C8E"/>
    <w:rsid w:val="36405F65"/>
    <w:rsid w:val="36D100FB"/>
    <w:rsid w:val="37147113"/>
    <w:rsid w:val="3731662B"/>
    <w:rsid w:val="37A93215"/>
    <w:rsid w:val="387202B9"/>
    <w:rsid w:val="38C418B9"/>
    <w:rsid w:val="39496A9B"/>
    <w:rsid w:val="397053C6"/>
    <w:rsid w:val="399C0EB4"/>
    <w:rsid w:val="3A3122B1"/>
    <w:rsid w:val="3A3D0A0B"/>
    <w:rsid w:val="3A8079C2"/>
    <w:rsid w:val="3AA13BBA"/>
    <w:rsid w:val="3C6F136A"/>
    <w:rsid w:val="3D122796"/>
    <w:rsid w:val="3E1D4AE5"/>
    <w:rsid w:val="3E7E17EF"/>
    <w:rsid w:val="3F125FDD"/>
    <w:rsid w:val="3F6022D1"/>
    <w:rsid w:val="3F6C3909"/>
    <w:rsid w:val="3F7140F5"/>
    <w:rsid w:val="3FC45529"/>
    <w:rsid w:val="400A3D9B"/>
    <w:rsid w:val="401223A7"/>
    <w:rsid w:val="40332C4B"/>
    <w:rsid w:val="40446CD7"/>
    <w:rsid w:val="40781974"/>
    <w:rsid w:val="417B430D"/>
    <w:rsid w:val="41BA7924"/>
    <w:rsid w:val="41D92F99"/>
    <w:rsid w:val="427745EA"/>
    <w:rsid w:val="42EA4DAD"/>
    <w:rsid w:val="43A0005B"/>
    <w:rsid w:val="440A71BD"/>
    <w:rsid w:val="44A169E9"/>
    <w:rsid w:val="44BE6891"/>
    <w:rsid w:val="45175D8C"/>
    <w:rsid w:val="45A71217"/>
    <w:rsid w:val="468D1081"/>
    <w:rsid w:val="47060B1D"/>
    <w:rsid w:val="480C2D39"/>
    <w:rsid w:val="48612F46"/>
    <w:rsid w:val="48C614C9"/>
    <w:rsid w:val="48D06054"/>
    <w:rsid w:val="496B1061"/>
    <w:rsid w:val="497C6E74"/>
    <w:rsid w:val="4ADB7F59"/>
    <w:rsid w:val="4B2007D0"/>
    <w:rsid w:val="4B9051BD"/>
    <w:rsid w:val="4C1B5FEF"/>
    <w:rsid w:val="4C9C44CC"/>
    <w:rsid w:val="4CC42076"/>
    <w:rsid w:val="4CFB3BA2"/>
    <w:rsid w:val="4D772069"/>
    <w:rsid w:val="4DC00778"/>
    <w:rsid w:val="4EAC1FAA"/>
    <w:rsid w:val="506156DC"/>
    <w:rsid w:val="50E53983"/>
    <w:rsid w:val="51D26EE6"/>
    <w:rsid w:val="51D657F6"/>
    <w:rsid w:val="525E4232"/>
    <w:rsid w:val="52A61F3E"/>
    <w:rsid w:val="52C82B51"/>
    <w:rsid w:val="52E57838"/>
    <w:rsid w:val="52E90BEB"/>
    <w:rsid w:val="52F52D08"/>
    <w:rsid w:val="53D578AD"/>
    <w:rsid w:val="54DE0134"/>
    <w:rsid w:val="54E61733"/>
    <w:rsid w:val="55462C45"/>
    <w:rsid w:val="563E71A2"/>
    <w:rsid w:val="565945CF"/>
    <w:rsid w:val="56C36078"/>
    <w:rsid w:val="572B0E10"/>
    <w:rsid w:val="581C19EE"/>
    <w:rsid w:val="58295A29"/>
    <w:rsid w:val="58A03E85"/>
    <w:rsid w:val="59BC5EE9"/>
    <w:rsid w:val="59DC5F2A"/>
    <w:rsid w:val="5A3C756A"/>
    <w:rsid w:val="5C3E6808"/>
    <w:rsid w:val="5C6434EE"/>
    <w:rsid w:val="5CB07A69"/>
    <w:rsid w:val="5D7720E6"/>
    <w:rsid w:val="5D7D209C"/>
    <w:rsid w:val="5E074DAC"/>
    <w:rsid w:val="5F1A7CED"/>
    <w:rsid w:val="5F2122DC"/>
    <w:rsid w:val="5F4B0263"/>
    <w:rsid w:val="600F05EB"/>
    <w:rsid w:val="60496B0F"/>
    <w:rsid w:val="60640FCF"/>
    <w:rsid w:val="60A709FB"/>
    <w:rsid w:val="60F041D8"/>
    <w:rsid w:val="615A7899"/>
    <w:rsid w:val="61624523"/>
    <w:rsid w:val="617431FC"/>
    <w:rsid w:val="61E5574C"/>
    <w:rsid w:val="62287BB2"/>
    <w:rsid w:val="6238581B"/>
    <w:rsid w:val="62F81166"/>
    <w:rsid w:val="63622617"/>
    <w:rsid w:val="639B44E3"/>
    <w:rsid w:val="64683099"/>
    <w:rsid w:val="64924DA2"/>
    <w:rsid w:val="649873F6"/>
    <w:rsid w:val="64B05E3C"/>
    <w:rsid w:val="64F32725"/>
    <w:rsid w:val="64F763D8"/>
    <w:rsid w:val="651A0CEC"/>
    <w:rsid w:val="65246465"/>
    <w:rsid w:val="653C4183"/>
    <w:rsid w:val="662C13E1"/>
    <w:rsid w:val="664664BF"/>
    <w:rsid w:val="66510223"/>
    <w:rsid w:val="66CD08B8"/>
    <w:rsid w:val="67044DCA"/>
    <w:rsid w:val="68722C49"/>
    <w:rsid w:val="688E5BB0"/>
    <w:rsid w:val="69A9724E"/>
    <w:rsid w:val="69C868AE"/>
    <w:rsid w:val="6A176822"/>
    <w:rsid w:val="6AA63883"/>
    <w:rsid w:val="6B307995"/>
    <w:rsid w:val="6BF86F94"/>
    <w:rsid w:val="6C0109E0"/>
    <w:rsid w:val="6C626CCF"/>
    <w:rsid w:val="6C827D2C"/>
    <w:rsid w:val="6D8C3BAB"/>
    <w:rsid w:val="6DEE483F"/>
    <w:rsid w:val="6EE64D98"/>
    <w:rsid w:val="6EF205E1"/>
    <w:rsid w:val="6FF04591"/>
    <w:rsid w:val="6FFB00A4"/>
    <w:rsid w:val="709541F4"/>
    <w:rsid w:val="70CE2C2B"/>
    <w:rsid w:val="70F13F1A"/>
    <w:rsid w:val="713B6A5C"/>
    <w:rsid w:val="718B7563"/>
    <w:rsid w:val="71A91880"/>
    <w:rsid w:val="72680876"/>
    <w:rsid w:val="727160F0"/>
    <w:rsid w:val="729D38E1"/>
    <w:rsid w:val="72D97732"/>
    <w:rsid w:val="73BF5775"/>
    <w:rsid w:val="74404DBF"/>
    <w:rsid w:val="751B7763"/>
    <w:rsid w:val="764068E8"/>
    <w:rsid w:val="7662726E"/>
    <w:rsid w:val="76B803DA"/>
    <w:rsid w:val="773523FC"/>
    <w:rsid w:val="777341E2"/>
    <w:rsid w:val="78A1552C"/>
    <w:rsid w:val="78B9153C"/>
    <w:rsid w:val="78D5780A"/>
    <w:rsid w:val="78DD1BD9"/>
    <w:rsid w:val="793211F1"/>
    <w:rsid w:val="797145B9"/>
    <w:rsid w:val="798D02AE"/>
    <w:rsid w:val="79C36C95"/>
    <w:rsid w:val="79D00993"/>
    <w:rsid w:val="79F75A3F"/>
    <w:rsid w:val="7A92553F"/>
    <w:rsid w:val="7A964E23"/>
    <w:rsid w:val="7AFD2699"/>
    <w:rsid w:val="7B1320CD"/>
    <w:rsid w:val="7B272889"/>
    <w:rsid w:val="7B6E1668"/>
    <w:rsid w:val="7C463211"/>
    <w:rsid w:val="7CA60FAD"/>
    <w:rsid w:val="7CCD11BA"/>
    <w:rsid w:val="7D4C20DE"/>
    <w:rsid w:val="7D5724CF"/>
    <w:rsid w:val="7D8C7689"/>
    <w:rsid w:val="7DCF3C0C"/>
    <w:rsid w:val="7E410319"/>
    <w:rsid w:val="7FCD0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7"/>
    <w:pPr>
      <w:widowControl w:val="0"/>
      <w:spacing w:line="360" w:lineRule="auto"/>
      <w:ind w:firstLine="960" w:firstLineChars="200"/>
      <w:jc w:val="both"/>
    </w:pPr>
    <w:rPr>
      <w:rFonts w:ascii="Times New Roman" w:hAnsi="Times New Roman" w:eastAsia="宋体" w:cs="Times New Roman"/>
      <w:kern w:val="2"/>
      <w:sz w:val="28"/>
      <w:szCs w:val="24"/>
      <w:lang w:val="en-US" w:eastAsia="zh-CN" w:bidi="ar-SA"/>
    </w:rPr>
  </w:style>
  <w:style w:type="paragraph" w:styleId="3">
    <w:name w:val="heading 1"/>
    <w:basedOn w:val="1"/>
    <w:next w:val="1"/>
    <w:link w:val="25"/>
    <w:qFormat/>
    <w:uiPriority w:val="0"/>
    <w:pPr>
      <w:keepNext/>
      <w:keepLines/>
      <w:spacing w:before="340" w:beforeLines="0" w:beforeAutospacing="0" w:after="330" w:afterLines="0" w:afterAutospacing="0" w:line="576" w:lineRule="auto"/>
      <w:ind w:firstLine="641"/>
      <w:outlineLvl w:val="0"/>
    </w:pPr>
    <w:rPr>
      <w:rFonts w:ascii="Times New Roman" w:hAnsi="Times New Roman" w:eastAsia="宋体" w:cs="Times New Roman"/>
      <w:b/>
      <w:kern w:val="44"/>
      <w:sz w:val="44"/>
    </w:rPr>
  </w:style>
  <w:style w:type="paragraph" w:styleId="2">
    <w:name w:val="heading 2"/>
    <w:basedOn w:val="1"/>
    <w:next w:val="1"/>
    <w:link w:val="24"/>
    <w:semiHidden/>
    <w:unhideWhenUsed/>
    <w:qFormat/>
    <w:uiPriority w:val="0"/>
    <w:pPr>
      <w:keepNext/>
      <w:keepLines/>
      <w:spacing w:before="260" w:after="220" w:line="420" w:lineRule="auto"/>
      <w:ind w:firstLine="0"/>
      <w:jc w:val="left"/>
      <w:outlineLvl w:val="1"/>
    </w:pPr>
    <w:rPr>
      <w:rFonts w:ascii="Arial" w:hAnsi="Arial" w:eastAsia="宋体" w:cs="Times New Roman"/>
      <w:b/>
      <w:bCs/>
      <w:sz w:val="36"/>
      <w:szCs w:val="32"/>
    </w:rPr>
  </w:style>
  <w:style w:type="paragraph" w:styleId="4">
    <w:name w:val="heading 3"/>
    <w:basedOn w:val="1"/>
    <w:next w:val="1"/>
    <w:link w:val="27"/>
    <w:semiHidden/>
    <w:unhideWhenUsed/>
    <w:qFormat/>
    <w:uiPriority w:val="0"/>
    <w:pPr>
      <w:keepNext/>
      <w:keepLines/>
      <w:spacing w:before="260" w:beforeLines="0" w:beforeAutospacing="0" w:after="220" w:afterLines="0" w:afterAutospacing="0" w:line="420" w:lineRule="auto"/>
      <w:ind w:firstLine="560" w:firstLineChars="200"/>
      <w:jc w:val="center"/>
      <w:outlineLvl w:val="2"/>
    </w:pPr>
    <w:rPr>
      <w:rFonts w:ascii="Calibri" w:hAnsi="Calibri" w:eastAsia="宋体" w:cs="Calibri"/>
      <w:b/>
      <w:sz w:val="30"/>
    </w:rPr>
  </w:style>
  <w:style w:type="paragraph" w:styleId="5">
    <w:name w:val="heading 4"/>
    <w:basedOn w:val="1"/>
    <w:next w:val="1"/>
    <w:link w:val="29"/>
    <w:semiHidden/>
    <w:unhideWhenUsed/>
    <w:qFormat/>
    <w:uiPriority w:val="0"/>
    <w:pPr>
      <w:keepNext/>
      <w:keepLines/>
      <w:spacing w:before="200" w:beforeLines="0" w:beforeAutospacing="0" w:after="220" w:afterLines="0" w:afterAutospacing="0" w:line="413" w:lineRule="auto"/>
      <w:ind w:firstLine="641"/>
      <w:outlineLvl w:val="3"/>
    </w:pPr>
    <w:rPr>
      <w:rFonts w:ascii="Arial" w:hAnsi="Arial" w:eastAsia="宋体" w:cs="Times New Roman"/>
      <w:b/>
      <w:sz w:val="30"/>
    </w:rPr>
  </w:style>
  <w:style w:type="paragraph" w:styleId="6">
    <w:name w:val="heading 5"/>
    <w:basedOn w:val="1"/>
    <w:next w:val="1"/>
    <w:semiHidden/>
    <w:unhideWhenUsed/>
    <w:qFormat/>
    <w:uiPriority w:val="0"/>
    <w:pPr>
      <w:keepNext/>
      <w:keepLines/>
      <w:spacing w:before="60" w:beforeLines="0" w:beforeAutospacing="0" w:after="100" w:afterLines="0" w:afterAutospacing="0" w:line="360" w:lineRule="auto"/>
      <w:outlineLvl w:val="4"/>
    </w:pPr>
    <w:rPr>
      <w:b/>
      <w:sz w:val="28"/>
    </w:rPr>
  </w:style>
  <w:style w:type="paragraph" w:styleId="7">
    <w:name w:val="heading 6"/>
    <w:basedOn w:val="1"/>
    <w:next w:val="1"/>
    <w:link w:val="26"/>
    <w:semiHidden/>
    <w:unhideWhenUsed/>
    <w:qFormat/>
    <w:uiPriority w:val="0"/>
    <w:pPr>
      <w:keepNext/>
      <w:keepLines/>
      <w:spacing w:before="100" w:beforeLines="0" w:beforeAutospacing="0" w:after="120" w:afterLines="0" w:afterAutospacing="0" w:line="444" w:lineRule="auto"/>
      <w:ind w:firstLine="641"/>
      <w:outlineLvl w:val="5"/>
    </w:pPr>
    <w:rPr>
      <w:rFonts w:ascii="Arial" w:hAnsi="Arial" w:eastAsia="宋体" w:cs="Times New Roman"/>
      <w:b/>
      <w:sz w:val="28"/>
    </w:rPr>
  </w:style>
  <w:style w:type="paragraph" w:styleId="8">
    <w:name w:val="heading 7"/>
    <w:basedOn w:val="1"/>
    <w:next w:val="1"/>
    <w:semiHidden/>
    <w:unhideWhenUsed/>
    <w:qFormat/>
    <w:uiPriority w:val="0"/>
    <w:pPr>
      <w:keepNext/>
      <w:keepLines/>
      <w:spacing w:before="240" w:beforeLines="0" w:beforeAutospacing="0" w:after="64" w:afterLines="0" w:afterAutospacing="0" w:line="317" w:lineRule="auto"/>
      <w:outlineLvl w:val="6"/>
    </w:pPr>
    <w:rPr>
      <w:rFonts w:ascii="Times New Roman" w:hAnsi="Times New Roman" w:eastAsia="宋体" w:cs="Times New Roman"/>
      <w:b/>
      <w:sz w:val="28"/>
    </w:rPr>
  </w:style>
  <w:style w:type="paragraph" w:styleId="9">
    <w:name w:val="heading 8"/>
    <w:basedOn w:val="1"/>
    <w:next w:val="1"/>
    <w:semiHidden/>
    <w:unhideWhenUsed/>
    <w:qFormat/>
    <w:uiPriority w:val="0"/>
    <w:pPr>
      <w:keepNext/>
      <w:keepLines/>
      <w:spacing w:beforeLines="0" w:beforeAutospacing="0" w:afterLines="0" w:afterAutospacing="0" w:line="360" w:lineRule="auto"/>
      <w:outlineLvl w:val="7"/>
    </w:pPr>
    <w:rPr>
      <w:rFonts w:ascii="Arial" w:hAnsi="Arial"/>
      <w:b/>
      <w:sz w:val="24"/>
    </w:rPr>
  </w:style>
  <w:style w:type="paragraph" w:styleId="10">
    <w:name w:val="heading 9"/>
    <w:basedOn w:val="1"/>
    <w:next w:val="1"/>
    <w:semiHidden/>
    <w:unhideWhenUsed/>
    <w:qFormat/>
    <w:uiPriority w:val="0"/>
    <w:pPr>
      <w:keepNext/>
      <w:keepLines/>
      <w:spacing w:before="100" w:beforeLines="0" w:beforeAutospacing="0" w:after="120" w:afterLines="0" w:afterAutospacing="0" w:line="360" w:lineRule="auto"/>
      <w:outlineLvl w:val="8"/>
    </w:pPr>
    <w:rPr>
      <w:rFonts w:ascii="Arial" w:hAnsi="Arial" w:eastAsia="宋体" w:cs="Times New Roman"/>
      <w:sz w:val="28"/>
    </w:rPr>
  </w:style>
  <w:style w:type="character" w:default="1" w:styleId="17">
    <w:name w:val="Default Paragraph Font"/>
    <w:link w:val="18"/>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11">
    <w:name w:val="Normal Indent"/>
    <w:basedOn w:val="1"/>
    <w:next w:val="1"/>
    <w:qFormat/>
    <w:uiPriority w:val="0"/>
    <w:pPr>
      <w:spacing w:before="60" w:after="40" w:line="480" w:lineRule="auto"/>
      <w:ind w:firstLine="420"/>
    </w:pPr>
    <w:rPr>
      <w:rFonts w:ascii="Calibri" w:hAnsi="Calibri"/>
      <w:sz w:val="28"/>
      <w:szCs w:val="20"/>
    </w:rPr>
  </w:style>
  <w:style w:type="paragraph" w:styleId="12">
    <w:name w:val="Body Text"/>
    <w:basedOn w:val="1"/>
    <w:qFormat/>
    <w:uiPriority w:val="0"/>
    <w:pPr>
      <w:spacing w:before="60" w:after="40" w:line="444" w:lineRule="auto"/>
      <w:ind w:firstLine="880" w:firstLineChars="200"/>
      <w:jc w:val="left"/>
    </w:pPr>
    <w:rPr>
      <w:rFonts w:ascii="Times New Roman" w:hAnsi="Times New Roman" w:eastAsia="宋体" w:cs="Times New Roman"/>
      <w:sz w:val="28"/>
    </w:rPr>
  </w:style>
  <w:style w:type="paragraph" w:styleId="13">
    <w:name w:val="Body Text Indent"/>
    <w:basedOn w:val="1"/>
    <w:qFormat/>
    <w:uiPriority w:val="0"/>
    <w:pPr>
      <w:spacing w:after="120" w:afterLines="0" w:afterAutospacing="0"/>
      <w:ind w:left="420" w:leftChars="200"/>
    </w:pPr>
  </w:style>
  <w:style w:type="paragraph" w:styleId="14">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15">
    <w:name w:val="Body Text First Indent 2"/>
    <w:basedOn w:val="13"/>
    <w:qFormat/>
    <w:uiPriority w:val="0"/>
    <w:pPr>
      <w:ind w:firstLine="420" w:firstLineChars="200"/>
    </w:pPr>
  </w:style>
  <w:style w:type="paragraph" w:customStyle="1" w:styleId="18">
    <w:name w:val="默认段落字体 Para Char Char Char Char Char Char Char11112"/>
    <w:basedOn w:val="1"/>
    <w:link w:val="17"/>
    <w:qFormat/>
    <w:uiPriority w:val="0"/>
    <w:pPr>
      <w:tabs>
        <w:tab w:val="left" w:pos="4665"/>
        <w:tab w:val="left" w:pos="8970"/>
      </w:tabs>
      <w:ind w:firstLine="400"/>
    </w:pPr>
    <w:rPr>
      <w:sz w:val="24"/>
      <w:szCs w:val="20"/>
    </w:rPr>
  </w:style>
  <w:style w:type="paragraph" w:customStyle="1" w:styleId="19">
    <w:name w:val="默认段落字体 Para Char Char Char Char Char Char Char1111"/>
    <w:basedOn w:val="1"/>
    <w:link w:val="17"/>
    <w:qFormat/>
    <w:uiPriority w:val="0"/>
    <w:pPr>
      <w:tabs>
        <w:tab w:val="left" w:pos="4665"/>
        <w:tab w:val="left" w:pos="8970"/>
      </w:tabs>
      <w:ind w:firstLine="400"/>
    </w:pPr>
    <w:rPr>
      <w:sz w:val="24"/>
      <w:szCs w:val="20"/>
    </w:rPr>
  </w:style>
  <w:style w:type="paragraph" w:customStyle="1" w:styleId="20">
    <w:name w:val="默认段落字体 Para Char Char Char Char Char Char Char111"/>
    <w:basedOn w:val="1"/>
    <w:link w:val="17"/>
    <w:qFormat/>
    <w:uiPriority w:val="0"/>
    <w:pPr>
      <w:tabs>
        <w:tab w:val="left" w:pos="4665"/>
        <w:tab w:val="left" w:pos="8970"/>
      </w:tabs>
      <w:ind w:firstLine="400"/>
    </w:pPr>
    <w:rPr>
      <w:sz w:val="24"/>
      <w:szCs w:val="20"/>
    </w:rPr>
  </w:style>
  <w:style w:type="paragraph" w:customStyle="1" w:styleId="21">
    <w:name w:val="默认段落字体 Para Char Char Char Char Char Char Char11"/>
    <w:basedOn w:val="1"/>
    <w:link w:val="17"/>
    <w:qFormat/>
    <w:uiPriority w:val="0"/>
    <w:pPr>
      <w:tabs>
        <w:tab w:val="left" w:pos="4665"/>
        <w:tab w:val="left" w:pos="8970"/>
      </w:tabs>
      <w:ind w:firstLine="400"/>
    </w:pPr>
    <w:rPr>
      <w:sz w:val="24"/>
      <w:szCs w:val="20"/>
    </w:rPr>
  </w:style>
  <w:style w:type="paragraph" w:customStyle="1" w:styleId="22">
    <w:name w:val="默认段落字体 Para Char Char Char Char Char Char Char111111"/>
    <w:basedOn w:val="1"/>
    <w:link w:val="17"/>
    <w:qFormat/>
    <w:uiPriority w:val="0"/>
    <w:pPr>
      <w:tabs>
        <w:tab w:val="left" w:pos="4665"/>
        <w:tab w:val="left" w:pos="8970"/>
      </w:tabs>
      <w:ind w:firstLine="400"/>
    </w:pPr>
    <w:rPr>
      <w:sz w:val="24"/>
      <w:szCs w:val="20"/>
    </w:rPr>
  </w:style>
  <w:style w:type="paragraph" w:customStyle="1" w:styleId="23">
    <w:name w:val="默认段落字体 Para Char Char Char Char Char Char Char11111"/>
    <w:basedOn w:val="1"/>
    <w:link w:val="17"/>
    <w:qFormat/>
    <w:uiPriority w:val="0"/>
    <w:pPr>
      <w:tabs>
        <w:tab w:val="left" w:pos="4665"/>
        <w:tab w:val="left" w:pos="8970"/>
      </w:tabs>
      <w:ind w:firstLine="400"/>
    </w:pPr>
    <w:rPr>
      <w:sz w:val="24"/>
      <w:szCs w:val="20"/>
    </w:rPr>
  </w:style>
  <w:style w:type="character" w:customStyle="1" w:styleId="24">
    <w:name w:val="标题 2 Char"/>
    <w:link w:val="2"/>
    <w:qFormat/>
    <w:uiPriority w:val="9"/>
    <w:rPr>
      <w:rFonts w:ascii="Arial" w:hAnsi="Arial" w:eastAsia="宋体" w:cs="Times New Roman"/>
      <w:b/>
      <w:kern w:val="0"/>
      <w:sz w:val="32"/>
    </w:rPr>
  </w:style>
  <w:style w:type="character" w:customStyle="1" w:styleId="25">
    <w:name w:val="标题 1 Char"/>
    <w:link w:val="3"/>
    <w:qFormat/>
    <w:uiPriority w:val="0"/>
    <w:rPr>
      <w:rFonts w:ascii="Times New Roman" w:hAnsi="Times New Roman" w:eastAsia="宋体" w:cs="Times New Roman"/>
      <w:b/>
      <w:kern w:val="44"/>
      <w:sz w:val="36"/>
    </w:rPr>
  </w:style>
  <w:style w:type="character" w:customStyle="1" w:styleId="26">
    <w:name w:val="标题 6 Char"/>
    <w:link w:val="7"/>
    <w:qFormat/>
    <w:uiPriority w:val="0"/>
    <w:rPr>
      <w:rFonts w:ascii="Arial" w:hAnsi="Arial" w:eastAsia="宋体" w:cs="Times New Roman"/>
      <w:b/>
      <w:sz w:val="28"/>
    </w:rPr>
  </w:style>
  <w:style w:type="character" w:customStyle="1" w:styleId="27">
    <w:name w:val="标题 3 Char"/>
    <w:link w:val="4"/>
    <w:qFormat/>
    <w:uiPriority w:val="0"/>
    <w:rPr>
      <w:rFonts w:ascii="Calibri" w:hAnsi="Calibri" w:eastAsia="宋体" w:cs="Calibri"/>
      <w:b/>
      <w:sz w:val="30"/>
    </w:rPr>
  </w:style>
  <w:style w:type="paragraph" w:customStyle="1" w:styleId="28">
    <w:name w:val="正文（首行缩进2字符）"/>
    <w:basedOn w:val="1"/>
    <w:qFormat/>
    <w:uiPriority w:val="0"/>
    <w:pPr>
      <w:ind w:firstLine="440"/>
    </w:pPr>
    <w:rPr>
      <w:rFonts w:ascii="宋体" w:hAnsi="宋体"/>
      <w:kern w:val="0"/>
      <w:sz w:val="22"/>
    </w:rPr>
  </w:style>
  <w:style w:type="character" w:customStyle="1" w:styleId="29">
    <w:name w:val="标题 4 Char"/>
    <w:link w:val="5"/>
    <w:qFormat/>
    <w:uiPriority w:val="0"/>
    <w:rPr>
      <w:rFonts w:ascii="Arial" w:hAnsi="Arial" w:eastAsia="宋体" w:cs="Times New Roman"/>
      <w:b/>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1262</Words>
  <Characters>1333</Characters>
  <Lines>0</Lines>
  <Paragraphs>0</Paragraphs>
  <TotalTime>27</TotalTime>
  <ScaleCrop>false</ScaleCrop>
  <LinksUpToDate>false</LinksUpToDate>
  <CharactersWithSpaces>1335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2023-07-10T08:08:00Z</dcterms:created>
  <dc:creator>宋剑英</dc:creator>
  <cp:lastModifiedBy>Administrator</cp:lastModifiedBy>
  <dcterms:modified xsi:type="dcterms:W3CDTF">2026-08-12T03:50:27Z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D3A4CD6C8A5847D3B3F7424421FB9987_13</vt:lpwstr>
  </property>
  <property fmtid="{D5CDD505-2E9C-101B-9397-08002B2CF9AE}" pid="4" name="KSOTemplateDocerSaveRecord">
    <vt:lpwstr>eyJoZGlkIjoiOTMwMTAyNDQyM2JhN2Q0ZTUzYjJkNmVhNDUzYjRmMzAifQ==</vt:lpwstr>
  </property>
</Properties>
</file>