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stheme="minorBidi"/>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theme="minorBidi"/>
          <w:color w:val="000000" w:themeColor="text1"/>
          <w:kern w:val="2"/>
          <w:sz w:val="21"/>
          <w:szCs w:val="24"/>
          <w:highlight w:val="none"/>
          <w:lang w:val="en-US" w:eastAsia="zh-CN" w:bidi="ar-SA"/>
          <w14:textFill>
            <w14:solidFill>
              <w14:schemeClr w14:val="tx1"/>
            </w14:solidFill>
          </w14:textFill>
        </w:rPr>
        <w:t xml:space="preserve"> </w:t>
      </w:r>
    </w:p>
    <w:p>
      <w:pPr>
        <w:snapToGrid w:val="0"/>
        <w:jc w:val="center"/>
        <w:rPr>
          <w:rFonts w:hint="eastAsia" w:ascii="宋体" w:hAnsi="宋体" w:eastAsia="宋体" w:cstheme="minorBidi"/>
          <w:color w:val="000000" w:themeColor="text1"/>
          <w:kern w:val="2"/>
          <w:sz w:val="21"/>
          <w:szCs w:val="24"/>
          <w:highlight w:val="none"/>
          <w:lang w:val="en-US" w:eastAsia="zh-CN" w:bidi="ar-SA"/>
          <w14:textFill>
            <w14:solidFill>
              <w14:schemeClr w14:val="tx1"/>
            </w14:solidFill>
          </w14:textFill>
        </w:rPr>
      </w:pPr>
    </w:p>
    <w:p>
      <w:pPr>
        <w:snapToGrid w:val="0"/>
        <w:jc w:val="center"/>
        <w:rPr>
          <w:rFonts w:hint="eastAsia" w:ascii="方正小标宋简体" w:hAnsi="方正小标宋简体" w:eastAsia="方正小标宋简体" w:cs="方正小标宋简体"/>
          <w:bCs/>
          <w:color w:val="000000" w:themeColor="text1"/>
          <w:spacing w:val="-11"/>
          <w:sz w:val="44"/>
          <w:szCs w:val="44"/>
          <w:highlight w:val="none"/>
          <w14:textFill>
            <w14:solidFill>
              <w14:schemeClr w14:val="tx1"/>
            </w14:solidFill>
          </w14:textFill>
        </w:rPr>
      </w:pPr>
      <w:bookmarkStart w:id="0" w:name="_Toc27366"/>
    </w:p>
    <w:p>
      <w:pPr>
        <w:snapToGrid w:val="0"/>
        <w:jc w:val="center"/>
        <w:rPr>
          <w:rFonts w:hint="eastAsia" w:ascii="方正小标宋简体" w:hAnsi="方正小标宋简体" w:eastAsia="方正小标宋简体" w:cs="方正小标宋简体"/>
          <w:bCs/>
          <w:color w:val="000000" w:themeColor="text1"/>
          <w:spacing w:val="-11"/>
          <w:sz w:val="44"/>
          <w:szCs w:val="44"/>
          <w:highlight w:val="none"/>
          <w14:textFill>
            <w14:solidFill>
              <w14:schemeClr w14:val="tx1"/>
            </w14:solidFill>
          </w14:textFill>
        </w:rPr>
      </w:pPr>
    </w:p>
    <w:p>
      <w:pPr>
        <w:pStyle w:val="2"/>
        <w:rPr>
          <w:rFonts w:hint="eastAsia"/>
          <w:highlight w:val="none"/>
        </w:rPr>
      </w:pPr>
    </w:p>
    <w:p>
      <w:pPr>
        <w:snapToGrid w:val="0"/>
        <w:jc w:val="center"/>
        <w:rPr>
          <w:rFonts w:hint="eastAsia" w:ascii="方正小标宋简体" w:hAnsi="方正小标宋简体" w:eastAsia="方正小标宋简体" w:cs="方正小标宋简体"/>
          <w:bCs/>
          <w:color w:val="000000" w:themeColor="text1"/>
          <w:spacing w:val="0"/>
          <w:sz w:val="44"/>
          <w:szCs w:val="44"/>
          <w:highlight w:val="none"/>
          <w14:textFill>
            <w14:solidFill>
              <w14:schemeClr w14:val="tx1"/>
            </w14:solidFill>
          </w14:textFill>
        </w:rPr>
      </w:pPr>
    </w:p>
    <w:p>
      <w:pPr>
        <w:snapToGrid w:val="0"/>
        <w:jc w:val="center"/>
        <w:rPr>
          <w:rFonts w:hint="eastAsia" w:ascii="方正小标宋简体" w:hAnsi="方正小标宋简体" w:eastAsia="方正小标宋简体" w:cs="方正小标宋简体"/>
          <w:bCs/>
          <w:color w:val="000000" w:themeColor="text1"/>
          <w:spacing w:val="0"/>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pacing w:val="0"/>
          <w:sz w:val="44"/>
          <w:szCs w:val="44"/>
          <w:highlight w:val="none"/>
          <w14:textFill>
            <w14:solidFill>
              <w14:schemeClr w14:val="tx1"/>
            </w14:solidFill>
          </w14:textFill>
        </w:rPr>
        <w:t>琼海市“十四五”卫生健康发展规</w:t>
      </w:r>
      <w:r>
        <w:rPr>
          <w:rFonts w:hint="eastAsia" w:ascii="方正小标宋简体" w:hAnsi="方正小标宋简体" w:eastAsia="方正小标宋简体" w:cs="方正小标宋简体"/>
          <w:bCs/>
          <w:color w:val="000000" w:themeColor="text1"/>
          <w:spacing w:val="0"/>
          <w:sz w:val="44"/>
          <w:szCs w:val="44"/>
          <w:highlight w:val="none"/>
          <w:lang w:val="en-US" w:eastAsia="zh-CN"/>
          <w14:textFill>
            <w14:solidFill>
              <w14:schemeClr w14:val="tx1"/>
            </w14:solidFill>
          </w14:textFill>
        </w:rPr>
        <w:t>划</w:t>
      </w:r>
    </w:p>
    <w:p>
      <w:pPr>
        <w:snapToGrid w:val="0"/>
        <w:spacing w:line="360" w:lineRule="auto"/>
        <w:rPr>
          <w:rFonts w:ascii="仿宋_GB2312" w:eastAsia="仿宋_GB2312"/>
          <w:color w:val="000000" w:themeColor="text1"/>
          <w:sz w:val="32"/>
          <w:szCs w:val="32"/>
          <w:highlight w:val="none"/>
          <w14:textFill>
            <w14:solidFill>
              <w14:schemeClr w14:val="tx1"/>
            </w14:solidFill>
          </w14:textFill>
        </w:rPr>
      </w:pPr>
    </w:p>
    <w:p>
      <w:pPr>
        <w:snapToGrid w:val="0"/>
        <w:spacing w:line="360" w:lineRule="auto"/>
        <w:rPr>
          <w:rFonts w:ascii="仿宋_GB2312" w:eastAsia="仿宋_GB2312"/>
          <w:color w:val="000000" w:themeColor="text1"/>
          <w:sz w:val="32"/>
          <w:szCs w:val="32"/>
          <w:highlight w:val="none"/>
          <w14:textFill>
            <w14:solidFill>
              <w14:schemeClr w14:val="tx1"/>
            </w14:solidFill>
          </w14:textFill>
        </w:rPr>
      </w:pPr>
    </w:p>
    <w:p>
      <w:pPr>
        <w:snapToGrid w:val="0"/>
        <w:spacing w:line="360" w:lineRule="auto"/>
        <w:rPr>
          <w:rFonts w:ascii="仿宋_GB2312" w:eastAsia="仿宋_GB2312"/>
          <w:color w:val="000000" w:themeColor="text1"/>
          <w:sz w:val="32"/>
          <w:szCs w:val="32"/>
          <w:highlight w:val="none"/>
          <w14:textFill>
            <w14:solidFill>
              <w14:schemeClr w14:val="tx1"/>
            </w14:solidFill>
          </w14:textFill>
        </w:rPr>
      </w:pPr>
    </w:p>
    <w:p>
      <w:pPr>
        <w:snapToGrid w:val="0"/>
        <w:spacing w:line="360" w:lineRule="auto"/>
        <w:rPr>
          <w:rFonts w:ascii="仿宋_GB2312" w:eastAsia="仿宋_GB2312"/>
          <w:color w:val="000000" w:themeColor="text1"/>
          <w:sz w:val="32"/>
          <w:szCs w:val="32"/>
          <w:highlight w:val="none"/>
          <w14:textFill>
            <w14:solidFill>
              <w14:schemeClr w14:val="tx1"/>
            </w14:solidFill>
          </w14:textFill>
        </w:rPr>
      </w:pPr>
    </w:p>
    <w:p>
      <w:pPr>
        <w:pStyle w:val="2"/>
        <w:rPr>
          <w:rFonts w:ascii="仿宋_GB2312" w:eastAsia="仿宋_GB2312"/>
          <w:color w:val="000000" w:themeColor="text1"/>
          <w:sz w:val="32"/>
          <w:szCs w:val="32"/>
          <w:highlight w:val="none"/>
          <w14:textFill>
            <w14:solidFill>
              <w14:schemeClr w14:val="tx1"/>
            </w14:solidFill>
          </w14:textFill>
        </w:rPr>
      </w:pPr>
    </w:p>
    <w:p>
      <w:pPr>
        <w:pStyle w:val="2"/>
        <w:rPr>
          <w:rFonts w:ascii="仿宋_GB2312" w:eastAsia="仿宋_GB2312"/>
          <w:color w:val="000000" w:themeColor="text1"/>
          <w:sz w:val="32"/>
          <w:szCs w:val="32"/>
          <w:highlight w:val="none"/>
          <w14:textFill>
            <w14:solidFill>
              <w14:schemeClr w14:val="tx1"/>
            </w14:solidFill>
          </w14:textFill>
        </w:rPr>
      </w:pPr>
    </w:p>
    <w:p>
      <w:pPr>
        <w:pStyle w:val="2"/>
        <w:rPr>
          <w:highlight w:val="none"/>
        </w:rPr>
      </w:pPr>
    </w:p>
    <w:p>
      <w:pPr>
        <w:rPr>
          <w:rFonts w:ascii="仿宋_GB2312" w:eastAsia="仿宋_GB2312"/>
          <w:color w:val="000000" w:themeColor="text1"/>
          <w:sz w:val="32"/>
          <w:szCs w:val="32"/>
          <w:highlight w:val="none"/>
          <w14:textFill>
            <w14:solidFill>
              <w14:schemeClr w14:val="tx1"/>
            </w14:solidFill>
          </w14:textFill>
        </w:rPr>
      </w:pPr>
    </w:p>
    <w:p>
      <w:pPr>
        <w:pStyle w:val="2"/>
        <w:rPr>
          <w:rFonts w:ascii="仿宋_GB2312" w:eastAsia="仿宋_GB2312"/>
          <w:color w:val="000000" w:themeColor="text1"/>
          <w:sz w:val="32"/>
          <w:szCs w:val="32"/>
          <w:highlight w:val="none"/>
          <w14:textFill>
            <w14:solidFill>
              <w14:schemeClr w14:val="tx1"/>
            </w14:solidFill>
          </w14:textFill>
        </w:rPr>
      </w:pPr>
    </w:p>
    <w:p>
      <w:pPr>
        <w:pStyle w:val="4"/>
        <w:outlineLvl w:val="9"/>
        <w:rPr>
          <w:color w:val="000000" w:themeColor="text1"/>
          <w:highlight w:val="none"/>
          <w14:textFill>
            <w14:solidFill>
              <w14:schemeClr w14:val="tx1"/>
            </w14:solidFill>
          </w14:textFill>
        </w:rPr>
      </w:pPr>
    </w:p>
    <w:p/>
    <w:p>
      <w:pPr>
        <w:snapToGrid w:val="0"/>
        <w:spacing w:line="360" w:lineRule="auto"/>
        <w:jc w:val="center"/>
        <w:rPr>
          <w:rFonts w:hint="eastAsia" w:ascii="仿宋_GB2312" w:eastAsia="楷体"/>
          <w:b/>
          <w:color w:val="000000" w:themeColor="text1"/>
          <w:sz w:val="32"/>
          <w:szCs w:val="32"/>
          <w:highlight w:val="none"/>
          <w:lang w:eastAsia="zh-CN"/>
          <w14:textFill>
            <w14:solidFill>
              <w14:schemeClr w14:val="tx1"/>
            </w14:solidFill>
          </w14:textFill>
        </w:rPr>
      </w:pPr>
      <w:r>
        <w:rPr>
          <w:rFonts w:hint="eastAsia" w:ascii="仿宋_GB2312" w:eastAsia="楷体"/>
          <w:b/>
          <w:color w:val="000000" w:themeColor="text1"/>
          <w:sz w:val="32"/>
          <w:szCs w:val="32"/>
          <w:highlight w:val="none"/>
          <w:lang w:val="en-US" w:eastAsia="zh-CN"/>
          <w14:textFill>
            <w14:solidFill>
              <w14:schemeClr w14:val="tx1"/>
            </w14:solidFill>
          </w14:textFill>
        </w:rPr>
        <w:t>琼海市</w:t>
      </w:r>
      <w:r>
        <w:rPr>
          <w:rFonts w:hint="eastAsia" w:ascii="仿宋_GB2312" w:eastAsia="楷体"/>
          <w:b/>
          <w:color w:val="000000" w:themeColor="text1"/>
          <w:sz w:val="32"/>
          <w:szCs w:val="32"/>
          <w:highlight w:val="none"/>
          <w:lang w:eastAsia="zh-CN"/>
          <w14:textFill>
            <w14:solidFill>
              <w14:schemeClr w14:val="tx1"/>
            </w14:solidFill>
          </w14:textFill>
        </w:rPr>
        <w:t>卫生健康委员会</w:t>
      </w:r>
    </w:p>
    <w:p>
      <w:pPr>
        <w:snapToGrid w:val="0"/>
        <w:spacing w:line="360" w:lineRule="auto"/>
        <w:jc w:val="center"/>
        <w:rPr>
          <w:rFonts w:hint="eastAsia" w:ascii="仿宋_GB2312" w:hAnsi="仿宋_GB2312" w:eastAsia="楷体" w:cs="仿宋_GB2312"/>
          <w:b/>
          <w:color w:val="000000" w:themeColor="text1"/>
          <w:sz w:val="36"/>
          <w:szCs w:val="36"/>
          <w:highlight w:val="none"/>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黑体" w:eastAsia="楷体" w:cs="黑体"/>
          <w:b/>
          <w:color w:val="000000" w:themeColor="text1"/>
          <w:sz w:val="36"/>
          <w:szCs w:val="36"/>
          <w:highlight w:val="none"/>
          <w14:textFill>
            <w14:solidFill>
              <w14:schemeClr w14:val="tx1"/>
            </w14:solidFill>
          </w14:textFill>
        </w:rPr>
        <w:t>202</w:t>
      </w:r>
      <w:r>
        <w:rPr>
          <w:rFonts w:hint="eastAsia" w:ascii="仿宋_GB2312" w:hAnsi="黑体" w:eastAsia="楷体" w:cs="黑体"/>
          <w:b/>
          <w:color w:val="000000" w:themeColor="text1"/>
          <w:sz w:val="36"/>
          <w:szCs w:val="36"/>
          <w:highlight w:val="none"/>
          <w:lang w:val="en-US" w:eastAsia="zh-CN"/>
          <w14:textFill>
            <w14:solidFill>
              <w14:schemeClr w14:val="tx1"/>
            </w14:solidFill>
          </w14:textFill>
        </w:rPr>
        <w:t>3</w:t>
      </w:r>
      <w:r>
        <w:rPr>
          <w:rFonts w:hint="eastAsia" w:ascii="仿宋_GB2312" w:hAnsi="仿宋_GB2312" w:eastAsia="楷体" w:cs="仿宋_GB2312"/>
          <w:b/>
          <w:color w:val="000000" w:themeColor="text1"/>
          <w:sz w:val="36"/>
          <w:szCs w:val="36"/>
          <w:highlight w:val="none"/>
          <w14:textFill>
            <w14:solidFill>
              <w14:schemeClr w14:val="tx1"/>
            </w14:solidFill>
          </w14:textFill>
        </w:rPr>
        <w:t>年</w:t>
      </w:r>
      <w:r>
        <w:rPr>
          <w:rFonts w:hint="eastAsia" w:ascii="仿宋_GB2312" w:hAnsi="仿宋_GB2312" w:eastAsia="楷体" w:cs="仿宋_GB2312"/>
          <w:b/>
          <w:color w:val="000000" w:themeColor="text1"/>
          <w:sz w:val="36"/>
          <w:szCs w:val="36"/>
          <w:highlight w:val="none"/>
          <w:lang w:val="en-US" w:eastAsia="zh-CN"/>
          <w14:textFill>
            <w14:solidFill>
              <w14:schemeClr w14:val="tx1"/>
            </w14:solidFill>
          </w14:textFill>
        </w:rPr>
        <w:t>1</w:t>
      </w:r>
      <w:r>
        <w:rPr>
          <w:rFonts w:hint="eastAsia" w:ascii="仿宋_GB2312" w:hAnsi="仿宋_GB2312" w:eastAsia="楷体" w:cs="仿宋_GB2312"/>
          <w:b/>
          <w:color w:val="000000" w:themeColor="text1"/>
          <w:sz w:val="36"/>
          <w:szCs w:val="36"/>
          <w:highlight w:val="none"/>
          <w14:textFill>
            <w14:solidFill>
              <w14:schemeClr w14:val="tx1"/>
            </w14:solidFill>
          </w14:textFill>
        </w:rPr>
        <w:t>月</w:t>
      </w:r>
    </w:p>
    <w:bookmarkEnd w:id="0"/>
    <w:p>
      <w:pPr>
        <w:spacing w:before="157" w:beforeLines="50" w:after="157" w:afterLines="50" w:line="240" w:lineRule="auto"/>
        <w:ind w:left="0" w:leftChars="0" w:right="0" w:rightChars="0" w:firstLine="0" w:firstLineChars="0"/>
        <w:jc w:val="center"/>
        <w:rPr>
          <w:rFonts w:hint="eastAsia" w:ascii="黑体" w:hAnsi="黑体" w:eastAsia="黑体" w:cs="黑体"/>
          <w:color w:val="000000" w:themeColor="text1"/>
          <w:sz w:val="24"/>
          <w:highlight w:val="none"/>
          <w:lang w:val="en-US" w:eastAsia="zh-CN"/>
          <w14:textFill>
            <w14:solidFill>
              <w14:schemeClr w14:val="tx1"/>
            </w14:solidFill>
          </w14:textFill>
        </w:rPr>
      </w:pPr>
    </w:p>
    <w:p>
      <w:pPr>
        <w:spacing w:before="157" w:beforeLines="50" w:after="157" w:afterLines="50" w:line="240" w:lineRule="auto"/>
        <w:ind w:left="0" w:leftChars="0" w:right="0" w:rightChars="0" w:firstLine="0" w:firstLineChars="0"/>
        <w:jc w:val="center"/>
        <w:rPr>
          <w:sz w:val="32"/>
          <w:szCs w:val="32"/>
          <w:highlight w:val="none"/>
        </w:rPr>
      </w:pPr>
      <w:r>
        <w:rPr>
          <w:rFonts w:ascii="宋体" w:hAnsi="宋体" w:eastAsia="宋体"/>
          <w:b/>
          <w:bCs/>
          <w:color w:val="000000" w:themeColor="text1"/>
          <w:sz w:val="32"/>
          <w:szCs w:val="32"/>
          <w:highlight w:val="none"/>
          <w14:textFill>
            <w14:solidFill>
              <w14:schemeClr w14:val="tx1"/>
            </w14:solidFill>
          </w14:textFill>
        </w:rPr>
        <w:t>目</w:t>
      </w:r>
      <w:r>
        <w:rPr>
          <w:rFonts w:hint="eastAsia" w:ascii="宋体" w:hAnsi="宋体" w:eastAsia="宋体"/>
          <w:b/>
          <w:bCs/>
          <w:color w:val="000000" w:themeColor="text1"/>
          <w:sz w:val="32"/>
          <w:szCs w:val="32"/>
          <w:highlight w:val="none"/>
          <w:lang w:val="en-US" w:eastAsia="zh-CN"/>
          <w14:textFill>
            <w14:solidFill>
              <w14:schemeClr w14:val="tx1"/>
            </w14:solidFill>
          </w14:textFill>
        </w:rPr>
        <w:t xml:space="preserve">   </w:t>
      </w:r>
      <w:r>
        <w:rPr>
          <w:rFonts w:ascii="宋体" w:hAnsi="宋体" w:eastAsia="宋体"/>
          <w:b/>
          <w:bCs/>
          <w:color w:val="000000" w:themeColor="text1"/>
          <w:sz w:val="32"/>
          <w:szCs w:val="32"/>
          <w:highlight w:val="none"/>
          <w14:textFill>
            <w14:solidFill>
              <w14:schemeClr w14:val="tx1"/>
            </w14:solidFill>
          </w14:textFill>
        </w:rPr>
        <w:t>录</w:t>
      </w:r>
    </w:p>
    <w:sdt>
      <w:sdtPr>
        <w:rPr>
          <w:rFonts w:hint="eastAsia" w:ascii="黑体" w:hAnsi="黑体" w:eastAsia="黑体" w:cs="黑体"/>
          <w:color w:val="000000" w:themeColor="text1"/>
          <w:sz w:val="24"/>
          <w:highlight w:val="none"/>
          <w:lang w:val="en-US" w:eastAsia="zh-CN"/>
          <w14:textFill>
            <w14:solidFill>
              <w14:schemeClr w14:val="tx1"/>
            </w14:solidFill>
          </w14:textFill>
        </w:rPr>
        <w:id w:val="147473724"/>
        <w15:color w:val="DBDBDB"/>
        <w:docPartObj>
          <w:docPartGallery w:val="Table of Contents"/>
          <w:docPartUnique/>
        </w:docPartObj>
      </w:sdtPr>
      <w:sdtEndP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sdtEndPr>
      <w:sdtContent>
        <w:p>
          <w:pPr>
            <w:spacing w:before="157" w:beforeLines="50" w:after="157" w:afterLines="50" w:line="240" w:lineRule="auto"/>
            <w:ind w:left="0" w:leftChars="0" w:right="0" w:rightChars="0" w:firstLine="0" w:firstLineChars="0"/>
            <w:jc w:val="center"/>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fldChar w:fldCharType="begin"/>
          </w: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instrText xml:space="preserve">TOC \o "1-2" \h \u </w:instrText>
          </w: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fldChar w:fldCharType="separate"/>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_Toc26465 </w:instrText>
          </w:r>
          <w:r>
            <w:rPr>
              <w:rFonts w:hint="eastAsia" w:ascii="仿宋_GB2312" w:hAnsi="仿宋_GB2312" w:eastAsia="仿宋_GB2312" w:cs="仿宋_GB2312"/>
              <w:bCs/>
              <w:sz w:val="28"/>
              <w:szCs w:val="28"/>
              <w:highlight w:val="none"/>
              <w:lang w:val="en-US" w:eastAsia="zh-CN"/>
            </w:rPr>
            <w:fldChar w:fldCharType="separate"/>
          </w:r>
          <w:r>
            <w:rPr>
              <w:rFonts w:hint="eastAsia" w:ascii="黑体" w:hAnsi="黑体" w:eastAsia="黑体" w:cs="黑体"/>
              <w:sz w:val="28"/>
              <w:szCs w:val="28"/>
              <w:highlight w:val="none"/>
              <w:lang w:val="en-US" w:eastAsia="zh-CN"/>
            </w:rPr>
            <w:t>前   言</w:t>
          </w:r>
          <w:r>
            <w:rPr>
              <w:sz w:val="28"/>
              <w:szCs w:val="28"/>
            </w:rPr>
            <w:tab/>
          </w:r>
          <w:r>
            <w:rPr>
              <w:sz w:val="28"/>
              <w:szCs w:val="28"/>
            </w:rPr>
            <w:fldChar w:fldCharType="begin"/>
          </w:r>
          <w:r>
            <w:rPr>
              <w:sz w:val="28"/>
              <w:szCs w:val="28"/>
            </w:rPr>
            <w:instrText xml:space="preserve"> PAGEREF _Toc26465 \h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_Toc18191 </w:instrText>
          </w:r>
          <w:r>
            <w:rPr>
              <w:rFonts w:hint="eastAsia" w:ascii="仿宋_GB2312" w:hAnsi="仿宋_GB2312" w:eastAsia="仿宋_GB2312" w:cs="仿宋_GB2312"/>
              <w:bCs/>
              <w:sz w:val="28"/>
              <w:szCs w:val="28"/>
              <w:highlight w:val="none"/>
              <w:lang w:val="en-US" w:eastAsia="zh-CN"/>
            </w:rPr>
            <w:fldChar w:fldCharType="separate"/>
          </w:r>
          <w:r>
            <w:rPr>
              <w:rFonts w:hint="eastAsia" w:ascii="黑体" w:hAnsi="黑体" w:eastAsia="黑体" w:cs="黑体"/>
              <w:sz w:val="28"/>
              <w:szCs w:val="28"/>
              <w:highlight w:val="none"/>
              <w:lang w:val="en-US" w:eastAsia="zh-CN"/>
            </w:rPr>
            <w:t>一、规划背景</w:t>
          </w:r>
          <w:r>
            <w:rPr>
              <w:sz w:val="28"/>
              <w:szCs w:val="28"/>
            </w:rPr>
            <w:tab/>
          </w:r>
          <w:r>
            <w:rPr>
              <w:sz w:val="28"/>
              <w:szCs w:val="28"/>
            </w:rPr>
            <w:fldChar w:fldCharType="begin"/>
          </w:r>
          <w:r>
            <w:rPr>
              <w:sz w:val="28"/>
              <w:szCs w:val="28"/>
            </w:rPr>
            <w:instrText xml:space="preserve"> PAGEREF _Toc18191 \h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_Toc6601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（一）“十三五”时期主要成就</w:t>
          </w:r>
          <w:r>
            <w:rPr>
              <w:sz w:val="28"/>
              <w:szCs w:val="28"/>
            </w:rPr>
            <w:tab/>
          </w:r>
          <w:r>
            <w:rPr>
              <w:sz w:val="28"/>
              <w:szCs w:val="28"/>
            </w:rPr>
            <w:fldChar w:fldCharType="begin"/>
          </w:r>
          <w:r>
            <w:rPr>
              <w:sz w:val="28"/>
              <w:szCs w:val="28"/>
            </w:rPr>
            <w:instrText xml:space="preserve"> PAGEREF _Toc6601 \h </w:instrText>
          </w:r>
          <w:r>
            <w:rPr>
              <w:sz w:val="28"/>
              <w:szCs w:val="28"/>
            </w:rPr>
            <w:fldChar w:fldCharType="separate"/>
          </w:r>
          <w:r>
            <w:rPr>
              <w:sz w:val="28"/>
              <w:szCs w:val="28"/>
            </w:rPr>
            <w:t>1</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_Toc6266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（二）“十四五”时期面临形势</w:t>
          </w:r>
          <w:r>
            <w:rPr>
              <w:sz w:val="28"/>
              <w:szCs w:val="28"/>
            </w:rPr>
            <w:tab/>
          </w:r>
          <w:r>
            <w:rPr>
              <w:sz w:val="28"/>
              <w:szCs w:val="28"/>
            </w:rPr>
            <w:fldChar w:fldCharType="begin"/>
          </w:r>
          <w:r>
            <w:rPr>
              <w:sz w:val="28"/>
              <w:szCs w:val="28"/>
            </w:rPr>
            <w:instrText xml:space="preserve"> PAGEREF _Toc6266 \h </w:instrText>
          </w:r>
          <w:r>
            <w:rPr>
              <w:sz w:val="28"/>
              <w:szCs w:val="28"/>
            </w:rPr>
            <w:fldChar w:fldCharType="separate"/>
          </w:r>
          <w:r>
            <w:rPr>
              <w:sz w:val="28"/>
              <w:szCs w:val="28"/>
            </w:rPr>
            <w:t>4</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_Toc4921 </w:instrText>
          </w:r>
          <w:r>
            <w:rPr>
              <w:rFonts w:hint="eastAsia" w:ascii="仿宋_GB2312" w:hAnsi="仿宋_GB2312" w:eastAsia="仿宋_GB2312" w:cs="仿宋_GB2312"/>
              <w:bCs/>
              <w:sz w:val="28"/>
              <w:szCs w:val="28"/>
              <w:highlight w:val="none"/>
              <w:lang w:val="en-US" w:eastAsia="zh-CN"/>
            </w:rPr>
            <w:fldChar w:fldCharType="separate"/>
          </w:r>
          <w:r>
            <w:rPr>
              <w:rFonts w:hint="eastAsia" w:ascii="黑体" w:hAnsi="黑体" w:eastAsia="黑体" w:cs="黑体"/>
              <w:sz w:val="28"/>
              <w:szCs w:val="28"/>
              <w:highlight w:val="none"/>
              <w:lang w:val="en-US" w:eastAsia="zh-CN"/>
            </w:rPr>
            <w:t>二、总体要求</w:t>
          </w:r>
          <w:r>
            <w:rPr>
              <w:sz w:val="28"/>
              <w:szCs w:val="28"/>
            </w:rPr>
            <w:tab/>
          </w:r>
          <w:r>
            <w:rPr>
              <w:sz w:val="28"/>
              <w:szCs w:val="28"/>
            </w:rPr>
            <w:fldChar w:fldCharType="begin"/>
          </w:r>
          <w:r>
            <w:rPr>
              <w:sz w:val="28"/>
              <w:szCs w:val="28"/>
            </w:rPr>
            <w:instrText xml:space="preserve"> PAGEREF _Toc4921 \h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_Toc27709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（一）指导思想</w:t>
          </w:r>
          <w:r>
            <w:rPr>
              <w:sz w:val="28"/>
              <w:szCs w:val="28"/>
            </w:rPr>
            <w:tab/>
          </w:r>
          <w:r>
            <w:rPr>
              <w:sz w:val="28"/>
              <w:szCs w:val="28"/>
            </w:rPr>
            <w:fldChar w:fldCharType="begin"/>
          </w:r>
          <w:r>
            <w:rPr>
              <w:sz w:val="28"/>
              <w:szCs w:val="28"/>
            </w:rPr>
            <w:instrText xml:space="preserve"> PAGEREF _Toc27709 \h </w:instrText>
          </w:r>
          <w:r>
            <w:rPr>
              <w:sz w:val="28"/>
              <w:szCs w:val="28"/>
            </w:rPr>
            <w:fldChar w:fldCharType="separate"/>
          </w:r>
          <w:r>
            <w:rPr>
              <w:sz w:val="28"/>
              <w:szCs w:val="28"/>
            </w:rPr>
            <w:t>6</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_Toc15454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（二）基本原则</w:t>
          </w:r>
          <w:r>
            <w:rPr>
              <w:sz w:val="28"/>
              <w:szCs w:val="28"/>
            </w:rPr>
            <w:tab/>
          </w:r>
          <w:r>
            <w:rPr>
              <w:sz w:val="28"/>
              <w:szCs w:val="28"/>
            </w:rPr>
            <w:fldChar w:fldCharType="begin"/>
          </w:r>
          <w:r>
            <w:rPr>
              <w:sz w:val="28"/>
              <w:szCs w:val="28"/>
            </w:rPr>
            <w:instrText xml:space="preserve"> PAGEREF _Toc15454 \h </w:instrText>
          </w:r>
          <w:r>
            <w:rPr>
              <w:sz w:val="28"/>
              <w:szCs w:val="28"/>
            </w:rPr>
            <w:fldChar w:fldCharType="separate"/>
          </w:r>
          <w:r>
            <w:rPr>
              <w:sz w:val="28"/>
              <w:szCs w:val="28"/>
            </w:rPr>
            <w:t>7</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_Toc21923 </w:instrText>
          </w:r>
          <w:r>
            <w:rPr>
              <w:rFonts w:hint="eastAsia" w:ascii="仿宋_GB2312" w:hAnsi="仿宋_GB2312" w:eastAsia="仿宋_GB2312" w:cs="仿宋_GB2312"/>
              <w:bCs/>
              <w:sz w:val="28"/>
              <w:szCs w:val="28"/>
              <w:highlight w:val="none"/>
              <w:lang w:val="en-US" w:eastAsia="zh-CN"/>
            </w:rPr>
            <w:fldChar w:fldCharType="separate"/>
          </w:r>
          <w:r>
            <w:rPr>
              <w:rFonts w:hint="eastAsia" w:ascii="黑体" w:hAnsi="黑体" w:eastAsia="黑体" w:cs="黑体"/>
              <w:sz w:val="28"/>
              <w:szCs w:val="28"/>
              <w:highlight w:val="none"/>
              <w:lang w:val="en-US" w:eastAsia="zh-CN"/>
            </w:rPr>
            <w:t>三、发展思路</w:t>
          </w:r>
          <w:r>
            <w:rPr>
              <w:sz w:val="28"/>
              <w:szCs w:val="28"/>
            </w:rPr>
            <w:tab/>
          </w:r>
          <w:r>
            <w:rPr>
              <w:sz w:val="28"/>
              <w:szCs w:val="28"/>
            </w:rPr>
            <w:fldChar w:fldCharType="begin"/>
          </w:r>
          <w:r>
            <w:rPr>
              <w:sz w:val="28"/>
              <w:szCs w:val="28"/>
            </w:rPr>
            <w:instrText xml:space="preserve"> PAGEREF _Toc21923 \h </w:instrText>
          </w:r>
          <w:r>
            <w:rPr>
              <w:sz w:val="28"/>
              <w:szCs w:val="28"/>
            </w:rPr>
            <w:fldChar w:fldCharType="separate"/>
          </w:r>
          <w:r>
            <w:rPr>
              <w:sz w:val="28"/>
              <w:szCs w:val="28"/>
            </w:rPr>
            <w:t>8</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_Toc23369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（一）发展定位</w:t>
          </w:r>
          <w:r>
            <w:rPr>
              <w:sz w:val="28"/>
              <w:szCs w:val="28"/>
            </w:rPr>
            <w:tab/>
          </w:r>
          <w:r>
            <w:rPr>
              <w:sz w:val="28"/>
              <w:szCs w:val="28"/>
            </w:rPr>
            <w:fldChar w:fldCharType="begin"/>
          </w:r>
          <w:r>
            <w:rPr>
              <w:sz w:val="28"/>
              <w:szCs w:val="28"/>
            </w:rPr>
            <w:instrText xml:space="preserve"> PAGEREF _Toc23369 \h </w:instrText>
          </w:r>
          <w:r>
            <w:rPr>
              <w:sz w:val="28"/>
              <w:szCs w:val="28"/>
            </w:rPr>
            <w:fldChar w:fldCharType="separate"/>
          </w:r>
          <w:r>
            <w:rPr>
              <w:sz w:val="28"/>
              <w:szCs w:val="28"/>
            </w:rPr>
            <w:t>8</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_Toc19111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（二）发展目标</w:t>
          </w:r>
          <w:r>
            <w:rPr>
              <w:sz w:val="28"/>
              <w:szCs w:val="28"/>
            </w:rPr>
            <w:tab/>
          </w:r>
          <w:r>
            <w:rPr>
              <w:sz w:val="28"/>
              <w:szCs w:val="28"/>
            </w:rPr>
            <w:fldChar w:fldCharType="begin"/>
          </w:r>
          <w:r>
            <w:rPr>
              <w:sz w:val="28"/>
              <w:szCs w:val="28"/>
            </w:rPr>
            <w:instrText xml:space="preserve"> PAGEREF _Toc19111 \h </w:instrText>
          </w:r>
          <w:r>
            <w:rPr>
              <w:sz w:val="28"/>
              <w:szCs w:val="28"/>
            </w:rPr>
            <w:fldChar w:fldCharType="separate"/>
          </w:r>
          <w:r>
            <w:rPr>
              <w:sz w:val="28"/>
              <w:szCs w:val="28"/>
            </w:rPr>
            <w:t>9</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_Toc23950 </w:instrText>
          </w:r>
          <w:r>
            <w:rPr>
              <w:rFonts w:hint="eastAsia" w:ascii="仿宋_GB2312" w:hAnsi="仿宋_GB2312" w:eastAsia="仿宋_GB2312" w:cs="仿宋_GB2312"/>
              <w:bCs/>
              <w:sz w:val="28"/>
              <w:szCs w:val="28"/>
              <w:highlight w:val="none"/>
              <w:lang w:val="en-US" w:eastAsia="zh-CN"/>
            </w:rPr>
            <w:fldChar w:fldCharType="separate"/>
          </w:r>
          <w:r>
            <w:rPr>
              <w:rFonts w:hint="eastAsia" w:ascii="黑体" w:hAnsi="黑体" w:eastAsia="黑体" w:cs="黑体"/>
              <w:bCs w:val="0"/>
              <w:kern w:val="2"/>
              <w:sz w:val="28"/>
              <w:szCs w:val="28"/>
              <w:highlight w:val="none"/>
              <w:lang w:val="en-US" w:eastAsia="zh-CN" w:bidi="ar-SA"/>
            </w:rPr>
            <w:t>四、重点任务</w:t>
          </w:r>
          <w:r>
            <w:rPr>
              <w:sz w:val="28"/>
              <w:szCs w:val="28"/>
            </w:rPr>
            <w:tab/>
          </w:r>
          <w:r>
            <w:rPr>
              <w:sz w:val="28"/>
              <w:szCs w:val="28"/>
            </w:rPr>
            <w:fldChar w:fldCharType="begin"/>
          </w:r>
          <w:r>
            <w:rPr>
              <w:sz w:val="28"/>
              <w:szCs w:val="28"/>
            </w:rPr>
            <w:instrText xml:space="preserve"> PAGEREF _Toc23950 \h </w:instrText>
          </w:r>
          <w:r>
            <w:rPr>
              <w:sz w:val="28"/>
              <w:szCs w:val="28"/>
            </w:rPr>
            <w:fldChar w:fldCharType="separate"/>
          </w:r>
          <w:r>
            <w:rPr>
              <w:sz w:val="28"/>
              <w:szCs w:val="28"/>
            </w:rPr>
            <w:t>12</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_Toc7174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（一）深入推进健康琼海行动</w:t>
          </w:r>
          <w:r>
            <w:rPr>
              <w:sz w:val="28"/>
              <w:szCs w:val="28"/>
            </w:rPr>
            <w:tab/>
          </w:r>
          <w:r>
            <w:rPr>
              <w:sz w:val="28"/>
              <w:szCs w:val="28"/>
            </w:rPr>
            <w:fldChar w:fldCharType="begin"/>
          </w:r>
          <w:r>
            <w:rPr>
              <w:sz w:val="28"/>
              <w:szCs w:val="28"/>
            </w:rPr>
            <w:instrText xml:space="preserve"> PAGEREF _Toc7174 \h </w:instrText>
          </w:r>
          <w:r>
            <w:rPr>
              <w:sz w:val="28"/>
              <w:szCs w:val="28"/>
            </w:rPr>
            <w:fldChar w:fldCharType="separate"/>
          </w:r>
          <w:r>
            <w:rPr>
              <w:sz w:val="28"/>
              <w:szCs w:val="28"/>
            </w:rPr>
            <w:t>12</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_Toc27782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kern w:val="2"/>
              <w:sz w:val="28"/>
              <w:szCs w:val="28"/>
              <w:highlight w:val="none"/>
              <w:lang w:val="en-US" w:eastAsia="zh-CN" w:bidi="ar-SA"/>
            </w:rPr>
            <w:t>（二）维护全生命周期健康</w:t>
          </w:r>
          <w:r>
            <w:rPr>
              <w:sz w:val="28"/>
              <w:szCs w:val="28"/>
            </w:rPr>
            <w:tab/>
          </w:r>
          <w:r>
            <w:rPr>
              <w:sz w:val="28"/>
              <w:szCs w:val="28"/>
            </w:rPr>
            <w:fldChar w:fldCharType="begin"/>
          </w:r>
          <w:r>
            <w:rPr>
              <w:sz w:val="28"/>
              <w:szCs w:val="28"/>
            </w:rPr>
            <w:instrText xml:space="preserve"> PAGEREF _Toc27782 \h </w:instrText>
          </w:r>
          <w:r>
            <w:rPr>
              <w:sz w:val="28"/>
              <w:szCs w:val="28"/>
            </w:rPr>
            <w:fldChar w:fldCharType="separate"/>
          </w:r>
          <w:r>
            <w:rPr>
              <w:sz w:val="28"/>
              <w:szCs w:val="28"/>
            </w:rPr>
            <w:t>15</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_Toc17151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（三）加强重大疾病防控</w:t>
          </w:r>
          <w:r>
            <w:rPr>
              <w:sz w:val="28"/>
              <w:szCs w:val="28"/>
            </w:rPr>
            <w:tab/>
          </w:r>
          <w:r>
            <w:rPr>
              <w:sz w:val="28"/>
              <w:szCs w:val="28"/>
            </w:rPr>
            <w:fldChar w:fldCharType="begin"/>
          </w:r>
          <w:r>
            <w:rPr>
              <w:sz w:val="28"/>
              <w:szCs w:val="28"/>
            </w:rPr>
            <w:instrText xml:space="preserve"> PAGEREF _Toc17151 \h </w:instrText>
          </w:r>
          <w:r>
            <w:rPr>
              <w:sz w:val="28"/>
              <w:szCs w:val="28"/>
            </w:rPr>
            <w:fldChar w:fldCharType="separate"/>
          </w:r>
          <w:r>
            <w:rPr>
              <w:sz w:val="28"/>
              <w:szCs w:val="28"/>
            </w:rPr>
            <w:t>19</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_Toc25748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（四）构建高水平的公共卫生体系</w:t>
          </w:r>
          <w:r>
            <w:rPr>
              <w:sz w:val="28"/>
              <w:szCs w:val="28"/>
            </w:rPr>
            <w:tab/>
          </w:r>
          <w:r>
            <w:rPr>
              <w:sz w:val="28"/>
              <w:szCs w:val="28"/>
            </w:rPr>
            <w:fldChar w:fldCharType="begin"/>
          </w:r>
          <w:r>
            <w:rPr>
              <w:sz w:val="28"/>
              <w:szCs w:val="28"/>
            </w:rPr>
            <w:instrText xml:space="preserve"> PAGEREF _Toc25748 \h </w:instrText>
          </w:r>
          <w:r>
            <w:rPr>
              <w:sz w:val="28"/>
              <w:szCs w:val="28"/>
            </w:rPr>
            <w:fldChar w:fldCharType="separate"/>
          </w:r>
          <w:r>
            <w:rPr>
              <w:sz w:val="28"/>
              <w:szCs w:val="28"/>
            </w:rPr>
            <w:t>21</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_Toc23045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kern w:val="2"/>
              <w:sz w:val="28"/>
              <w:szCs w:val="28"/>
              <w:highlight w:val="none"/>
              <w:lang w:val="en-US" w:eastAsia="zh-CN" w:bidi="ar-SA"/>
            </w:rPr>
            <w:t>（五）构建整合型医疗卫生服务体系</w:t>
          </w:r>
          <w:r>
            <w:rPr>
              <w:sz w:val="28"/>
              <w:szCs w:val="28"/>
            </w:rPr>
            <w:tab/>
          </w:r>
          <w:r>
            <w:rPr>
              <w:sz w:val="28"/>
              <w:szCs w:val="28"/>
            </w:rPr>
            <w:fldChar w:fldCharType="begin"/>
          </w:r>
          <w:r>
            <w:rPr>
              <w:sz w:val="28"/>
              <w:szCs w:val="28"/>
            </w:rPr>
            <w:instrText xml:space="preserve"> PAGEREF _Toc23045 \h </w:instrText>
          </w:r>
          <w:r>
            <w:rPr>
              <w:sz w:val="28"/>
              <w:szCs w:val="28"/>
            </w:rPr>
            <w:fldChar w:fldCharType="separate"/>
          </w:r>
          <w:r>
            <w:rPr>
              <w:sz w:val="28"/>
              <w:szCs w:val="28"/>
            </w:rPr>
            <w:t>24</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_Toc20376 </w:instrText>
          </w:r>
          <w:r>
            <w:rPr>
              <w:rFonts w:hint="eastAsia" w:ascii="仿宋_GB2312" w:hAnsi="仿宋_GB2312" w:eastAsia="仿宋_GB2312" w:cs="仿宋_GB2312"/>
              <w:bCs/>
              <w:sz w:val="28"/>
              <w:szCs w:val="28"/>
              <w:highlight w:val="none"/>
              <w:lang w:val="en-US" w:eastAsia="zh-CN"/>
            </w:rPr>
            <w:fldChar w:fldCharType="separate"/>
          </w:r>
          <w:r>
            <w:rPr>
              <w:rFonts w:hint="eastAsia" w:ascii="Times New Roman" w:hAnsi="Times New Roman" w:eastAsia="仿宋_GB2312" w:cs="Times New Roman"/>
              <w:bCs/>
              <w:kern w:val="2"/>
              <w:sz w:val="28"/>
              <w:szCs w:val="28"/>
              <w:highlight w:val="none"/>
              <w:shd w:val="clear" w:color="auto" w:fill="FFFFFF"/>
              <w:lang w:val="en-US" w:eastAsia="zh-CN"/>
            </w:rPr>
            <w:t>（六）创新发展高水平中医药事业</w:t>
          </w:r>
          <w:r>
            <w:rPr>
              <w:sz w:val="28"/>
              <w:szCs w:val="28"/>
            </w:rPr>
            <w:tab/>
          </w:r>
          <w:r>
            <w:rPr>
              <w:sz w:val="28"/>
              <w:szCs w:val="28"/>
            </w:rPr>
            <w:fldChar w:fldCharType="begin"/>
          </w:r>
          <w:r>
            <w:rPr>
              <w:sz w:val="28"/>
              <w:szCs w:val="28"/>
            </w:rPr>
            <w:instrText xml:space="preserve"> PAGEREF _Toc20376 \h </w:instrText>
          </w:r>
          <w:r>
            <w:rPr>
              <w:sz w:val="28"/>
              <w:szCs w:val="28"/>
            </w:rPr>
            <w:fldChar w:fldCharType="separate"/>
          </w:r>
          <w:r>
            <w:rPr>
              <w:sz w:val="28"/>
              <w:szCs w:val="28"/>
            </w:rPr>
            <w:t>26</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_Toc32735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eastAsia="zh-CN"/>
            </w:rPr>
            <w:t>（七）稳步推进智慧化医疗健康服务</w:t>
          </w:r>
          <w:r>
            <w:rPr>
              <w:sz w:val="28"/>
              <w:szCs w:val="28"/>
            </w:rPr>
            <w:tab/>
          </w:r>
          <w:r>
            <w:rPr>
              <w:sz w:val="28"/>
              <w:szCs w:val="28"/>
            </w:rPr>
            <w:fldChar w:fldCharType="begin"/>
          </w:r>
          <w:r>
            <w:rPr>
              <w:sz w:val="28"/>
              <w:szCs w:val="28"/>
            </w:rPr>
            <w:instrText xml:space="preserve"> PAGEREF _Toc32735 \h </w:instrText>
          </w:r>
          <w:r>
            <w:rPr>
              <w:sz w:val="28"/>
              <w:szCs w:val="28"/>
            </w:rPr>
            <w:fldChar w:fldCharType="separate"/>
          </w:r>
          <w:r>
            <w:rPr>
              <w:sz w:val="28"/>
              <w:szCs w:val="28"/>
            </w:rPr>
            <w:t>28</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_Toc17399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Times New Roman" w:eastAsia="仿宋_GB2312" w:cs="仿宋_GB2312"/>
              <w:bCs/>
              <w:spacing w:val="0"/>
              <w:sz w:val="28"/>
              <w:szCs w:val="28"/>
              <w:highlight w:val="none"/>
              <w:vertAlign w:val="baseline"/>
              <w:lang w:val="en-US" w:eastAsia="zh-CN"/>
            </w:rPr>
            <w:t>（八）高质量发展医疗健康产业</w:t>
          </w:r>
          <w:r>
            <w:rPr>
              <w:sz w:val="28"/>
              <w:szCs w:val="28"/>
            </w:rPr>
            <w:tab/>
          </w:r>
          <w:r>
            <w:rPr>
              <w:sz w:val="28"/>
              <w:szCs w:val="28"/>
            </w:rPr>
            <w:fldChar w:fldCharType="begin"/>
          </w:r>
          <w:r>
            <w:rPr>
              <w:sz w:val="28"/>
              <w:szCs w:val="28"/>
            </w:rPr>
            <w:instrText xml:space="preserve"> PAGEREF _Toc17399 \h </w:instrText>
          </w:r>
          <w:r>
            <w:rPr>
              <w:sz w:val="28"/>
              <w:szCs w:val="28"/>
            </w:rPr>
            <w:fldChar w:fldCharType="separate"/>
          </w:r>
          <w:r>
            <w:rPr>
              <w:sz w:val="28"/>
              <w:szCs w:val="28"/>
            </w:rPr>
            <w:t>31</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_Toc8474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（九）构建现代化卫生健康治理体系</w:t>
          </w:r>
          <w:r>
            <w:rPr>
              <w:sz w:val="28"/>
              <w:szCs w:val="28"/>
            </w:rPr>
            <w:tab/>
          </w:r>
          <w:r>
            <w:rPr>
              <w:sz w:val="28"/>
              <w:szCs w:val="28"/>
            </w:rPr>
            <w:fldChar w:fldCharType="begin"/>
          </w:r>
          <w:r>
            <w:rPr>
              <w:sz w:val="28"/>
              <w:szCs w:val="28"/>
            </w:rPr>
            <w:instrText xml:space="preserve"> PAGEREF _Toc8474 \h </w:instrText>
          </w:r>
          <w:r>
            <w:rPr>
              <w:sz w:val="28"/>
              <w:szCs w:val="28"/>
            </w:rPr>
            <w:fldChar w:fldCharType="separate"/>
          </w:r>
          <w:r>
            <w:rPr>
              <w:sz w:val="28"/>
              <w:szCs w:val="28"/>
            </w:rPr>
            <w:t>34</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_Toc21726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（十）强化卫生健康人才队伍支撑</w:t>
          </w:r>
          <w:r>
            <w:rPr>
              <w:sz w:val="28"/>
              <w:szCs w:val="28"/>
            </w:rPr>
            <w:tab/>
          </w:r>
          <w:r>
            <w:rPr>
              <w:sz w:val="28"/>
              <w:szCs w:val="28"/>
            </w:rPr>
            <w:fldChar w:fldCharType="begin"/>
          </w:r>
          <w:r>
            <w:rPr>
              <w:sz w:val="28"/>
              <w:szCs w:val="28"/>
            </w:rPr>
            <w:instrText xml:space="preserve"> PAGEREF _Toc21726 \h </w:instrText>
          </w:r>
          <w:r>
            <w:rPr>
              <w:sz w:val="28"/>
              <w:szCs w:val="28"/>
            </w:rPr>
            <w:fldChar w:fldCharType="separate"/>
          </w:r>
          <w:r>
            <w:rPr>
              <w:sz w:val="28"/>
              <w:szCs w:val="28"/>
            </w:rPr>
            <w:t>38</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_Toc16824 </w:instrText>
          </w:r>
          <w:r>
            <w:rPr>
              <w:rFonts w:hint="eastAsia" w:ascii="仿宋_GB2312" w:hAnsi="仿宋_GB2312" w:eastAsia="仿宋_GB2312" w:cs="仿宋_GB2312"/>
              <w:bCs/>
              <w:sz w:val="28"/>
              <w:szCs w:val="28"/>
              <w:highlight w:val="none"/>
              <w:lang w:val="en-US" w:eastAsia="zh-CN"/>
            </w:rPr>
            <w:fldChar w:fldCharType="separate"/>
          </w:r>
          <w:r>
            <w:rPr>
              <w:rFonts w:hint="eastAsia" w:ascii="黑体" w:hAnsi="黑体" w:eastAsia="黑体" w:cs="黑体"/>
              <w:bCs w:val="0"/>
              <w:kern w:val="2"/>
              <w:sz w:val="28"/>
              <w:szCs w:val="28"/>
              <w:highlight w:val="none"/>
              <w:lang w:val="en-US" w:eastAsia="zh-CN" w:bidi="ar-SA"/>
            </w:rPr>
            <w:t>五、保障措施</w:t>
          </w:r>
          <w:r>
            <w:rPr>
              <w:sz w:val="28"/>
              <w:szCs w:val="28"/>
            </w:rPr>
            <w:tab/>
          </w:r>
          <w:r>
            <w:rPr>
              <w:sz w:val="28"/>
              <w:szCs w:val="28"/>
            </w:rPr>
            <w:fldChar w:fldCharType="begin"/>
          </w:r>
          <w:r>
            <w:rPr>
              <w:sz w:val="28"/>
              <w:szCs w:val="28"/>
            </w:rPr>
            <w:instrText xml:space="preserve"> PAGEREF _Toc16824 \h </w:instrText>
          </w:r>
          <w:r>
            <w:rPr>
              <w:sz w:val="28"/>
              <w:szCs w:val="28"/>
            </w:rPr>
            <w:fldChar w:fldCharType="separate"/>
          </w:r>
          <w:r>
            <w:rPr>
              <w:sz w:val="28"/>
              <w:szCs w:val="28"/>
            </w:rPr>
            <w:t>42</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_Toc26030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kern w:val="2"/>
              <w:sz w:val="28"/>
              <w:szCs w:val="28"/>
              <w:highlight w:val="none"/>
              <w:lang w:val="en-US" w:eastAsia="zh-CN" w:bidi="ar-SA"/>
            </w:rPr>
            <w:t>（一）加强党的领导</w:t>
          </w:r>
          <w:r>
            <w:rPr>
              <w:sz w:val="28"/>
              <w:szCs w:val="28"/>
            </w:rPr>
            <w:tab/>
          </w:r>
          <w:r>
            <w:rPr>
              <w:sz w:val="28"/>
              <w:szCs w:val="28"/>
            </w:rPr>
            <w:fldChar w:fldCharType="begin"/>
          </w:r>
          <w:r>
            <w:rPr>
              <w:sz w:val="28"/>
              <w:szCs w:val="28"/>
            </w:rPr>
            <w:instrText xml:space="preserve"> PAGEREF _Toc26030 \h </w:instrText>
          </w:r>
          <w:r>
            <w:rPr>
              <w:sz w:val="28"/>
              <w:szCs w:val="28"/>
            </w:rPr>
            <w:fldChar w:fldCharType="separate"/>
          </w:r>
          <w:r>
            <w:rPr>
              <w:sz w:val="28"/>
              <w:szCs w:val="28"/>
            </w:rPr>
            <w:t>42</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_Toc29038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kern w:val="2"/>
              <w:sz w:val="28"/>
              <w:szCs w:val="28"/>
              <w:highlight w:val="none"/>
              <w:lang w:val="en-US" w:eastAsia="zh-CN" w:bidi="ar-SA"/>
            </w:rPr>
            <w:t>（二）优化运行机制</w:t>
          </w:r>
          <w:r>
            <w:rPr>
              <w:sz w:val="28"/>
              <w:szCs w:val="28"/>
            </w:rPr>
            <w:tab/>
          </w:r>
          <w:r>
            <w:rPr>
              <w:sz w:val="28"/>
              <w:szCs w:val="28"/>
            </w:rPr>
            <w:fldChar w:fldCharType="begin"/>
          </w:r>
          <w:r>
            <w:rPr>
              <w:sz w:val="28"/>
              <w:szCs w:val="28"/>
            </w:rPr>
            <w:instrText xml:space="preserve"> PAGEREF _Toc29038 \h </w:instrText>
          </w:r>
          <w:r>
            <w:rPr>
              <w:sz w:val="28"/>
              <w:szCs w:val="28"/>
            </w:rPr>
            <w:fldChar w:fldCharType="separate"/>
          </w:r>
          <w:r>
            <w:rPr>
              <w:sz w:val="28"/>
              <w:szCs w:val="28"/>
            </w:rPr>
            <w:t>42</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_Toc434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kern w:val="2"/>
              <w:sz w:val="28"/>
              <w:szCs w:val="28"/>
              <w:highlight w:val="none"/>
              <w:lang w:val="en-US" w:eastAsia="zh-CN" w:bidi="ar-SA"/>
            </w:rPr>
            <w:t>（三）完善投入机制</w:t>
          </w:r>
          <w:r>
            <w:rPr>
              <w:sz w:val="28"/>
              <w:szCs w:val="28"/>
            </w:rPr>
            <w:tab/>
          </w:r>
          <w:r>
            <w:rPr>
              <w:sz w:val="28"/>
              <w:szCs w:val="28"/>
            </w:rPr>
            <w:fldChar w:fldCharType="begin"/>
          </w:r>
          <w:r>
            <w:rPr>
              <w:sz w:val="28"/>
              <w:szCs w:val="28"/>
            </w:rPr>
            <w:instrText xml:space="preserve"> PAGEREF _Toc434 \h </w:instrText>
          </w:r>
          <w:r>
            <w:rPr>
              <w:sz w:val="28"/>
              <w:szCs w:val="28"/>
            </w:rPr>
            <w:fldChar w:fldCharType="separate"/>
          </w:r>
          <w:r>
            <w:rPr>
              <w:sz w:val="28"/>
              <w:szCs w:val="28"/>
            </w:rPr>
            <w:t>43</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_Toc9995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kern w:val="2"/>
              <w:sz w:val="28"/>
              <w:szCs w:val="28"/>
              <w:highlight w:val="none"/>
              <w:lang w:val="en-US" w:eastAsia="zh-CN" w:bidi="ar-SA"/>
            </w:rPr>
            <w:t>（四）注重宣传引导</w:t>
          </w:r>
          <w:r>
            <w:rPr>
              <w:sz w:val="28"/>
              <w:szCs w:val="28"/>
            </w:rPr>
            <w:tab/>
          </w:r>
          <w:r>
            <w:rPr>
              <w:sz w:val="28"/>
              <w:szCs w:val="28"/>
            </w:rPr>
            <w:fldChar w:fldCharType="begin"/>
          </w:r>
          <w:r>
            <w:rPr>
              <w:sz w:val="28"/>
              <w:szCs w:val="28"/>
            </w:rPr>
            <w:instrText xml:space="preserve"> PAGEREF _Toc9995 \h </w:instrText>
          </w:r>
          <w:r>
            <w:rPr>
              <w:sz w:val="28"/>
              <w:szCs w:val="28"/>
            </w:rPr>
            <w:fldChar w:fldCharType="separate"/>
          </w:r>
          <w:r>
            <w:rPr>
              <w:sz w:val="28"/>
              <w:szCs w:val="28"/>
            </w:rPr>
            <w:t>43</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_Toc8840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Cs/>
              <w:sz w:val="28"/>
              <w:szCs w:val="28"/>
              <w:highlight w:val="none"/>
              <w:lang w:val="en-US" w:eastAsia="zh-CN"/>
            </w:rPr>
            <w:t>（五）加强监测评价</w:t>
          </w:r>
          <w:r>
            <w:rPr>
              <w:sz w:val="28"/>
              <w:szCs w:val="28"/>
            </w:rPr>
            <w:tab/>
          </w:r>
          <w:r>
            <w:rPr>
              <w:sz w:val="28"/>
              <w:szCs w:val="28"/>
            </w:rPr>
            <w:fldChar w:fldCharType="begin"/>
          </w:r>
          <w:r>
            <w:rPr>
              <w:sz w:val="28"/>
              <w:szCs w:val="28"/>
            </w:rPr>
            <w:instrText xml:space="preserve"> PAGEREF _Toc8840 \h </w:instrText>
          </w:r>
          <w:r>
            <w:rPr>
              <w:sz w:val="28"/>
              <w:szCs w:val="28"/>
            </w:rPr>
            <w:fldChar w:fldCharType="separate"/>
          </w:r>
          <w:r>
            <w:rPr>
              <w:sz w:val="28"/>
              <w:szCs w:val="28"/>
            </w:rPr>
            <w:t>44</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480" w:lineRule="auto"/>
            <w:textAlignment w:val="auto"/>
            <w:rPr>
              <w:sz w:val="28"/>
              <w:szCs w:val="28"/>
            </w:rPr>
          </w:pP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begin"/>
          </w:r>
          <w:r>
            <w:rPr>
              <w:rFonts w:hint="eastAsia" w:ascii="仿宋_GB2312" w:hAnsi="仿宋_GB2312" w:eastAsia="仿宋_GB2312" w:cs="仿宋_GB2312"/>
              <w:bCs/>
              <w:sz w:val="28"/>
              <w:szCs w:val="28"/>
              <w:highlight w:val="none"/>
              <w:lang w:val="en-US" w:eastAsia="zh-CN"/>
            </w:rPr>
            <w:instrText xml:space="preserve"> HYPERLINK \l _Toc25512 </w:instrText>
          </w:r>
          <w:r>
            <w:rPr>
              <w:rFonts w:hint="eastAsia" w:ascii="仿宋_GB2312" w:hAnsi="仿宋_GB2312" w:eastAsia="仿宋_GB2312" w:cs="仿宋_GB2312"/>
              <w:bCs/>
              <w:sz w:val="28"/>
              <w:szCs w:val="28"/>
              <w:highlight w:val="none"/>
              <w:lang w:val="en-US" w:eastAsia="zh-CN"/>
            </w:rPr>
            <w:fldChar w:fldCharType="separate"/>
          </w:r>
          <w:r>
            <w:rPr>
              <w:rFonts w:hint="eastAsia" w:ascii="仿宋_GB2312" w:hAnsi="仿宋_GB2312" w:eastAsia="仿宋_GB2312" w:cs="仿宋_GB2312"/>
              <w:b/>
              <w:bCs w:val="0"/>
              <w:color w:val="000000" w:themeColor="text1"/>
              <w:sz w:val="28"/>
              <w:szCs w:val="28"/>
              <w:highlight w:val="none"/>
              <w:lang w:val="en-US" w:eastAsia="zh-CN"/>
              <w14:textFill>
                <w14:solidFill>
                  <w14:schemeClr w14:val="tx1"/>
                </w14:solidFill>
              </w14:textFill>
            </w:rPr>
            <w:t>附录：</w:t>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t>名词解释</w:t>
          </w:r>
          <w:r>
            <w:rPr>
              <w:sz w:val="28"/>
              <w:szCs w:val="28"/>
              <w:highlight w:val="none"/>
            </w:rPr>
            <w:tab/>
          </w:r>
          <w:r>
            <w:rPr>
              <w:sz w:val="28"/>
              <w:szCs w:val="28"/>
            </w:rPr>
            <w:fldChar w:fldCharType="begin"/>
          </w:r>
          <w:r>
            <w:rPr>
              <w:sz w:val="28"/>
              <w:szCs w:val="28"/>
            </w:rPr>
            <w:instrText xml:space="preserve"> PAGEREF _Toc25512 \h </w:instrText>
          </w:r>
          <w:r>
            <w:rPr>
              <w:sz w:val="28"/>
              <w:szCs w:val="28"/>
            </w:rPr>
            <w:fldChar w:fldCharType="separate"/>
          </w:r>
          <w:r>
            <w:rPr>
              <w:sz w:val="28"/>
              <w:szCs w:val="28"/>
            </w:rPr>
            <w:t>45</w:t>
          </w:r>
          <w:r>
            <w:rPr>
              <w:sz w:val="28"/>
              <w:szCs w:val="28"/>
            </w:rPr>
            <w:fldChar w:fldCharType="end"/>
          </w:r>
          <w:r>
            <w:rPr>
              <w:rFonts w:hint="eastAsia" w:ascii="仿宋_GB2312" w:hAnsi="仿宋_GB2312" w:eastAsia="仿宋_GB2312" w:cs="仿宋_GB2312"/>
              <w:bCs/>
              <w:color w:val="000000" w:themeColor="text1"/>
              <w:sz w:val="28"/>
              <w:szCs w:val="28"/>
              <w:highlight w:val="none"/>
              <w:lang w:val="en-US" w:eastAsia="zh-CN"/>
              <w14:textFill>
                <w14:solidFill>
                  <w14:schemeClr w14:val="tx1"/>
                </w14:solidFill>
              </w14:textFill>
            </w:rPr>
            <w:fldChar w:fldCharType="end"/>
          </w:r>
        </w:p>
        <w:p>
          <w:pPr>
            <w:pStyle w:val="9"/>
            <w:tabs>
              <w:tab w:val="right" w:leader="dot" w:pos="8306"/>
            </w:tabs>
          </w:pPr>
        </w:p>
        <w:p>
          <w:pPr>
            <w:spacing w:before="157" w:beforeLines="50" w:after="157" w:afterLines="50" w:line="240" w:lineRule="auto"/>
            <w:ind w:left="0" w:leftChars="0" w:right="0" w:rightChars="0" w:firstLine="0" w:firstLineChars="0"/>
            <w:jc w:val="cente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24"/>
              <w:highlight w:val="none"/>
              <w:lang w:val="en-US" w:eastAsia="zh-CN"/>
              <w14:textFill>
                <w14:solidFill>
                  <w14:schemeClr w14:val="tx1"/>
                </w14:solidFill>
              </w14:textFill>
            </w:rPr>
            <w:fldChar w:fldCharType="end"/>
          </w:r>
        </w:p>
      </w:sdtContent>
    </w:sdt>
    <w:p>
      <w:pPr>
        <w:pStyle w:val="2"/>
        <w:rPr>
          <w:rFonts w:hint="eastAsia"/>
          <w:color w:val="000000" w:themeColor="text1"/>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1" w:name="_Toc25052"/>
      <w:bookmarkStart w:id="2" w:name="_Toc8779"/>
      <w:bookmarkStart w:id="3" w:name="_Toc26465"/>
      <w:r>
        <w:rPr>
          <w:rFonts w:hint="eastAsia" w:ascii="黑体" w:hAnsi="黑体" w:eastAsia="黑体" w:cs="黑体"/>
          <w:color w:val="000000" w:themeColor="text1"/>
          <w:sz w:val="32"/>
          <w:szCs w:val="32"/>
          <w:highlight w:val="none"/>
          <w:lang w:val="en-US" w:eastAsia="zh-CN"/>
          <w14:textFill>
            <w14:solidFill>
              <w14:schemeClr w14:val="tx1"/>
            </w14:solidFill>
          </w14:textFill>
        </w:rPr>
        <w:t>前   言</w:t>
      </w:r>
      <w:bookmarkEnd w:id="1"/>
      <w:bookmarkEnd w:id="2"/>
      <w:bookmarkEnd w:id="3"/>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为全面推进健康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琼海</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建设，满足人民群众日益增长的健康需求，根据《“十四五”国民健康规划》《海南省“十四五”卫生健康规划》《琼海市国民经济和社会发展第十四个五年规划和二〇三五年远景目标纲要》和市委、市政府关于全市卫生健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领域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发展的决策部署，编制本规划。</w:t>
      </w:r>
      <w:bookmarkStart w:id="4" w:name="_Toc9603"/>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5" w:name="_Toc18191"/>
      <w:r>
        <w:rPr>
          <w:rFonts w:hint="eastAsia" w:ascii="黑体" w:hAnsi="黑体" w:eastAsia="黑体" w:cs="黑体"/>
          <w:color w:val="000000" w:themeColor="text1"/>
          <w:sz w:val="32"/>
          <w:szCs w:val="32"/>
          <w:highlight w:val="none"/>
          <w:lang w:val="en-US" w:eastAsia="zh-CN"/>
          <w14:textFill>
            <w14:solidFill>
              <w14:schemeClr w14:val="tx1"/>
            </w14:solidFill>
          </w14:textFill>
        </w:rPr>
        <w:t>一、规划背景</w:t>
      </w:r>
      <w:bookmarkEnd w:id="4"/>
      <w:bookmarkEnd w:id="5"/>
      <w:bookmarkStart w:id="6" w:name="_Toc3699"/>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7" w:name="_Toc6601"/>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（一）“十三五”时期主要成就</w:t>
      </w:r>
      <w:bookmarkEnd w:id="6"/>
      <w:bookmarkEnd w:id="7"/>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“十三五”时期，琼海市卫生健康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发展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迈上新台阶。人民健康水平持续提高，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2020年底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全市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居民人均期望寿命78.4岁，孕产妇死亡率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18.8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/10万、婴儿死亡率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‰和5岁以下儿童死亡率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2.66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城乡居民健康素养水平达25.8%。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琼海</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先后获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“全国健康城市建设首批试点城市”“全国紧密型县域医疗卫生共同体建设试点县”。</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——“健康琼海”建设成果喜人。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琼海市荣膺“中国健康宜居小城”称号，2018年在全国健康城市评价中排名海南省健康城市建设第一位，被评为海南省健康城市示范市；博鳌镇和潭门镇被命名为2017-2019周期“国家卫生乡镇”，13个镇（区）被评为省卫生镇，实现全覆盖。爱国卫生运动开展成效显著，农村无害化卫生厕所普及率达99%以上。</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深化</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医药卫生体制改革</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取得成效</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分别以市人民医院、市中医院牵头，组建2个覆盖全市18家镇卫生院（社区卫生服务中心）和100家村卫生室的紧密型市域医疗卫生共同体（以下简称“医共体”）。城乡医疗卫生机构一体化改革成效明显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全市医疗卫生机构总数由2015年的295家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整合</w:t>
      </w:r>
      <w:r>
        <w:rPr>
          <w:rFonts w:hint="eastAsia" w:ascii="仿宋_GB2312" w:hAnsi="仿宋_GB2312" w:eastAsia="仿宋_GB2312" w:cs="仿宋_GB2312"/>
          <w:color w:val="000000" w:themeColor="text1"/>
          <w:sz w:val="32"/>
          <w:szCs w:val="32"/>
          <w:highlight w:val="none"/>
          <w14:textFill>
            <w14:solidFill>
              <w14:schemeClr w14:val="tx1"/>
            </w14:solidFill>
          </w14:textFill>
        </w:rPr>
        <w:t>至</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2020年的</w:t>
      </w:r>
      <w:r>
        <w:rPr>
          <w:rFonts w:hint="eastAsia" w:ascii="仿宋_GB2312" w:hAnsi="仿宋_GB2312" w:eastAsia="仿宋_GB2312" w:cs="仿宋_GB2312"/>
          <w:color w:val="000000" w:themeColor="text1"/>
          <w:sz w:val="32"/>
          <w:szCs w:val="32"/>
          <w:highlight w:val="none"/>
          <w14:textFill>
            <w14:solidFill>
              <w14:schemeClr w14:val="tx1"/>
            </w14:solidFill>
          </w14:textFill>
        </w:rPr>
        <w:t>279家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基层医疗卫生机构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也</w:t>
      </w:r>
      <w:r>
        <w:rPr>
          <w:rFonts w:hint="eastAsia" w:ascii="仿宋_GB2312" w:hAnsi="仿宋_GB2312" w:eastAsia="仿宋_GB2312" w:cs="仿宋_GB2312"/>
          <w:color w:val="000000" w:themeColor="text1"/>
          <w:sz w:val="32"/>
          <w:szCs w:val="32"/>
          <w:highlight w:val="none"/>
          <w14:textFill>
            <w14:solidFill>
              <w14:schemeClr w14:val="tx1"/>
            </w14:solidFill>
          </w14:textFill>
        </w:rPr>
        <w:t>由280家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整合</w:t>
      </w:r>
      <w:r>
        <w:rPr>
          <w:rFonts w:hint="eastAsia" w:ascii="仿宋_GB2312" w:hAnsi="仿宋_GB2312" w:eastAsia="仿宋_GB2312" w:cs="仿宋_GB2312"/>
          <w:color w:val="000000" w:themeColor="text1"/>
          <w:sz w:val="32"/>
          <w:szCs w:val="32"/>
          <w:highlight w:val="none"/>
          <w14:textFill>
            <w14:solidFill>
              <w14:schemeClr w14:val="tx1"/>
            </w14:solidFill>
          </w14:textFill>
        </w:rPr>
        <w:t>至253家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，初步建成“15分钟城市健康服务圈、30分钟乡村健康服务圈”，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市域内就诊率达90.7%。</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——医疗卫生</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设施</w:t>
      </w: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建设驶入“快车道”。</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39个基层医疗卫生机构标准化项目投入使用。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市人民医院公共卫生大楼工程等8个“7+3”</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项目建设取得新进展；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市人民医院急诊科、神经外科、重症医学科、消化内科等10个重点专科通过省级评审验收；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市人民医院建成全省首家县级三级甲等综合性医院。</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市中医院老年病科、骨伤科、心血管科等10个专科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入选</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省级中医重点专科建设</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市中医院通过三级甲等中医医院国家复审，并被授予“全国平安医院”荣誉称号。</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中医药服务迈上新水平。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国家基本药物所需中药材种子种苗繁育（海南琼海）基地项目完成建设。全市13个镇（区）基层医疗机构全部完成基层中医馆建设。市中医院人才队伍明显壮大，卫技人员比例提高21.3%，中高级职称人员同比增加68.1%，中医师比例同比增加53.8%；市中医院五年内共核准开展新技术14项，并成功落户全省首家心脏康复中心。</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公共卫生服务能力显著增强。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实施12项基本及19项重大公共卫生项目建设。建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防治重大疾病联席会议制度，形成较为完善的突发公共卫生事件监测网络和预警机制。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琼海市获得“省级慢性病综合防控示范区”称号。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儿童国家免疫规划疫苗接种率保持高水平运行，传染病疫情报告率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98</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%，报告及时率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%。圆满完成博鳌亚洲论坛年会等重大活动公共卫生安全保障任务。</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——重点人群健康服务水平明显提升。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先后成立</w:t>
      </w:r>
      <w:r>
        <w:rPr>
          <w:rFonts w:hint="eastAsia" w:ascii="仿宋_GB2312" w:hAnsi="仿宋_GB2312" w:eastAsia="仿宋_GB2312" w:cs="仿宋_GB2312"/>
          <w:color w:val="000000" w:themeColor="text1"/>
          <w:sz w:val="32"/>
          <w:szCs w:val="32"/>
          <w:highlight w:val="none"/>
          <w14:textFill>
            <w14:solidFill>
              <w14:schemeClr w14:val="tx1"/>
            </w14:solidFill>
          </w14:textFill>
        </w:rPr>
        <w:t>2家市级危重孕产妇救治中心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和1家新生儿救治中心。3岁以下婴幼儿照护服务启动试点，备案通过托育机构1家。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五年累计完成</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10556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对夫妇免费孕前优生健康检查和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108179人次学生眼疾病筛查。</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——健康扶贫工作成效显著。</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创新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设置健康扶贫工作指导室，“两免三兜底”“先诊疗、后付费”及“一站式”结算、“三个一批”行动计划</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等健康扶贫政策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有效落实</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，贫困人口家庭医生签约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率100%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，成功助力全市4747户18039人脱贫，5个贫困村整村高质量脱贫出列。</w:t>
      </w:r>
    </w:p>
    <w:p>
      <w:pPr>
        <w:keepNext w:val="0"/>
        <w:keepLines w:val="0"/>
        <w:pageBreakBefore w:val="0"/>
        <w:widowControl/>
        <w:kinsoku/>
        <w:wordWrap/>
        <w:overflowPunct/>
        <w:topLinePunct w:val="0"/>
        <w:autoSpaceDE/>
        <w:autoSpaceDN/>
        <w:bidi w:val="0"/>
        <w:adjustRightInd/>
        <w:snapToGrid w:val="0"/>
        <w:spacing w:line="590" w:lineRule="exact"/>
        <w:ind w:firstLine="643" w:firstLineChars="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eastAsia="zh-CN"/>
          <w14:textFill>
            <w14:solidFill>
              <w14:schemeClr w14:val="tx1"/>
            </w14:solidFill>
          </w14:textFill>
        </w:rPr>
        <w:t>——医疗健康产业初具规模。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以海南自贸港重点园区博鳌乐城国际医疗旅游先行区（以下简称“乐城先行区”）为核心的“大健康产业核心组团”蓬勃发展。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先行区已初步实现医疗技术、装备、药品与国际先进水平“三同步”。</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区内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成功引进博鳌中法康复医疗中心等医疗机构落户，签约国内外院士专家团队51个；启动全国唯一的“永不落幕”国际创新药械展，进口特许药械品种首例应用突破270例，创造了50多个“全国首例”。共享医院新模式—博鳌超级医院、乐城先行区医疗机构“两证一批复”</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审批及“医疗+药品”二合一监管分别获得第一届及第二届“海南省改革和制度创新奖”。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先行区被确定为首批国家“健康医疗旅游示范基地”，到“十三五”期末，接待医疗旅游18.75万人次，医疗机构营业收入达17.88亿元。2018年4月11日，习近平总书记视察乐城先行区时给予高度肯定。</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虽然全市卫生健康事业取得一定成绩，但仍存在一些问题和短板，包括：医共体建设尚处探索阶段，“六统一”</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未能有效落实；</w:t>
      </w:r>
      <w:r>
        <w:rPr>
          <w:rFonts w:hint="eastAsia" w:ascii="仿宋_GB2312" w:hAnsi="仿宋_GB2312" w:eastAsia="仿宋_GB2312" w:cs="仿宋_GB2312"/>
          <w:color w:val="000000" w:themeColor="text1"/>
          <w:sz w:val="32"/>
          <w:szCs w:val="32"/>
          <w:highlight w:val="none"/>
          <w14:textFill>
            <w14:solidFill>
              <w14:schemeClr w14:val="tx1"/>
            </w14:solidFill>
          </w14:textFill>
        </w:rPr>
        <w:t>公立医院大型设备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设施相对</w:t>
      </w:r>
      <w:r>
        <w:rPr>
          <w:rFonts w:hint="eastAsia" w:ascii="仿宋_GB2312" w:hAnsi="仿宋_GB2312" w:eastAsia="仿宋_GB2312" w:cs="仿宋_GB2312"/>
          <w:color w:val="000000" w:themeColor="text1"/>
          <w:sz w:val="32"/>
          <w:szCs w:val="32"/>
          <w:highlight w:val="none"/>
          <w14:textFill>
            <w14:solidFill>
              <w14:schemeClr w14:val="tx1"/>
            </w14:solidFill>
          </w14:textFill>
        </w:rPr>
        <w:t>落后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至今未建医用高压氧舱，无法满足市民“减压病”就近治疗需求；市人民医院用地空间严重受限；</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基层医疗机构专业技术人才紧缺，全科医生不足，管理人才存在断层，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乡村医生队伍老化；</w:t>
      </w:r>
      <w:r>
        <w:rPr>
          <w:rFonts w:hint="eastAsia" w:ascii="仿宋_GB2312" w:hAnsi="仿宋_GB2312" w:eastAsia="仿宋_GB2312" w:cs="仿宋_GB2312"/>
          <w:color w:val="000000" w:themeColor="text1"/>
          <w:sz w:val="32"/>
          <w:szCs w:val="32"/>
          <w:highlight w:val="none"/>
          <w14:textFill>
            <w14:solidFill>
              <w14:schemeClr w14:val="tx1"/>
            </w14:solidFill>
          </w14:textFill>
        </w:rPr>
        <w:t>公立医院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长期空编，引进和留住人才面临困难；</w:t>
      </w:r>
      <w:r>
        <w:rPr>
          <w:rFonts w:hint="eastAsia" w:ascii="仿宋_GB2312" w:hAnsi="仿宋_GB2312" w:eastAsia="仿宋_GB2312" w:cs="仿宋_GB2312"/>
          <w:color w:val="000000" w:themeColor="text1"/>
          <w:sz w:val="32"/>
          <w:szCs w:val="32"/>
          <w:highlight w:val="none"/>
          <w14:textFill>
            <w14:solidFill>
              <w14:schemeClr w14:val="tx1"/>
            </w14:solidFill>
          </w14:textFill>
        </w:rPr>
        <w:t>医疗卫生信息化水平不高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，智慧医院建设较为滞后等。</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8" w:name="_Toc6266"/>
      <w:bookmarkStart w:id="9" w:name="_Toc20871"/>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（二）“十四五”时期面临形势</w:t>
      </w:r>
      <w:bookmarkEnd w:id="8"/>
      <w:bookmarkEnd w:id="9"/>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“十四五”时期是高标准建设“健康琼海”，实现卫生健康事业高质量发展，打造国际医疗健康产业新高地的重要战略机遇期，面临系列新机遇新挑战。</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习近平总书记高度关注和新时代战略叠加带来新发展机遇。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2018年，</w:t>
      </w:r>
      <w:r>
        <w:rPr>
          <w:rFonts w:hint="eastAsia" w:ascii="仿宋_GB2312" w:hAnsi="仿宋_GB2312" w:eastAsia="仿宋_GB2312" w:cs="仿宋_GB2312"/>
          <w:color w:val="000000" w:themeColor="text1"/>
          <w:sz w:val="32"/>
          <w:szCs w:val="32"/>
          <w:highlight w:val="none"/>
          <w14:textFill>
            <w14:solidFill>
              <w14:schemeClr w14:val="tx1"/>
            </w14:solidFill>
          </w14:textFill>
        </w:rPr>
        <w:t>习近平总书记视察乐城先行区并作出重要指示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这为琼海发展指明了方向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省第八次党代会提出：</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建设更高水平的健康岛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主要健康指标走在全国前列，全面实现“小病不进城、大病不出岛”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琼海全面实施“产城融合、城镇提质、乡村振兴”战略，推动</w:t>
      </w:r>
      <w:r>
        <w:rPr>
          <w:rFonts w:hint="eastAsia" w:ascii="仿宋_GB2312" w:hAnsi="仿宋_GB2312" w:eastAsia="仿宋_GB2312" w:cs="仿宋_GB2312"/>
          <w:color w:val="000000" w:themeColor="text1"/>
          <w:sz w:val="32"/>
          <w:szCs w:val="32"/>
          <w:highlight w:val="none"/>
          <w14:textFill>
            <w14:solidFill>
              <w14:schemeClr w14:val="tx1"/>
            </w14:solidFill>
          </w14:textFill>
        </w:rPr>
        <w:t>经济社会实现高质量发展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，争当滨海城市带建设“优等生”，这为琼海卫生健康事业带来新的发展机遇。</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kern w:val="2"/>
          <w:sz w:val="32"/>
          <w:szCs w:val="32"/>
          <w:highlight w:val="none"/>
          <w:shd w:val="clear"/>
          <w:lang w:val="en-US" w:eastAsia="zh-CN" w:bidi="ar-SA"/>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海南“三极一带一区”</w:t>
      </w:r>
      <w:r>
        <w:rPr>
          <w:rFonts w:hint="eastAsia" w:ascii="楷体_GB2312" w:hAnsi="楷体_GB2312" w:eastAsia="楷体_GB2312" w:cs="楷体_GB2312"/>
          <w:b/>
          <w:bCs/>
          <w:color w:val="000000" w:themeColor="text1"/>
          <w:sz w:val="32"/>
          <w:szCs w:val="32"/>
          <w:highlight w:val="none"/>
          <w:vertAlign w:val="superscript"/>
          <w:lang w:val="en-US" w:eastAsia="zh-CN"/>
          <w14:textFill>
            <w14:solidFill>
              <w14:schemeClr w14:val="tx1"/>
            </w14:solidFill>
          </w14:textFill>
        </w:rPr>
        <w:t>[5]</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建设和</w:t>
      </w:r>
      <w:r>
        <w:rPr>
          <w:rFonts w:hint="eastAsia" w:ascii="楷体_GB2312" w:hAnsi="楷体_GB2312" w:eastAsia="楷体_GB2312" w:cs="楷体_GB2312"/>
          <w:b/>
          <w:bCs/>
          <w:color w:val="000000" w:themeColor="text1"/>
          <w:kern w:val="2"/>
          <w:sz w:val="32"/>
          <w:szCs w:val="32"/>
          <w:highlight w:val="none"/>
          <w:shd w:val="clear"/>
          <w:lang w:val="en-US" w:eastAsia="zh-CN" w:bidi="ar-SA"/>
          <w14:textFill>
            <w14:solidFill>
              <w14:schemeClr w14:val="tx1"/>
            </w14:solidFill>
          </w14:textFill>
        </w:rPr>
        <w:t>健康观念转变</w:t>
      </w: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促进健康产业大发展。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海南自贸港背景下，琼海积极融入“三极一带一区”区域协调发展新格局和</w:t>
      </w:r>
      <w:r>
        <w:rPr>
          <w:rFonts w:hint="eastAsia" w:ascii="仿宋_GB2312" w:hAnsi="仿宋_GB2312" w:eastAsia="仿宋_GB2312" w:cs="仿宋_GB2312"/>
          <w:color w:val="000000" w:themeColor="text1"/>
          <w:sz w:val="32"/>
          <w:szCs w:val="32"/>
          <w:highlight w:val="none"/>
          <w14:textFill>
            <w14:solidFill>
              <w14:schemeClr w14:val="tx1"/>
            </w14:solidFill>
          </w14:textFill>
        </w:rPr>
        <w:t>滨海城市带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建设，打造国际医疗健康产业新高地，将充分利用区位、气候、资源、政策等优势，推动以乐城先行区为核心的健康产业高质量、特色化、国际化发展，以及产城研融合发展。</w:t>
      </w:r>
      <w:r>
        <w:rPr>
          <w:rFonts w:hint="eastAsia" w:ascii="仿宋_GB2312" w:hAnsi="仿宋_GB2312" w:eastAsia="仿宋_GB2312" w:cs="仿宋_GB2312"/>
          <w:color w:val="000000" w:themeColor="text1"/>
          <w:kern w:val="2"/>
          <w:sz w:val="32"/>
          <w:szCs w:val="32"/>
          <w:highlight w:val="none"/>
          <w:shd w:val="clear"/>
          <w:lang w:val="en-US" w:eastAsia="zh-CN" w:bidi="ar-SA"/>
          <w14:textFill>
            <w14:solidFill>
              <w14:schemeClr w14:val="tx1"/>
            </w14:solidFill>
          </w14:textFill>
        </w:rPr>
        <w:t>新冠疫情让公众的健康观念意识上升到新的高度，群众在健康方面的消费比例逐步上升，大健康产业进入“全民需求时代”，其市场规模将呈量级增长。</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公共卫生安全风险防控面临新要求。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新冠疫情防控进入常态化，但外防输入、内防反弹压力依然很大。随着琼海深入推进滨海中心城市和</w:t>
      </w:r>
      <w:r>
        <w:rPr>
          <w:rFonts w:hint="eastAsia" w:ascii="仿宋_GB2312" w:hAnsi="仿宋_GB2312" w:eastAsia="仿宋_GB2312" w:cs="仿宋_GB2312"/>
          <w:color w:val="000000" w:themeColor="text1"/>
          <w:sz w:val="32"/>
          <w:szCs w:val="32"/>
          <w:highlight w:val="none"/>
          <w14:textFill>
            <w14:solidFill>
              <w14:schemeClr w14:val="tx1"/>
            </w14:solidFill>
          </w14:textFill>
        </w:rPr>
        <w:t>新型城镇化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建设，人员聚集度提升且流动加快，</w:t>
      </w:r>
      <w:r>
        <w:rPr>
          <w:rFonts w:hint="eastAsia" w:ascii="仿宋_GB2312" w:hAnsi="仿宋_GB2312" w:eastAsia="仿宋_GB2312" w:cs="仿宋_GB2312"/>
          <w:color w:val="000000" w:themeColor="text1"/>
          <w:sz w:val="32"/>
          <w:szCs w:val="32"/>
          <w:highlight w:val="none"/>
          <w14:textFill>
            <w14:solidFill>
              <w14:schemeClr w14:val="tx1"/>
            </w14:solidFill>
          </w14:textFill>
        </w:rPr>
        <w:t>候鸟人口和旅游人口增加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增加了突发公共卫生事件的风险，迫切需要完善</w:t>
      </w:r>
      <w:r>
        <w:rPr>
          <w:rFonts w:hint="eastAsia" w:ascii="仿宋_GB2312" w:hAnsi="仿宋_GB2312" w:eastAsia="仿宋_GB2312" w:cs="仿宋_GB2312"/>
          <w:color w:val="000000" w:themeColor="text1"/>
          <w:sz w:val="32"/>
          <w:szCs w:val="32"/>
          <w:highlight w:val="none"/>
          <w14:textFill>
            <w14:solidFill>
              <w14:schemeClr w14:val="tx1"/>
            </w14:solidFill>
          </w14:textFill>
        </w:rPr>
        <w:t>“全健康”</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联动机制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提升公共卫生安全防控能力。</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人口城镇化、老龄化和健康需求变化带来新挑战。</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2020年琼海市常住人口52.14万人，其中，城镇人口26.36万人，城镇化率49.69%，城镇化进程加快；65岁及以上人口占14.1%，高于全省的10.43%。2020年全年总诊疗人次达275.33万人次，住院人数7.27万人次，市域内住院率提升至79.03%左右，医院平均住院日6.7天。随着老龄化程度逐渐加深，城乡居民慢性病发病率有所升高，出生人口数量呈逐年减少态势，这对促进人口长期均衡发展和养老托育服务健康发展提出了新要求。</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新科技和新业态飞速发展推动深刻转型。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前沿医学技术研发提速，新疗法、新药物、新材料和新器械创新迸发，5G技术、人工智能、大数据、物联网、区块链、云计算等信息技术推动医疗行业发展，“互联网+医疗”服务新方式新业态不断涌现，将深刻改变卫生健康技术服务和管理模式。</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10" w:name="_Toc4921"/>
      <w:bookmarkStart w:id="11" w:name="_Toc19859"/>
      <w:r>
        <w:rPr>
          <w:rFonts w:hint="eastAsia" w:ascii="黑体" w:hAnsi="黑体" w:eastAsia="黑体" w:cs="黑体"/>
          <w:color w:val="000000" w:themeColor="text1"/>
          <w:sz w:val="32"/>
          <w:szCs w:val="32"/>
          <w:highlight w:val="none"/>
          <w:lang w:val="en-US" w:eastAsia="zh-CN"/>
          <w14:textFill>
            <w14:solidFill>
              <w14:schemeClr w14:val="tx1"/>
            </w14:solidFill>
          </w14:textFill>
        </w:rPr>
        <w:t>二、总体要求</w:t>
      </w:r>
      <w:bookmarkEnd w:id="10"/>
      <w:bookmarkEnd w:id="11"/>
      <w:bookmarkStart w:id="12" w:name="_Toc3274"/>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13" w:name="_Toc27709"/>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（一）指导思想</w:t>
      </w:r>
      <w:bookmarkEnd w:id="12"/>
      <w:bookmarkEnd w:id="13"/>
      <w:r>
        <w:rPr>
          <w:rFonts w:hint="eastAsia" w:ascii="楷体" w:hAnsi="楷体" w:eastAsia="楷体" w:cs="楷体"/>
          <w:b/>
          <w:bCs/>
          <w:color w:val="000000" w:themeColor="text1"/>
          <w:sz w:val="32"/>
          <w:szCs w:val="32"/>
          <w:highlight w:val="none"/>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以习近平新时代中国特色社会主义思想为指导，锚定</w:t>
      </w:r>
      <w:r>
        <w:rPr>
          <w:rFonts w:hint="eastAsia" w:ascii="仿宋_GB2312" w:hAnsi="仿宋_GB2312" w:eastAsia="仿宋_GB2312" w:cs="仿宋_GB2312"/>
          <w:color w:val="000000" w:themeColor="text1"/>
          <w:sz w:val="32"/>
          <w:szCs w:val="32"/>
          <w:highlight w:val="none"/>
          <w14:textFill>
            <w14:solidFill>
              <w14:schemeClr w14:val="tx1"/>
            </w14:solidFill>
          </w14:textFill>
        </w:rPr>
        <w:t>“一本三基四梁八柱”</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highlight w:val="none"/>
          <w14:textFill>
            <w14:solidFill>
              <w14:schemeClr w14:val="tx1"/>
            </w14:solidFill>
          </w14:textFill>
        </w:rPr>
        <w:t>战略框架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，全面贯彻省第八次和市第十四次党代会精神，</w:t>
      </w:r>
      <w:r>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t>坚持稳中求进工作总基调，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新时代卫生健康工作方针，以人民健康为中心，以高质量发展为主题，以改革创新为动力，以主动融入、服务于海南自由贸易港建设为根本要求，对标国内国际先进水平，树立“大卫生”“全健康”理念，全面推进健康琼海建设，聚焦影响琼海人民健康的重大风险因素和突出问题，补短板强弱项，完善全人群全方位全生命周期健康服务，统筹抓好卫生健康事业发展和公共卫生安全两件大事，建立健全</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“四大体系”</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14:textFill>
            <w14:solidFill>
              <w14:schemeClr w14:val="tx1"/>
            </w14:solidFill>
          </w14:textFill>
        </w:rPr>
        <w:t>“产城融合、城镇提质、乡村振兴”三大战略实施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争当滨海城市带建设“优等生”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提供卫生健康支撑保障。</w:t>
      </w:r>
      <w:bookmarkStart w:id="14" w:name="_Toc27525"/>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15" w:name="_Toc15454"/>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（二）基本原则</w:t>
      </w:r>
      <w:bookmarkEnd w:id="14"/>
      <w:bookmarkEnd w:id="15"/>
      <w:r>
        <w:rPr>
          <w:rFonts w:hint="eastAsia" w:ascii="楷体" w:hAnsi="楷体" w:eastAsia="楷体" w:cs="楷体"/>
          <w:b/>
          <w:bCs/>
          <w:color w:val="000000" w:themeColor="text1"/>
          <w:sz w:val="32"/>
          <w:szCs w:val="32"/>
          <w:highlight w:val="none"/>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——以人为本，健康优先。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以人民群众日益增长的美好健康生活需求为出发点，始终把保障人民健康放在优先发展的战略位置，将健康融入所有政策，坚持卫生健康事业公益性，进一步强化卫生健康领域的政府责任。</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——预防为主，医防融合。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14:textFill>
            <w14:solidFill>
              <w14:schemeClr w14:val="tx1"/>
            </w14:solidFill>
          </w14:textFill>
        </w:rPr>
        <w:t>预防摆在更加突出的位置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，推动以疾病治疗为中心向以健康为中心转变，落实疾病防治关口前移。加强医防融合，强化群防群控、联防联控机制，加大多部门紧密联动与有效协同，致力实现“全民健康”。</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——均衡布局，强化基层。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全面落实“全省一盘棋、全岛同城化”理念，坚持“全市一盘棋、城乡一体化”发展，加快</w:t>
      </w:r>
      <w:r>
        <w:rPr>
          <w:rFonts w:hint="eastAsia" w:ascii="仿宋_GB2312" w:hAnsi="仿宋_GB2312" w:eastAsia="仿宋_GB2312" w:cs="仿宋_GB2312"/>
          <w:color w:val="000000" w:themeColor="text1"/>
          <w:sz w:val="32"/>
          <w:szCs w:val="32"/>
          <w:highlight w:val="none"/>
          <w14:textFill>
            <w14:solidFill>
              <w14:schemeClr w14:val="tx1"/>
            </w14:solidFill>
          </w14:textFill>
        </w:rPr>
        <w:t>优质资源扩容和全域性一体化均衡布局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。坚持以基层为重点，推动资源下沉，密切上下协作，强化基层卫生网底作用，提高基层防病治病和健康管理能力，以及基本医疗卫生服务公平性和可及性。</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——战略导向，服务发展。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积极应对人口结构变化挑战，</w:t>
      </w:r>
      <w:r>
        <w:rPr>
          <w:rFonts w:hint="eastAsia" w:ascii="仿宋_GB2312" w:hAnsi="仿宋_GB2312" w:eastAsia="仿宋_GB2312" w:cs="仿宋_GB2312"/>
          <w:color w:val="000000" w:themeColor="text1"/>
          <w:sz w:val="32"/>
          <w:szCs w:val="32"/>
          <w:highlight w:val="none"/>
          <w14:textFill>
            <w14:solidFill>
              <w14:schemeClr w14:val="tx1"/>
            </w14:solidFill>
          </w14:textFill>
        </w:rPr>
        <w:t>顺应新一轮科技革命和产业变革趋势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，推动健康服务和服务保障能力体系转型发展，提升乐城先行区医疗健康产业核心引领能力，增强滨海中心城市能级和旅游+医疗健康产业核心竞争力，</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推动卫生健康事业跨越式发展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——改革创新，共建共享。</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将制度集成创新摆在突出位置，深化卫生健康领域供给侧结构性改革，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正确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把握五种关系</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，破除重点领域关键环节壁垒障碍，先行先试、大胆创新，激发人才活力，完善政府、社会、个人共同行动的体制机制，形成共建共治共享格局。</w:t>
      </w:r>
      <w:bookmarkStart w:id="16" w:name="_Toc5862"/>
    </w:p>
    <w:bookmarkEnd w:id="16"/>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bookmarkStart w:id="17" w:name="_Toc15670"/>
      <w:bookmarkStart w:id="18" w:name="_Toc21923"/>
      <w:r>
        <w:rPr>
          <w:rFonts w:hint="eastAsia" w:ascii="黑体" w:hAnsi="黑体" w:eastAsia="黑体" w:cs="黑体"/>
          <w:color w:val="000000" w:themeColor="text1"/>
          <w:sz w:val="32"/>
          <w:szCs w:val="32"/>
          <w:highlight w:val="none"/>
          <w:lang w:val="en-US" w:eastAsia="zh-CN"/>
          <w14:textFill>
            <w14:solidFill>
              <w14:schemeClr w14:val="tx1"/>
            </w14:solidFill>
          </w14:textFill>
        </w:rPr>
        <w:t>三、发展</w:t>
      </w:r>
      <w:bookmarkEnd w:id="17"/>
      <w:bookmarkStart w:id="19" w:name="_Toc23932"/>
      <w:r>
        <w:rPr>
          <w:rFonts w:hint="eastAsia" w:ascii="黑体" w:hAnsi="黑体" w:eastAsia="黑体" w:cs="黑体"/>
          <w:color w:val="000000" w:themeColor="text1"/>
          <w:sz w:val="32"/>
          <w:szCs w:val="32"/>
          <w:highlight w:val="none"/>
          <w:lang w:val="en-US" w:eastAsia="zh-CN"/>
          <w14:textFill>
            <w14:solidFill>
              <w14:schemeClr w14:val="tx1"/>
            </w14:solidFill>
          </w14:textFill>
        </w:rPr>
        <w:t>思路</w:t>
      </w:r>
      <w:bookmarkEnd w:id="18"/>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20" w:name="_Toc23369"/>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（一）发展</w:t>
      </w:r>
      <w:bookmarkEnd w:id="19"/>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定位</w:t>
      </w:r>
      <w:bookmarkEnd w:id="20"/>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“十四五”时期，以海南自由贸易港、“三极一带一区”</w:t>
      </w:r>
      <w:r>
        <w:rPr>
          <w:rFonts w:hint="eastAsia" w:ascii="仿宋_GB2312" w:hAnsi="仿宋_GB2312" w:eastAsia="仿宋_GB2312" w:cs="仿宋_GB2312"/>
          <w:color w:val="000000" w:themeColor="text1"/>
          <w:sz w:val="32"/>
          <w:szCs w:val="32"/>
          <w:highlight w:val="none"/>
          <w14:textFill>
            <w14:solidFill>
              <w14:schemeClr w14:val="tx1"/>
            </w14:solidFill>
          </w14:textFill>
        </w:rPr>
        <w:t>滨海中心城市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建设和</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产城融合、城镇提质、乡村振兴”三大战略为导向，以“资源整合、布局优化、能力提升”为重点，引领全市卫生健康事业实现高质量发展，争当滨海城市带建设“优等生”中的“排头兵”，努力将琼海打造成“五大东部区域医疗卫生中心”和康养医疗“一中心三区”。即：</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——五大东部区域医疗卫生中心</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以加快推进市人民医院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综合服务能力建设</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为依托，</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打造</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海南东部区域医疗中心</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以巩固提升市中医院三级甲等服务能力和水平为依托，</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打造</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海南东部区域中医药服务中心</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以三级妇幼保健院标准建设</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市妇幼保健院新院区，依托上海市儿童医院帮扶支持，整合全市妇幼健康资源，</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打造</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海南东部区域妇幼保健中心</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；融合市</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疾病预防控制中心</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和市皮肤性病与精神卫生防治中心功能，</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向东部市县提供传染病防控和公共卫生服务，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打造</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海南东部区域疾病预防控制中心</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；推动新建市人民医院的公共卫生大楼项目，提升医院疑难危重症病例诊治和紧急医学救援能力</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打造</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海南东部医疗急救中心。</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9"/>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w:t>
      </w:r>
      <w:r>
        <w:rPr>
          <w:rFonts w:hint="eastAsia" w:ascii="楷体_GB2312" w:hAnsi="楷体_GB2312" w:eastAsia="楷体_GB2312" w:cs="楷体_GB2312"/>
          <w:b/>
          <w:bCs/>
          <w:color w:val="000000" w:themeColor="text1"/>
          <w:kern w:val="2"/>
          <w:sz w:val="32"/>
          <w:szCs w:val="32"/>
          <w:highlight w:val="none"/>
          <w:lang w:val="en-US" w:eastAsia="zh-CN" w:bidi="ar-SA"/>
          <w14:textFill>
            <w14:solidFill>
              <w14:schemeClr w14:val="tx1"/>
            </w14:solidFill>
          </w14:textFill>
        </w:rPr>
        <w:t>康养医疗“一中心三区”：</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发挥博鳌乐城国际医疗旅游乐城先行区先行先试政策优势，以及国际先进药械、</w:t>
      </w:r>
      <w:r>
        <w:rPr>
          <w:rFonts w:hint="eastAsia" w:ascii="仿宋_GB2312" w:hAnsi="仿宋_GB2312" w:eastAsia="仿宋_GB2312" w:cs="仿宋_GB2312"/>
          <w:color w:val="000000" w:themeColor="text1"/>
          <w:sz w:val="32"/>
          <w:szCs w:val="32"/>
          <w:highlight w:val="none"/>
          <w14:textFill>
            <w14:solidFill>
              <w14:schemeClr w14:val="tx1"/>
            </w14:solidFill>
          </w14:textFill>
        </w:rPr>
        <w:t>高端健康管理机构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高尖端医疗项目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优质医疗机构/专家团队、国际国内一流人才、</w:t>
      </w:r>
      <w:r>
        <w:rPr>
          <w:rFonts w:hint="eastAsia" w:ascii="仿宋_GB2312" w:hAnsi="仿宋_GB2312" w:eastAsia="仿宋_GB2312" w:cs="仿宋_GB2312"/>
          <w:color w:val="000000" w:themeColor="text1"/>
          <w:sz w:val="32"/>
          <w:szCs w:val="32"/>
          <w:highlight w:val="none"/>
          <w14:textFill>
            <w14:solidFill>
              <w14:schemeClr w14:val="tx1"/>
            </w14:solidFill>
          </w14:textFill>
        </w:rPr>
        <w:t>优质医学教育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科研资源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医疗健康领域国际学术交流平台</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等高端要素集聚优势，辐射周边区域、全省乃至全国，带动全省康养产业高水平发展为依托，将琼海打造成</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全球领先的</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康养中心</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康养人才聚集区</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和世界一流的</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康养服务区</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气候医疗服务区。</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21" w:name="_Toc28807"/>
      <w:bookmarkStart w:id="22" w:name="_Toc19111"/>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（二）发展目标</w:t>
      </w:r>
      <w:bookmarkEnd w:id="21"/>
      <w:bookmarkEnd w:id="22"/>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到2025年，与海南自贸港建设、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争当滨海城市带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“优等生”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目标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相匹配，与社会主义现代化相适应的琼海市卫生健康领域“四大体系”逐步健全，全面实现“小病不进城、常见病多发病不出市、大病不出岛”。</w:t>
      </w:r>
    </w:p>
    <w:p>
      <w:pPr>
        <w:adjustRightInd/>
        <w:snapToGrid w:val="0"/>
        <w:spacing w:line="590" w:lineRule="exact"/>
        <w:ind w:firstLine="643"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——居民健康水平持续提升。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“健康融入所有政策”取得积极进展，健康生活方式得到全面普及，人均预期寿命达到81岁以上，婴儿死亡率≤3.5‰，5岁以下儿童死亡率≤5.5‰，孕产妇死亡率≤10/10万。</w:t>
      </w:r>
    </w:p>
    <w:p>
      <w:pPr>
        <w:adjustRightInd/>
        <w:snapToGrid w:val="0"/>
        <w:spacing w:line="590"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——公共卫生保障能力显著增强。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弱项短板填平补齐，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有效应对重大疫情和突发公共卫生事件的疾病预防控制体系和应急救治体系更加健全，疾病预防控制能力</w:t>
      </w:r>
      <w:r>
        <w:rPr>
          <w:rFonts w:hint="eastAsia" w:ascii="仿宋_GB2312" w:hAnsi="仿宋_GB2312" w:eastAsia="仿宋_GB2312" w:cs="仿宋_GB2312"/>
          <w:color w:val="000000" w:themeColor="text1"/>
          <w:sz w:val="32"/>
          <w:szCs w:val="32"/>
          <w:highlight w:val="none"/>
          <w14:textFill>
            <w14:solidFill>
              <w14:schemeClr w14:val="tx1"/>
            </w14:solidFill>
          </w14:textFill>
        </w:rPr>
        <w:t>与应急响应能力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明显提高，市疾控中心达到海南东部疾控中心标准化建设要求。</w:t>
      </w:r>
    </w:p>
    <w:p>
      <w:pPr>
        <w:adjustRightInd/>
        <w:snapToGrid w:val="0"/>
        <w:spacing w:line="590" w:lineRule="exact"/>
        <w:ind w:firstLine="643" w:firstLineChars="200"/>
        <w:jc w:val="left"/>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——卫生健康服务能力大幅提升。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医共体为抓手，整合型医疗卫生服务体系逐步健全，医疗保障和服务能力显著提升。实现市级优质医疗资源全面下沉，医疗卫生资源配置更加优化，市级医院急救能力和常见病、多发病诊治水平整体提升，基层医疗机构服务能力和水平显著增强，群众满意度不断提高。卫生健康领域数字化、信息化水平明显提升。</w:t>
      </w:r>
    </w:p>
    <w:p>
      <w:pPr>
        <w:adjustRightInd/>
        <w:snapToGrid w:val="0"/>
        <w:spacing w:line="590"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——综合医改形成琼海新经验。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全市卫生健康机构区域布局、整合提升更加合理，职能职责更加明晰；公立医院综合改革、三医联动</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改革等方面成果丰富；人才队伍建设再上新台阶，营商环境加速优化，多元卫生健康治理机制逐步形成，五项基本医疗卫生制度更加成熟定型，对外开放交流合作水平显著提升，市域内就诊率保持在90%以上。</w:t>
      </w:r>
    </w:p>
    <w:p>
      <w:pPr>
        <w:keepNext w:val="0"/>
        <w:keepLines w:val="0"/>
        <w:pageBreakBefore w:val="0"/>
        <w:widowControl w:val="0"/>
        <w:kinsoku/>
        <w:wordWrap/>
        <w:overflowPunct/>
        <w:topLinePunct w:val="0"/>
        <w:autoSpaceDE/>
        <w:autoSpaceDN/>
        <w:bidi w:val="0"/>
        <w:adjustRightInd/>
        <w:snapToGrid w:val="0"/>
        <w:spacing w:after="313" w:afterLines="100" w:line="590" w:lineRule="exact"/>
        <w:ind w:firstLine="643"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——医疗健康产业稳健前行。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用好用足自贸港政策，支持服务乐城先行区高质量发展更有保障，周边基础配套设施加速完善，产城融合明显加快。乐城先行区国际医疗旅游和高端医疗服务集聚发展，辐射带动能力和核心竞争力充分发挥，医疗健康产业实现跨越式发展，力争2025年实现营业收入突破50亿元，全市健康产业增加值占全市GDP比重达到10%以上。</w:t>
      </w:r>
      <w:bookmarkStart w:id="23" w:name="_Toc24769"/>
    </w:p>
    <w:p>
      <w:pPr>
        <w:pStyle w:val="2"/>
        <w:rPr>
          <w:rFonts w:hint="eastAsia"/>
          <w:highlight w:val="none"/>
          <w:lang w:val="en-US" w:eastAsia="zh-CN"/>
        </w:rPr>
      </w:pPr>
    </w:p>
    <w:tbl>
      <w:tblPr>
        <w:tblStyle w:val="14"/>
        <w:tblW w:w="8957" w:type="dxa"/>
        <w:jc w:val="center"/>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3261"/>
        <w:gridCol w:w="1094"/>
        <w:gridCol w:w="1073"/>
        <w:gridCol w:w="1086"/>
        <w:gridCol w:w="1087"/>
        <w:gridCol w:w="461"/>
        <w:gridCol w:w="43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30" w:type="dxa"/>
          <w:trHeight w:val="588" w:hRule="atLeast"/>
          <w:tblHeader/>
          <w:jc w:val="center"/>
        </w:trPr>
        <w:tc>
          <w:tcPr>
            <w:tcW w:w="8527" w:type="dxa"/>
            <w:gridSpan w:val="7"/>
            <w:tcBorders>
              <w:left w:val="nil"/>
              <w:right w:val="nil"/>
            </w:tcBorders>
            <w:noWrap w:val="0"/>
            <w:vAlign w:val="center"/>
          </w:tcPr>
          <w:p>
            <w:pPr>
              <w:ind w:left="0" w:leftChars="0" w:right="0" w:firstLine="0" w:firstLineChars="0"/>
              <w:jc w:val="center"/>
              <w:rPr>
                <w:rFonts w:hint="eastAsia" w:ascii="黑体" w:hAnsi="黑体" w:eastAsia="黑体" w:cs="黑体"/>
                <w:b/>
                <w:bCs/>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“十四五”琼海市卫生健康发展主要指标表</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blHeader/>
          <w:jc w:val="center"/>
        </w:trPr>
        <w:tc>
          <w:tcPr>
            <w:tcW w:w="465" w:type="dxa"/>
            <w:tcBorders>
              <w:tl2br w:val="nil"/>
              <w:tr2bl w:val="nil"/>
            </w:tcBorders>
            <w:shd w:val="clear" w:color="auto" w:fill="DAE3F3" w:themeFill="accent5" w:themeFillTint="32"/>
            <w:noWrap w:val="0"/>
            <w:vAlign w:val="center"/>
          </w:tcPr>
          <w:p>
            <w:pPr>
              <w:ind w:left="0" w:leftChars="0" w:right="0" w:firstLine="0" w:firstLine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类别</w:t>
            </w:r>
          </w:p>
        </w:tc>
        <w:tc>
          <w:tcPr>
            <w:tcW w:w="3261" w:type="dxa"/>
            <w:tcBorders>
              <w:tl2br w:val="nil"/>
              <w:tr2bl w:val="nil"/>
            </w:tcBorders>
            <w:shd w:val="clear" w:color="auto" w:fill="DAE3F3" w:themeFill="accent5" w:themeFillTint="32"/>
            <w:noWrap w:val="0"/>
            <w:vAlign w:val="center"/>
          </w:tcPr>
          <w:p>
            <w:pPr>
              <w:ind w:left="0" w:leftChars="0" w:right="0" w:firstLine="0" w:firstLine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指标名称</w:t>
            </w:r>
          </w:p>
        </w:tc>
        <w:tc>
          <w:tcPr>
            <w:tcW w:w="1094" w:type="dxa"/>
            <w:tcBorders>
              <w:tl2br w:val="nil"/>
              <w:tr2bl w:val="nil"/>
            </w:tcBorders>
            <w:shd w:val="clear" w:color="auto" w:fill="DAE3F3" w:themeFill="accent5" w:themeFillTint="32"/>
            <w:noWrap w:val="0"/>
            <w:vAlign w:val="center"/>
          </w:tcPr>
          <w:p>
            <w:pPr>
              <w:ind w:left="0" w:leftChars="0" w:right="0" w:firstLine="0" w:firstLine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2020年</w:t>
            </w:r>
          </w:p>
          <w:p>
            <w:pPr>
              <w:ind w:left="0" w:leftChars="0" w:right="0" w:firstLine="0" w:firstLineChars="0"/>
              <w:jc w:val="center"/>
              <w:rPr>
                <w:rFonts w:hint="default"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琼海情况</w:t>
            </w:r>
          </w:p>
        </w:tc>
        <w:tc>
          <w:tcPr>
            <w:tcW w:w="1073" w:type="dxa"/>
            <w:tcBorders>
              <w:tl2br w:val="nil"/>
              <w:tr2bl w:val="nil"/>
            </w:tcBorders>
            <w:shd w:val="clear" w:color="auto" w:fill="DAE3F3" w:themeFill="accent5" w:themeFillTint="32"/>
            <w:noWrap w:val="0"/>
            <w:vAlign w:val="center"/>
          </w:tcPr>
          <w:p>
            <w:pPr>
              <w:ind w:left="0" w:leftChars="0" w:right="0" w:firstLine="0" w:firstLine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2020年</w:t>
            </w:r>
          </w:p>
          <w:p>
            <w:pPr>
              <w:ind w:left="0" w:leftChars="0" w:right="0" w:firstLine="0" w:firstLineChars="0"/>
              <w:jc w:val="center"/>
              <w:rPr>
                <w:rFonts w:hint="default"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全省情况</w:t>
            </w:r>
          </w:p>
        </w:tc>
        <w:tc>
          <w:tcPr>
            <w:tcW w:w="1086" w:type="dxa"/>
            <w:tcBorders>
              <w:tl2br w:val="nil"/>
              <w:tr2bl w:val="nil"/>
            </w:tcBorders>
            <w:shd w:val="clear" w:color="auto" w:fill="DAE3F3" w:themeFill="accent5" w:themeFillTint="32"/>
            <w:noWrap w:val="0"/>
            <w:vAlign w:val="center"/>
          </w:tcPr>
          <w:p>
            <w:pPr>
              <w:ind w:left="0" w:leftChars="0" w:right="0" w:firstLine="0" w:firstLineChars="0"/>
              <w:jc w:val="center"/>
              <w:rPr>
                <w:rFonts w:hint="eastAsia" w:ascii="仿宋_GB2312" w:hAnsi="仿宋_GB2312" w:eastAsia="仿宋_GB2312" w:cs="仿宋_GB2312"/>
                <w:b/>
                <w:bCs/>
                <w:sz w:val="21"/>
                <w:szCs w:val="21"/>
                <w:highlight w:val="none"/>
                <w:lang w:val="en-US" w:eastAsia="zh-CN"/>
              </w:rPr>
            </w:pPr>
            <w:r>
              <w:rPr>
                <w:rFonts w:hint="eastAsia" w:ascii="仿宋_GB2312" w:hAnsi="仿宋_GB2312" w:eastAsia="仿宋_GB2312" w:cs="仿宋_GB2312"/>
                <w:b/>
                <w:bCs/>
                <w:color w:val="000000" w:themeColor="text1"/>
                <w:kern w:val="2"/>
                <w:sz w:val="21"/>
                <w:szCs w:val="21"/>
                <w:highlight w:val="none"/>
                <w:lang w:val="en-US" w:eastAsia="zh-CN" w:bidi="ar-SA"/>
                <w14:textFill>
                  <w14:solidFill>
                    <w14:schemeClr w14:val="tx1"/>
                  </w14:solidFill>
                </w14:textFill>
              </w:rPr>
              <w:t>2025年</w:t>
            </w:r>
          </w:p>
          <w:p>
            <w:pPr>
              <w:pStyle w:val="2"/>
              <w:ind w:firstLine="0" w:firstLineChars="0"/>
              <w:jc w:val="center"/>
              <w:rPr>
                <w:rFonts w:hint="default" w:asciiTheme="minorHAnsi" w:hAnsiTheme="minorHAnsi" w:eastAsiaTheme="minorEastAsia" w:cstheme="minorBidi"/>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琼海目标</w:t>
            </w:r>
          </w:p>
        </w:tc>
        <w:tc>
          <w:tcPr>
            <w:tcW w:w="1087" w:type="dxa"/>
            <w:tcBorders>
              <w:tl2br w:val="nil"/>
              <w:tr2bl w:val="nil"/>
            </w:tcBorders>
            <w:shd w:val="clear" w:color="auto" w:fill="DAE3F3" w:themeFill="accent5" w:themeFillTint="32"/>
            <w:noWrap w:val="0"/>
            <w:vAlign w:val="center"/>
          </w:tcPr>
          <w:p>
            <w:pPr>
              <w:ind w:left="0" w:leftChars="0" w:right="0" w:firstLine="0" w:firstLine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2025年</w:t>
            </w:r>
          </w:p>
          <w:p>
            <w:pPr>
              <w:ind w:left="0" w:leftChars="0" w:right="0" w:firstLine="0" w:firstLineChars="0"/>
              <w:jc w:val="center"/>
              <w:rPr>
                <w:rFonts w:hint="default"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全省目标</w:t>
            </w:r>
          </w:p>
        </w:tc>
        <w:tc>
          <w:tcPr>
            <w:tcW w:w="891" w:type="dxa"/>
            <w:gridSpan w:val="2"/>
            <w:tcBorders>
              <w:tl2br w:val="nil"/>
              <w:tr2bl w:val="nil"/>
            </w:tcBorders>
            <w:shd w:val="clear" w:color="auto" w:fill="DAE3F3" w:themeFill="accent5" w:themeFillTint="32"/>
            <w:noWrap w:val="0"/>
            <w:vAlign w:val="center"/>
          </w:tcPr>
          <w:p>
            <w:pPr>
              <w:ind w:left="0" w:leftChars="0" w:right="0" w:firstLine="0" w:firstLineChars="0"/>
              <w:jc w:val="cente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1"/>
                <w:szCs w:val="21"/>
                <w:highlight w:val="none"/>
                <w:lang w:val="en-US" w:eastAsia="zh-CN" w:bidi="ar-SA"/>
                <w14:textFill>
                  <w14:solidFill>
                    <w14:schemeClr w14:val="tx1"/>
                  </w14:solidFill>
                </w14:textFill>
              </w:rPr>
              <w:t>属性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465" w:type="dxa"/>
            <w:vMerge w:val="restart"/>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健</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康</w:t>
            </w:r>
          </w:p>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水</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平</w:t>
            </w: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人均</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预期</w:t>
            </w:r>
            <w:r>
              <w:rPr>
                <w:rFonts w:hint="eastAsia" w:ascii="仿宋_GB2312" w:hAnsi="仿宋_GB2312" w:eastAsia="仿宋_GB2312" w:cs="仿宋_GB2312"/>
                <w:color w:val="000000" w:themeColor="text1"/>
                <w:sz w:val="21"/>
                <w:szCs w:val="21"/>
                <w:highlight w:val="none"/>
                <w14:textFill>
                  <w14:solidFill>
                    <w14:schemeClr w14:val="tx1"/>
                  </w14:solidFill>
                </w14:textFill>
              </w:rPr>
              <w:t>寿命</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（岁）</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78.4</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79</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81</w:t>
            </w:r>
          </w:p>
        </w:tc>
        <w:tc>
          <w:tcPr>
            <w:tcW w:w="1087" w:type="dxa"/>
            <w:tcBorders>
              <w:tl2br w:val="nil"/>
              <w:tr2bl w:val="nil"/>
            </w:tcBorders>
            <w:noWrap w:val="0"/>
            <w:vAlign w:val="center"/>
          </w:tcPr>
          <w:p>
            <w:pPr>
              <w:ind w:left="0" w:leftChars="0" w:right="0" w:firstLine="0" w:firstLineChars="0"/>
              <w:jc w:val="center"/>
              <w:rPr>
                <w:rFonts w:hint="default"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81</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孕产妇死亡率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/10万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jc w:val="cente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18.8</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15.01</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≤10</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≤10</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婴儿死亡率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2.0</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4.02</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2</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≤3.5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5岁以下儿童死亡率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2.66</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5.72</w:t>
            </w:r>
          </w:p>
        </w:tc>
        <w:tc>
          <w:tcPr>
            <w:tcW w:w="1086"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2.5</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5.5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重大慢性病过早死亡率（</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13.66</w:t>
            </w:r>
          </w:p>
        </w:tc>
        <w:tc>
          <w:tcPr>
            <w:tcW w:w="1073"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13.41</w:t>
            </w:r>
          </w:p>
          <w:p>
            <w:pPr>
              <w:adjustRightInd/>
              <w:snapToGrid/>
              <w:spacing w:line="240" w:lineRule="auto"/>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15"/>
                <w:szCs w:val="15"/>
                <w:highlight w:val="none"/>
                <w:lang w:val="en-US" w:eastAsia="zh-CN"/>
                <w14:textFill>
                  <w14:solidFill>
                    <w14:schemeClr w14:val="tx1"/>
                  </w14:solidFill>
                </w14:textFill>
              </w:rPr>
              <w:t>（2019年）</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≤13</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≤13</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465" w:type="dxa"/>
            <w:vMerge w:val="restart"/>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健康生活</w:t>
            </w: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居民健康素养水平</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25.8</w:t>
            </w:r>
          </w:p>
        </w:tc>
        <w:tc>
          <w:tcPr>
            <w:tcW w:w="1073" w:type="dxa"/>
            <w:tcBorders>
              <w:tl2br w:val="nil"/>
              <w:tr2bl w:val="nil"/>
            </w:tcBorders>
            <w:noWrap w:val="0"/>
            <w:vAlign w:val="center"/>
          </w:tcPr>
          <w:p>
            <w:pPr>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20.15</w:t>
            </w:r>
          </w:p>
        </w:tc>
        <w:tc>
          <w:tcPr>
            <w:tcW w:w="1086" w:type="dxa"/>
            <w:tcBorders>
              <w:tl2br w:val="nil"/>
              <w:tr2bl w:val="nil"/>
            </w:tcBorders>
            <w:noWrap w:val="0"/>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&gt;30</w:t>
            </w:r>
          </w:p>
        </w:tc>
        <w:tc>
          <w:tcPr>
            <w:tcW w:w="1087" w:type="dxa"/>
            <w:tcBorders>
              <w:tl2br w:val="nil"/>
              <w:tr2bl w:val="nil"/>
            </w:tcBorders>
            <w:noWrap w:val="0"/>
            <w:vAlign w:val="center"/>
          </w:tcPr>
          <w:p>
            <w:pPr>
              <w:ind w:left="0" w:leftChars="0" w:right="0" w:rightChars="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t>&gt;30</w:t>
            </w:r>
          </w:p>
        </w:tc>
        <w:tc>
          <w:tcPr>
            <w:tcW w:w="891" w:type="dxa"/>
            <w:gridSpan w:val="2"/>
            <w:tcBorders>
              <w:tl2br w:val="nil"/>
              <w:tr2bl w:val="nil"/>
            </w:tcBorders>
            <w:noWrap w:val="0"/>
            <w:vAlign w:val="center"/>
          </w:tcPr>
          <w:p>
            <w:pPr>
              <w:ind w:left="0" w:leftChars="0" w:right="0" w:rightChars="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15岁以上人群吸烟率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26</w:t>
            </w:r>
          </w:p>
        </w:tc>
        <w:tc>
          <w:tcPr>
            <w:tcW w:w="1073" w:type="dxa"/>
            <w:tcBorders>
              <w:tl2br w:val="nil"/>
              <w:tr2bl w:val="nil"/>
            </w:tcBorders>
            <w:noWrap w:val="0"/>
            <w:vAlign w:val="center"/>
          </w:tcPr>
          <w:p>
            <w:pPr>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25.8</w:t>
            </w:r>
          </w:p>
        </w:tc>
        <w:tc>
          <w:tcPr>
            <w:tcW w:w="1086" w:type="dxa"/>
            <w:tcBorders>
              <w:tl2br w:val="nil"/>
              <w:tr2bl w:val="nil"/>
            </w:tcBorders>
            <w:noWrap w:val="0"/>
            <w:vAlign w:val="center"/>
          </w:tcPr>
          <w:p>
            <w:pPr>
              <w:jc w:val="center"/>
              <w:rPr>
                <w:rFonts w:hint="default"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&lt;22</w:t>
            </w:r>
          </w:p>
        </w:tc>
        <w:tc>
          <w:tcPr>
            <w:tcW w:w="1087" w:type="dxa"/>
            <w:tcBorders>
              <w:tl2br w:val="nil"/>
              <w:tr2bl w:val="nil"/>
            </w:tcBorders>
            <w:noWrap w:val="0"/>
            <w:vAlign w:val="center"/>
          </w:tcPr>
          <w:p>
            <w:pPr>
              <w:ind w:left="0" w:leftChars="0" w:right="0" w:rightChars="0" w:firstLine="0" w:firstLineChars="0"/>
              <w:jc w:val="center"/>
              <w:rPr>
                <w:rFonts w:hint="default"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≤22.8</w:t>
            </w:r>
          </w:p>
        </w:tc>
        <w:tc>
          <w:tcPr>
            <w:tcW w:w="891" w:type="dxa"/>
            <w:gridSpan w:val="2"/>
            <w:tcBorders>
              <w:tl2br w:val="nil"/>
              <w:tr2bl w:val="nil"/>
            </w:tcBorders>
            <w:noWrap w:val="0"/>
            <w:vAlign w:val="center"/>
          </w:tcPr>
          <w:p>
            <w:pPr>
              <w:ind w:left="0" w:leftChars="0" w:right="0" w:rightChars="0" w:firstLine="0" w:firstLineChars="0"/>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465" w:type="dxa"/>
            <w:vMerge w:val="restart"/>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卫</w:t>
            </w:r>
          </w:p>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生</w:t>
            </w:r>
          </w:p>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资</w:t>
            </w:r>
          </w:p>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源</w:t>
            </w: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每千人口医疗卫生机构床位数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张</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eastAsia="zh-CN"/>
                <w14:textFill>
                  <w14:solidFill>
                    <w14:schemeClr w14:val="tx1"/>
                  </w14:solidFill>
                </w14:textFill>
              </w:rPr>
              <w:t>8</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.77</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6.0</w:t>
            </w:r>
          </w:p>
        </w:tc>
        <w:tc>
          <w:tcPr>
            <w:tcW w:w="1086"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FF0000"/>
                <w:sz w:val="21"/>
                <w:szCs w:val="21"/>
                <w:highlight w:val="none"/>
              </w:rPr>
              <w:t>≥</w:t>
            </w:r>
            <w:r>
              <w:rPr>
                <w:rFonts w:hint="eastAsia" w:ascii="仿宋_GB2312" w:hAnsi="仿宋_GB2312" w:eastAsia="仿宋_GB2312" w:cs="仿宋_GB2312"/>
                <w:b/>
                <w:bCs/>
                <w:color w:val="FF0000"/>
                <w:sz w:val="21"/>
                <w:szCs w:val="21"/>
                <w:highlight w:val="none"/>
                <w:lang w:val="en-US" w:eastAsia="zh-CN"/>
              </w:rPr>
              <w:t>8.8</w:t>
            </w:r>
          </w:p>
        </w:tc>
        <w:tc>
          <w:tcPr>
            <w:tcW w:w="1087" w:type="dxa"/>
            <w:tcBorders>
              <w:tl2br w:val="nil"/>
              <w:tr2bl w:val="nil"/>
            </w:tcBorders>
            <w:noWrap w:val="0"/>
            <w:vAlign w:val="center"/>
          </w:tcPr>
          <w:p>
            <w:pPr>
              <w:ind w:left="0" w:leftChars="0" w:right="0" w:firstLine="0" w:firstLineChars="0"/>
              <w:jc w:val="center"/>
              <w:rPr>
                <w:rFonts w:hint="default"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6.5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每千人口执业（助理）医师数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人</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2.</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84</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2.74</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FF0000"/>
                <w:sz w:val="21"/>
                <w:szCs w:val="21"/>
                <w:highlight w:val="none"/>
              </w:rPr>
              <w:t>≥3.</w:t>
            </w:r>
            <w:r>
              <w:rPr>
                <w:rFonts w:hint="eastAsia" w:ascii="仿宋_GB2312" w:hAnsi="仿宋_GB2312" w:eastAsia="仿宋_GB2312" w:cs="仿宋_GB2312"/>
                <w:b/>
                <w:bCs/>
                <w:color w:val="FF0000"/>
                <w:sz w:val="21"/>
                <w:szCs w:val="21"/>
                <w:highlight w:val="none"/>
                <w:lang w:val="en-US" w:eastAsia="zh-CN"/>
              </w:rPr>
              <w:t>2</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≥3.1</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ind w:firstLine="210" w:firstLineChars="100"/>
              <w:jc w:val="both"/>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其中：每千</w:t>
            </w:r>
            <w:r>
              <w:rPr>
                <w:rFonts w:hint="eastAsia" w:ascii="仿宋_GB2312" w:hAnsi="仿宋_GB2312" w:eastAsia="仿宋_GB2312" w:cs="仿宋_GB2312"/>
                <w:color w:val="000000" w:themeColor="text1"/>
                <w:sz w:val="21"/>
                <w:szCs w:val="21"/>
                <w:highlight w:val="none"/>
                <w14:textFill>
                  <w14:solidFill>
                    <w14:schemeClr w14:val="tx1"/>
                  </w14:solidFill>
                </w14:textFill>
              </w:rPr>
              <w:t>人口</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中医类</w:t>
            </w:r>
            <w:r>
              <w:rPr>
                <w:rFonts w:hint="eastAsia" w:ascii="仿宋_GB2312" w:hAnsi="仿宋_GB2312" w:eastAsia="仿宋_GB2312" w:cs="仿宋_GB2312"/>
                <w:color w:val="000000" w:themeColor="text1"/>
                <w:sz w:val="21"/>
                <w:szCs w:val="21"/>
                <w:highlight w:val="none"/>
                <w14:textFill>
                  <w14:solidFill>
                    <w14:schemeClr w14:val="tx1"/>
                  </w14:solidFill>
                </w14:textFill>
              </w:rPr>
              <w:t>执业（助理）医师数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人</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0.38</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0.327</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≥0.4</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≥0.4</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每万人全科医师数（人）</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2.75</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3.22</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≥4</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≥4</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约束性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每千人口注册护士数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人</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3.86</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3.55</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FF0000"/>
                <w:sz w:val="21"/>
                <w:szCs w:val="21"/>
                <w:highlight w:val="none"/>
              </w:rPr>
              <w:t>≥3.</w:t>
            </w:r>
            <w:r>
              <w:rPr>
                <w:rFonts w:hint="eastAsia" w:ascii="仿宋_GB2312" w:hAnsi="仿宋_GB2312" w:eastAsia="仿宋_GB2312" w:cs="仿宋_GB2312"/>
                <w:b/>
                <w:bCs/>
                <w:color w:val="FF0000"/>
                <w:sz w:val="21"/>
                <w:szCs w:val="21"/>
                <w:highlight w:val="none"/>
                <w:lang w:val="en-US" w:eastAsia="zh-CN"/>
              </w:rPr>
              <w:t>9</w:t>
            </w:r>
          </w:p>
        </w:tc>
        <w:tc>
          <w:tcPr>
            <w:tcW w:w="1087" w:type="dxa"/>
            <w:tcBorders>
              <w:tl2br w:val="nil"/>
              <w:tr2bl w:val="nil"/>
            </w:tcBorders>
            <w:noWrap w:val="0"/>
            <w:vAlign w:val="center"/>
          </w:tcPr>
          <w:p>
            <w:pPr>
              <w:ind w:left="0" w:leftChars="0" w:right="0" w:rightChars="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≥3.</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6</w:t>
            </w:r>
          </w:p>
        </w:tc>
        <w:tc>
          <w:tcPr>
            <w:tcW w:w="891" w:type="dxa"/>
            <w:gridSpan w:val="2"/>
            <w:tcBorders>
              <w:tl2br w:val="nil"/>
              <w:tr2bl w:val="nil"/>
            </w:tcBorders>
            <w:noWrap w:val="0"/>
            <w:vAlign w:val="center"/>
          </w:tcPr>
          <w:p>
            <w:pPr>
              <w:ind w:left="0" w:leftChars="0" w:right="0" w:rightChars="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每万人口公共卫生医师数</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人</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0.83</w:t>
            </w:r>
          </w:p>
        </w:tc>
        <w:tc>
          <w:tcPr>
            <w:tcW w:w="1073" w:type="dxa"/>
            <w:tcBorders>
              <w:tl2br w:val="nil"/>
              <w:tr2bl w:val="nil"/>
            </w:tcBorders>
            <w:noWrap w:val="0"/>
            <w:vAlign w:val="center"/>
          </w:tcPr>
          <w:p>
            <w:pPr>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0.91</w:t>
            </w:r>
          </w:p>
        </w:tc>
        <w:tc>
          <w:tcPr>
            <w:tcW w:w="1086" w:type="dxa"/>
            <w:tcBorders>
              <w:tl2br w:val="nil"/>
              <w:tr2bl w:val="nil"/>
            </w:tcBorders>
            <w:noWrap w:val="0"/>
            <w:vAlign w:val="center"/>
          </w:tcPr>
          <w:p>
            <w:pPr>
              <w:jc w:val="cente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≥1</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≥1</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465" w:type="dxa"/>
            <w:vMerge w:val="restart"/>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治</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理</w:t>
            </w:r>
          </w:p>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效</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highlight w:val="none"/>
                <w14:textFill>
                  <w14:solidFill>
                    <w14:schemeClr w14:val="tx1"/>
                  </w14:solidFill>
                </w14:textFill>
              </w:rPr>
              <w:t>能</w:t>
            </w:r>
          </w:p>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个人卫生支出占卫生总费用比例</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23.5</w:t>
            </w:r>
          </w:p>
        </w:tc>
        <w:tc>
          <w:tcPr>
            <w:tcW w:w="1073"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20.4</w:t>
            </w:r>
          </w:p>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15"/>
                <w:szCs w:val="15"/>
                <w:highlight w:val="none"/>
                <w:lang w:val="en-US" w:eastAsia="zh-CN"/>
                <w14:textFill>
                  <w14:solidFill>
                    <w14:schemeClr w14:val="tx1"/>
                  </w14:solidFill>
                </w14:textFill>
              </w:rPr>
              <w:t>（预估值）</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&lt;23</w:t>
            </w:r>
          </w:p>
        </w:tc>
        <w:tc>
          <w:tcPr>
            <w:tcW w:w="1087" w:type="dxa"/>
            <w:tcBorders>
              <w:tl2br w:val="nil"/>
              <w:tr2bl w:val="nil"/>
            </w:tcBorders>
            <w:noWrap w:val="0"/>
            <w:vAlign w:val="center"/>
          </w:tcPr>
          <w:p>
            <w:pPr>
              <w:ind w:left="0" w:leftChars="0" w:right="0" w:firstLine="0" w:firstLineChars="0"/>
              <w:jc w:val="center"/>
              <w:rPr>
                <w:rFonts w:hint="default"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20.38</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约束</w:t>
            </w:r>
            <w:r>
              <w:rPr>
                <w:rFonts w:hint="eastAsia" w:ascii="仿宋_GB2312" w:hAnsi="仿宋_GB2312" w:eastAsia="仿宋_GB2312" w:cs="仿宋_GB2312"/>
                <w:color w:val="000000" w:themeColor="text1"/>
                <w:sz w:val="21"/>
                <w:szCs w:val="21"/>
                <w:highlight w:val="none"/>
                <w14:textFill>
                  <w14:solidFill>
                    <w14:schemeClr w14:val="tx1"/>
                  </w14:solidFill>
                </w14:textFill>
              </w:rPr>
              <w:t>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21"/>
                <w:szCs w:val="21"/>
                <w:highlight w:val="none"/>
                <w14:textFill>
                  <w14:solidFill>
                    <w14:schemeClr w14:val="tx1"/>
                  </w14:solidFill>
                </w14:textFill>
              </w:rPr>
              <w:t>域内</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住院</w:t>
            </w:r>
            <w:r>
              <w:rPr>
                <w:rFonts w:hint="eastAsia" w:ascii="仿宋_GB2312" w:hAnsi="仿宋_GB2312" w:eastAsia="仿宋_GB2312" w:cs="仿宋_GB2312"/>
                <w:color w:val="000000" w:themeColor="text1"/>
                <w:sz w:val="21"/>
                <w:szCs w:val="21"/>
                <w:highlight w:val="none"/>
                <w14:textFill>
                  <w14:solidFill>
                    <w14:schemeClr w14:val="tx1"/>
                  </w14:solidFill>
                </w14:textFill>
              </w:rPr>
              <w:t>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79.03</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56.21</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≥85</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≥85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抗菌药物使用强度（DDDs*100/人天%）</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t>-</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42</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&lt;40</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&lt;40</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新生儿遗传代谢性疾病筛查率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99.82</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99.02</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&gt;99</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&gt;99</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产前筛查率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92.96</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65.80</w:t>
            </w:r>
          </w:p>
        </w:tc>
        <w:tc>
          <w:tcPr>
            <w:tcW w:w="1086"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FF0000"/>
                <w:sz w:val="21"/>
                <w:szCs w:val="21"/>
                <w:highlight w:val="none"/>
              </w:rPr>
              <w:t>≥</w:t>
            </w:r>
            <w:r>
              <w:rPr>
                <w:rFonts w:hint="eastAsia" w:ascii="仿宋_GB2312" w:hAnsi="仿宋_GB2312" w:eastAsia="仿宋_GB2312" w:cs="仿宋_GB2312"/>
                <w:b/>
                <w:bCs/>
                <w:color w:val="FF0000"/>
                <w:sz w:val="21"/>
                <w:szCs w:val="21"/>
                <w:highlight w:val="none"/>
                <w:lang w:val="en-US" w:eastAsia="zh-CN"/>
              </w:rPr>
              <w:t>90</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≥75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总体癌症5年生存率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17</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22.8</w:t>
            </w:r>
          </w:p>
        </w:tc>
        <w:tc>
          <w:tcPr>
            <w:tcW w:w="1086"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20</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≥44.5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0-6</w:t>
            </w:r>
            <w:r>
              <w:rPr>
                <w:rFonts w:hint="eastAsia" w:ascii="仿宋_GB2312" w:hAnsi="仿宋_GB2312" w:eastAsia="仿宋_GB2312" w:cs="仿宋_GB2312"/>
                <w:color w:val="000000" w:themeColor="text1"/>
                <w:sz w:val="21"/>
                <w:szCs w:val="21"/>
                <w:highlight w:val="none"/>
                <w14:textFill>
                  <w14:solidFill>
                    <w14:schemeClr w14:val="tx1"/>
                  </w14:solidFill>
                </w14:textFill>
              </w:rPr>
              <w:t>岁</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儿童眼保健和视力检查覆盖</w:t>
            </w:r>
            <w:r>
              <w:rPr>
                <w:rFonts w:hint="eastAsia" w:ascii="仿宋_GB2312" w:hAnsi="仿宋_GB2312" w:eastAsia="仿宋_GB2312" w:cs="仿宋_GB2312"/>
                <w:color w:val="000000" w:themeColor="text1"/>
                <w:sz w:val="21"/>
                <w:szCs w:val="21"/>
                <w:highlight w:val="none"/>
                <w14:textFill>
                  <w14:solidFill>
                    <w14:schemeClr w14:val="tx1"/>
                  </w14:solidFill>
                </w14:textFill>
              </w:rPr>
              <w:t>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t>87.1</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89.78</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92</w:t>
            </w:r>
          </w:p>
        </w:tc>
        <w:tc>
          <w:tcPr>
            <w:tcW w:w="1087" w:type="dxa"/>
            <w:tcBorders>
              <w:tl2br w:val="nil"/>
              <w:tr2bl w:val="nil"/>
            </w:tcBorders>
            <w:noWrap w:val="0"/>
            <w:vAlign w:val="center"/>
          </w:tcPr>
          <w:p>
            <w:pPr>
              <w:ind w:left="0" w:leftChars="0" w:right="0" w:rightChars="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92</w:t>
            </w:r>
          </w:p>
        </w:tc>
        <w:tc>
          <w:tcPr>
            <w:tcW w:w="891" w:type="dxa"/>
            <w:gridSpan w:val="2"/>
            <w:tcBorders>
              <w:tl2br w:val="nil"/>
              <w:tr2bl w:val="nil"/>
            </w:tcBorders>
            <w:noWrap w:val="0"/>
            <w:vAlign w:val="center"/>
          </w:tcPr>
          <w:p>
            <w:pPr>
              <w:ind w:left="0" w:leftChars="0" w:right="0" w:rightChars="0" w:firstLine="0" w:firstLineChars="0"/>
              <w:jc w:val="center"/>
              <w:rPr>
                <w:rFonts w:hint="eastAsia" w:ascii="仿宋_GB2312" w:hAnsi="仿宋_GB2312" w:eastAsia="仿宋_GB2312" w:cs="仿宋_GB2312"/>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约束性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3岁以下儿童系统管理率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89.66</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88.09</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≥9</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0</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≥9</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0</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孕产妇系统管理率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92.21</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90.73</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≥9</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3</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≥90</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基层医疗机构</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开展</w:t>
            </w:r>
            <w:r>
              <w:rPr>
                <w:rFonts w:hint="eastAsia" w:ascii="仿宋_GB2312" w:hAnsi="仿宋_GB2312" w:eastAsia="仿宋_GB2312" w:cs="仿宋_GB2312"/>
                <w:color w:val="000000" w:themeColor="text1"/>
                <w:sz w:val="21"/>
                <w:szCs w:val="21"/>
                <w:highlight w:val="none"/>
                <w14:textFill>
                  <w14:solidFill>
                    <w14:schemeClr w14:val="tx1"/>
                  </w14:solidFill>
                </w14:textFill>
              </w:rPr>
              <w:t>中医药</w:t>
            </w: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服务</w:t>
            </w:r>
            <w:r>
              <w:rPr>
                <w:rFonts w:hint="eastAsia" w:ascii="仿宋_GB2312" w:hAnsi="仿宋_GB2312" w:eastAsia="仿宋_GB2312" w:cs="仿宋_GB2312"/>
                <w:color w:val="000000" w:themeColor="text1"/>
                <w:sz w:val="21"/>
                <w:szCs w:val="21"/>
                <w:highlight w:val="none"/>
                <w14:textFill>
                  <w14:solidFill>
                    <w14:schemeClr w14:val="tx1"/>
                  </w14:solidFill>
                </w14:textFill>
              </w:rPr>
              <w:t>比例</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90</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75.63</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≥90</w:t>
            </w:r>
          </w:p>
        </w:tc>
        <w:tc>
          <w:tcPr>
            <w:tcW w:w="1087" w:type="dxa"/>
            <w:tcBorders>
              <w:tl2br w:val="nil"/>
              <w:tr2bl w:val="nil"/>
            </w:tcBorders>
            <w:noWrap w:val="0"/>
            <w:vAlign w:val="center"/>
          </w:tcPr>
          <w:p>
            <w:pPr>
              <w:ind w:left="0" w:leftChars="0" w:right="0" w:firstLine="0" w:firstLineChars="0"/>
              <w:jc w:val="center"/>
              <w:rPr>
                <w:rFonts w:hint="default"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85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65" w:type="dxa"/>
            <w:vMerge w:val="restart"/>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p>
            <w:pPr>
              <w:jc w:val="cente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p>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健康</w:t>
            </w:r>
            <w:r>
              <w:rPr>
                <w:rFonts w:hint="eastAsia" w:ascii="仿宋_GB2312" w:hAnsi="仿宋_GB2312" w:eastAsia="仿宋_GB2312" w:cs="仿宋_GB2312"/>
                <w:color w:val="000000" w:themeColor="text1"/>
                <w:sz w:val="21"/>
                <w:szCs w:val="21"/>
                <w:highlight w:val="none"/>
                <w14:textFill>
                  <w14:solidFill>
                    <w14:schemeClr w14:val="tx1"/>
                  </w14:solidFill>
                </w14:textFill>
              </w:rPr>
              <w:t>服务</w:t>
            </w: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每千人口托位数（个）</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1.0</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1.03</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4.5</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3</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接触职业病危害因素劳动者在岗期间职业健康检查率（</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95.7</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93</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FF0000"/>
                <w:sz w:val="21"/>
                <w:szCs w:val="21"/>
                <w:highlight w:val="none"/>
              </w:rPr>
              <w:t>≥9</w:t>
            </w:r>
            <w:r>
              <w:rPr>
                <w:rFonts w:hint="eastAsia" w:ascii="仿宋_GB2312" w:hAnsi="仿宋_GB2312" w:eastAsia="仿宋_GB2312" w:cs="仿宋_GB2312"/>
                <w:b/>
                <w:bCs/>
                <w:color w:val="FF0000"/>
                <w:sz w:val="21"/>
                <w:szCs w:val="21"/>
                <w:highlight w:val="none"/>
                <w:lang w:val="en-US" w:eastAsia="zh-CN"/>
              </w:rPr>
              <w:t>6</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≥95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以镇为单位适龄儿童免疫规划疫苗接种率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98.96</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95.4</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&gt;9</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&gt;9</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8</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约束性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高血压患者规范化管理率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76.3</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73.77</w:t>
            </w:r>
          </w:p>
        </w:tc>
        <w:tc>
          <w:tcPr>
            <w:tcW w:w="1086"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FF0000"/>
                <w:sz w:val="21"/>
                <w:szCs w:val="21"/>
                <w:highlight w:val="none"/>
              </w:rPr>
              <w:t>≥</w:t>
            </w:r>
            <w:r>
              <w:rPr>
                <w:rFonts w:hint="eastAsia" w:ascii="仿宋_GB2312" w:hAnsi="仿宋_GB2312" w:eastAsia="仿宋_GB2312" w:cs="仿宋_GB2312"/>
                <w:b/>
                <w:bCs/>
                <w:color w:val="FF0000"/>
                <w:sz w:val="21"/>
                <w:szCs w:val="21"/>
                <w:highlight w:val="none"/>
                <w:lang w:val="en-US" w:eastAsia="zh-CN"/>
              </w:rPr>
              <w:t>77</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2型</w:t>
            </w:r>
            <w:r>
              <w:rPr>
                <w:rFonts w:hint="eastAsia" w:ascii="仿宋_GB2312" w:hAnsi="仿宋_GB2312" w:eastAsia="仿宋_GB2312" w:cs="仿宋_GB2312"/>
                <w:color w:val="000000" w:themeColor="text1"/>
                <w:sz w:val="21"/>
                <w:szCs w:val="21"/>
                <w:highlight w:val="none"/>
                <w14:textFill>
                  <w14:solidFill>
                    <w14:schemeClr w14:val="tx1"/>
                  </w14:solidFill>
                </w14:textFill>
              </w:rPr>
              <w:t>糖尿病患者规范化管理率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75.09</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72.95</w:t>
            </w:r>
          </w:p>
        </w:tc>
        <w:tc>
          <w:tcPr>
            <w:tcW w:w="1086"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bCs/>
                <w:color w:val="FF0000"/>
                <w:sz w:val="21"/>
                <w:szCs w:val="21"/>
                <w:highlight w:val="none"/>
              </w:rPr>
              <w:t>≥</w:t>
            </w:r>
            <w:r>
              <w:rPr>
                <w:rFonts w:hint="eastAsia" w:ascii="仿宋_GB2312" w:hAnsi="仿宋_GB2312" w:eastAsia="仿宋_GB2312" w:cs="仿宋_GB2312"/>
                <w:b/>
                <w:bCs/>
                <w:color w:val="FF0000"/>
                <w:sz w:val="21"/>
                <w:szCs w:val="21"/>
                <w:highlight w:val="none"/>
                <w:lang w:val="en-US" w:eastAsia="zh-CN"/>
              </w:rPr>
              <w:t>76</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75</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65岁以上老年人健康管理率</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64.6</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65.98</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≥70</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≥70</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465" w:type="dxa"/>
            <w:vMerge w:val="continue"/>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严重精神障碍患者规范管理率（%）</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84.73</w:t>
            </w:r>
          </w:p>
        </w:tc>
        <w:tc>
          <w:tcPr>
            <w:tcW w:w="1073" w:type="dxa"/>
            <w:tcBorders>
              <w:tl2br w:val="nil"/>
              <w:tr2bl w:val="nil"/>
            </w:tcBorders>
            <w:noWrap w:val="0"/>
            <w:vAlign w:val="center"/>
          </w:tcPr>
          <w:p>
            <w:pPr>
              <w:adjustRightInd/>
              <w:snapToGrid/>
              <w:spacing w:line="240" w:lineRule="auto"/>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78.75</w:t>
            </w:r>
          </w:p>
        </w:tc>
        <w:tc>
          <w:tcPr>
            <w:tcW w:w="1086" w:type="dxa"/>
            <w:tcBorders>
              <w:tl2br w:val="nil"/>
              <w:tr2bl w:val="nil"/>
            </w:tcBorders>
            <w:noWrap w:val="0"/>
            <w:vAlign w:val="center"/>
          </w:tcPr>
          <w:p>
            <w:pPr>
              <w:adjustRightInd/>
              <w:snapToGrid/>
              <w:spacing w:line="240" w:lineRule="auto"/>
              <w:jc w:val="center"/>
              <w:rPr>
                <w:rFonts w:hint="eastAsia" w:ascii="仿宋_GB2312" w:hAnsi="仿宋_GB2312" w:eastAsia="仿宋_GB2312" w:cs="仿宋_GB2312"/>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90</w:t>
            </w:r>
          </w:p>
        </w:tc>
        <w:tc>
          <w:tcPr>
            <w:tcW w:w="1087" w:type="dxa"/>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90</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约束性</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465" w:type="dxa"/>
            <w:tcBorders>
              <w:tl2br w:val="nil"/>
              <w:tr2bl w:val="nil"/>
            </w:tcBorders>
            <w:noWrap w:val="0"/>
            <w:vAlign w:val="center"/>
          </w:tcPr>
          <w:p>
            <w:pPr>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健康产业</w:t>
            </w:r>
          </w:p>
        </w:tc>
        <w:tc>
          <w:tcPr>
            <w:tcW w:w="3261" w:type="dxa"/>
            <w:tcBorders>
              <w:tl2br w:val="nil"/>
              <w:tr2bl w:val="nil"/>
            </w:tcBorders>
            <w:noWrap w:val="0"/>
            <w:vAlign w:val="center"/>
          </w:tcPr>
          <w:p>
            <w:pPr>
              <w:jc w:val="both"/>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健康产业增加值占GDP比重</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14:textFill>
                  <w14:solidFill>
                    <w14:schemeClr w14:val="tx1"/>
                  </w14:solidFill>
                </w14:textFill>
              </w:rPr>
              <w:t>%</w:t>
            </w:r>
            <w:r>
              <w:rPr>
                <w:rFonts w:hint="eastAsia" w:ascii="仿宋_GB2312" w:hAnsi="仿宋_GB2312" w:eastAsia="仿宋_GB2312" w:cs="仿宋_GB2312"/>
                <w:color w:val="000000" w:themeColor="text1"/>
                <w:sz w:val="21"/>
                <w:szCs w:val="21"/>
                <w:highlight w:val="none"/>
                <w:lang w:eastAsia="zh-CN"/>
                <w14:textFill>
                  <w14:solidFill>
                    <w14:schemeClr w14:val="tx1"/>
                  </w14:solidFill>
                </w14:textFill>
              </w:rPr>
              <w:t>）</w:t>
            </w:r>
          </w:p>
        </w:tc>
        <w:tc>
          <w:tcPr>
            <w:tcW w:w="1094" w:type="dxa"/>
            <w:tcBorders>
              <w:tl2br w:val="nil"/>
              <w:tr2bl w:val="nil"/>
            </w:tcBorders>
            <w:noWrap w:val="0"/>
            <w:vAlign w:val="center"/>
          </w:tcPr>
          <w:p>
            <w:pPr>
              <w:shd w:val="clea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w:t>
            </w:r>
          </w:p>
        </w:tc>
        <w:tc>
          <w:tcPr>
            <w:tcW w:w="1073" w:type="dxa"/>
            <w:tcBorders>
              <w:tl2br w:val="nil"/>
              <w:tr2bl w:val="nil"/>
            </w:tcBorders>
            <w:noWrap w:val="0"/>
            <w:vAlign w:val="center"/>
          </w:tcPr>
          <w:p>
            <w:pP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3.5</w:t>
            </w:r>
          </w:p>
          <w:p>
            <w:pPr>
              <w:spacing w:line="240" w:lineRule="exact"/>
              <w:jc w:val="center"/>
              <w:rPr>
                <w:rFonts w:hint="default"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15"/>
                <w:szCs w:val="15"/>
                <w:highlight w:val="none"/>
                <w:lang w:val="en-US" w:eastAsia="zh-CN"/>
                <w14:textFill>
                  <w14:solidFill>
                    <w14:schemeClr w14:val="tx1"/>
                  </w14:solidFill>
                </w14:textFill>
              </w:rPr>
              <w:t>（医疗健康产业）</w:t>
            </w:r>
          </w:p>
        </w:tc>
        <w:tc>
          <w:tcPr>
            <w:tcW w:w="1086" w:type="dxa"/>
            <w:tcBorders>
              <w:tl2br w:val="nil"/>
              <w:tr2bl w:val="nil"/>
            </w:tcBorders>
            <w:noWrap w:val="0"/>
            <w:vAlign w:val="center"/>
          </w:tcPr>
          <w:p>
            <w:pPr>
              <w:jc w:val="cente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1"/>
                <w:szCs w:val="21"/>
                <w:highlight w:val="none"/>
                <w:lang w:val="en-US" w:eastAsia="zh-CN"/>
                <w14:textFill>
                  <w14:solidFill>
                    <w14:schemeClr w14:val="tx1"/>
                  </w14:solidFill>
                </w14:textFill>
              </w:rPr>
              <w:t>10</w:t>
            </w:r>
          </w:p>
        </w:tc>
        <w:tc>
          <w:tcPr>
            <w:tcW w:w="1087" w:type="dxa"/>
            <w:tcBorders>
              <w:tl2br w:val="nil"/>
              <w:tr2bl w:val="nil"/>
            </w:tcBorders>
            <w:noWrap w:val="0"/>
            <w:vAlign w:val="center"/>
          </w:tcPr>
          <w:p>
            <w:pPr>
              <w:ind w:left="0" w:leftChars="0" w:right="0" w:firstLine="0" w:firstLineChars="0"/>
              <w:jc w:val="center"/>
              <w:rPr>
                <w:rFonts w:hint="default"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lang w:val="en-US" w:eastAsia="zh-CN"/>
                <w14:textFill>
                  <w14:solidFill>
                    <w14:schemeClr w14:val="tx1"/>
                  </w14:solidFill>
                </w14:textFill>
              </w:rPr>
              <w:t>10</w:t>
            </w:r>
          </w:p>
        </w:tc>
        <w:tc>
          <w:tcPr>
            <w:tcW w:w="891" w:type="dxa"/>
            <w:gridSpan w:val="2"/>
            <w:tcBorders>
              <w:tl2br w:val="nil"/>
              <w:tr2bl w:val="nil"/>
            </w:tcBorders>
            <w:noWrap w:val="0"/>
            <w:vAlign w:val="center"/>
          </w:tcPr>
          <w:p>
            <w:pPr>
              <w:ind w:left="0" w:leftChars="0" w:right="0" w:firstLine="0" w:firstLineChars="0"/>
              <w:jc w:val="center"/>
              <w:rPr>
                <w:rFonts w:hint="eastAsia"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预期性</w:t>
            </w:r>
          </w:p>
        </w:tc>
      </w:tr>
    </w:tbl>
    <w:p>
      <w:pPr>
        <w:keepNext w:val="0"/>
        <w:keepLines w:val="0"/>
        <w:pageBreakBefore w:val="0"/>
        <w:widowControl w:val="0"/>
        <w:numPr>
          <w:ilvl w:val="-1"/>
          <w:numId w:val="0"/>
        </w:numPr>
        <w:kinsoku/>
        <w:wordWrap/>
        <w:overflowPunct/>
        <w:topLinePunct w:val="0"/>
        <w:autoSpaceDE/>
        <w:autoSpaceDN/>
        <w:bidi w:val="0"/>
        <w:adjustRightInd/>
        <w:snapToGrid w:val="0"/>
        <w:spacing w:before="157" w:beforeLines="50" w:line="590" w:lineRule="exact"/>
        <w:ind w:firstLine="640" w:firstLineChars="200"/>
        <w:jc w:val="left"/>
        <w:textAlignment w:val="auto"/>
        <w:outlineLvl w:val="0"/>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bookmarkStart w:id="24" w:name="_Toc23950"/>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四、重点任务</w:t>
      </w:r>
      <w:bookmarkEnd w:id="23"/>
      <w:bookmarkEnd w:id="24"/>
      <w:bookmarkStart w:id="25" w:name="_Toc17714"/>
    </w:p>
    <w:p>
      <w:pPr>
        <w:numPr>
          <w:ilvl w:val="0"/>
          <w:numId w:val="0"/>
        </w:numPr>
        <w:adjustRightInd/>
        <w:snapToGrid w:val="0"/>
        <w:spacing w:line="590" w:lineRule="exact"/>
        <w:ind w:firstLine="643" w:firstLineChars="200"/>
        <w:jc w:val="left"/>
        <w:outlineLvl w:val="1"/>
        <w:rPr>
          <w:rFonts w:hint="eastAsia" w:ascii="楷体" w:hAnsi="楷体" w:eastAsia="楷体" w:cs="楷体"/>
          <w:b/>
          <w:bCs/>
          <w:color w:val="000000" w:themeColor="text1"/>
          <w:sz w:val="32"/>
          <w:szCs w:val="32"/>
          <w:highlight w:val="none"/>
          <w:lang w:eastAsia="zh-CN"/>
          <w14:textFill>
            <w14:solidFill>
              <w14:schemeClr w14:val="tx1"/>
            </w14:solidFill>
          </w14:textFill>
        </w:rPr>
      </w:pPr>
      <w:bookmarkStart w:id="26" w:name="_Toc7174"/>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（一）深入推进健康琼海行动</w:t>
      </w:r>
      <w:bookmarkEnd w:id="25"/>
      <w:bookmarkEnd w:id="26"/>
    </w:p>
    <w:p>
      <w:pPr>
        <w:numPr>
          <w:ilvl w:val="0"/>
          <w:numId w:val="0"/>
        </w:numPr>
        <w:adjustRightInd/>
        <w:snapToGrid w:val="0"/>
        <w:spacing w:line="590" w:lineRule="exact"/>
        <w:ind w:firstLine="643" w:firstLineChars="200"/>
        <w:jc w:val="left"/>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创新发展新时代爱国卫生运动。</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巩固扩展“国家卫生城市”建设成果。推动爱国卫生与基层治理工作融合，推进村（居）民委员会公共卫生委员会建设和社区网格化管理，以基层爱国卫生工作人员为主，以家庭医生、专业社会工作者、物业服务人员、志愿者等组成的兼职爱国卫生队伍为辅，推动组建居民健康管理互助小组，提高基层公共卫生工作能力水平。推动爱国卫生运动融入群众日常生活。改善城乡人居环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开展生活垃圾分类，全面推进厕所革命，</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到2025年底，完成全市全部约8000户渗漏农厕改造任务。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加快医疗废弃物处置设施建设。</w:t>
      </w:r>
    </w:p>
    <w:p>
      <w:pPr>
        <w:numPr>
          <w:ilvl w:val="0"/>
          <w:numId w:val="0"/>
        </w:numPr>
        <w:adjustRightInd/>
        <w:snapToGrid w:val="0"/>
        <w:spacing w:line="590" w:lineRule="exact"/>
        <w:ind w:firstLine="643" w:firstLineChars="200"/>
        <w:jc w:val="left"/>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加强健康促进与教育工作。</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推动建立市、镇、村三级健康宣传教育机构，按健康教育专业机构人员配置率不低于1.75人/10万人口，且机构人数不少于5人的标准配置机构人员。积极发挥医生在健康教育中的作用。深入实施健康知识普及行动，举办“健康中国琼海行”“中医中药中国琼海行”“健康巡讲”等健康科普宣传、健康知识讲座及健康传播技能大赛；组织创办《健康琼海》专刊，构建全媒体、融媒体健康科普知识发布和传播机制，形成规模效应和传播影响力。推进“健康促进场所”创建，打造一批健康促进学校、机关、企事业单位、医院、社区（村）和健康家庭及特色健康促进村。</w:t>
      </w:r>
    </w:p>
    <w:p>
      <w:pPr>
        <w:numPr>
          <w:ilvl w:val="0"/>
          <w:numId w:val="0"/>
        </w:numPr>
        <w:adjustRightInd/>
        <w:snapToGrid w:val="0"/>
        <w:spacing w:line="590" w:lineRule="exact"/>
        <w:ind w:firstLine="643" w:firstLineChars="200"/>
        <w:jc w:val="left"/>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倡导全民健康生活理念。</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引导居民养成“三减三健”</w:t>
      </w:r>
      <w:r>
        <w:rPr>
          <w:rFonts w:hint="eastAsia" w:ascii="仿宋_GB2312" w:hAnsi="仿宋_GB2312" w:eastAsia="仿宋_GB2312" w:cs="仿宋_GB2312"/>
          <w:color w:val="000000" w:themeColor="text1"/>
          <w:kern w:val="2"/>
          <w:sz w:val="32"/>
          <w:szCs w:val="32"/>
          <w:highlight w:val="none"/>
          <w:vertAlign w:val="superscript"/>
          <w:lang w:val="en-US" w:eastAsia="zh-CN" w:bidi="ar-SA"/>
          <w14:textFill>
            <w14:solidFill>
              <w14:schemeClr w14:val="tx1"/>
            </w14:solidFill>
          </w14:textFill>
        </w:rPr>
        <w:t>[11]</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、手卫生、个人防护等健康生活方式。</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开展控烟行动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强化戒烟服务，实现公共场所全面禁烟，有效降低15岁以上人群吸烟率；积极推进无烟环境建设，到2022年底，“无烟党政机关”“无烟学校”均达到100%。对重点区域、重点人群实施营养干预，控制超重、肥胖人口增长速度。倡导树立珍惜食物的意识，加强限酒健康教育，控制酒精过度使用。</w:t>
      </w:r>
    </w:p>
    <w:p>
      <w:pPr>
        <w:numPr>
          <w:ilvl w:val="0"/>
          <w:numId w:val="0"/>
        </w:numPr>
        <w:adjustRightInd/>
        <w:snapToGrid w:val="0"/>
        <w:spacing w:line="590" w:lineRule="exact"/>
        <w:ind w:firstLine="643" w:firstLineChars="200"/>
        <w:jc w:val="left"/>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扎实开展全民健身康体活动。</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到2025年，完成全民健身中心和“一场两馆”建设，逐步实现覆盖市、镇、村三级“运动服务圈”和城镇社区15分钟健身圈。推动公共体育设施免费或低收费开放，对符合开放条件的学校体育场地、场馆向社会全面开放。加强社会体育指导员培训，加强科学健身指导服务站点建设。广泛开展“全民健身日”系列活动，增加群众喜闻乐见的健身项目，积极开发适合不同人群和地域特点的特色运动，扶持传统特色运动项目创新。加强体医融合和非医疗健康干预，大力发展体育医疗和运动康复机构。健全健康素养监测体系，开展国民体质健康测试和监测，开展运动风险评估。</w:t>
      </w:r>
    </w:p>
    <w:p>
      <w:pPr>
        <w:numPr>
          <w:ilvl w:val="0"/>
          <w:numId w:val="0"/>
        </w:numPr>
        <w:snapToGrid w:val="0"/>
        <w:spacing w:after="0" w:afterLines="-2147483648" w:line="590" w:lineRule="exact"/>
        <w:ind w:firstLine="643"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27" w:name="_Toc9456"/>
      <w:r>
        <w:rPr>
          <w:rFonts w:hint="eastAsia" w:ascii="仿宋_GB2312" w:hAnsi="仿宋_GB2312" w:eastAsia="仿宋_GB2312" w:cs="仿宋_GB2312"/>
          <w:b/>
          <w:bCs/>
          <w:color w:val="000000" w:themeColor="text1"/>
          <w:sz w:val="32"/>
          <w:szCs w:val="32"/>
          <w:highlight w:val="none"/>
          <w14:textFill>
            <w14:solidFill>
              <w14:schemeClr w14:val="tx1"/>
            </w14:solidFill>
          </w14:textFill>
        </w:rPr>
        <w:t>提升人均预期寿命</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全面贯彻落实《</w:t>
      </w:r>
      <w:r>
        <w:rPr>
          <w:rFonts w:hint="eastAsia" w:ascii="仿宋_GB2312" w:hAnsi="仿宋_GB2312" w:eastAsia="仿宋_GB2312" w:cs="仿宋_GB2312"/>
          <w:color w:val="000000" w:themeColor="text1"/>
          <w:sz w:val="32"/>
          <w:szCs w:val="32"/>
          <w:highlight w:val="none"/>
          <w14:textFill>
            <w14:solidFill>
              <w14:schemeClr w14:val="tx1"/>
            </w14:solidFill>
          </w14:textFill>
        </w:rPr>
        <w:t>海南省人均预期寿命提升行动计划（2022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2025年）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14:textFill>
            <w14:solidFill>
              <w14:schemeClr w14:val="tx1"/>
            </w14:solidFill>
          </w14:textFill>
        </w:rPr>
        <w:t>人均寿命提升行动计划纳入健康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琼海</w:t>
      </w:r>
      <w:r>
        <w:rPr>
          <w:rFonts w:hint="eastAsia" w:ascii="仿宋_GB2312" w:hAnsi="仿宋_GB2312" w:eastAsia="仿宋_GB2312" w:cs="仿宋_GB2312"/>
          <w:color w:val="000000" w:themeColor="text1"/>
          <w:sz w:val="32"/>
          <w:szCs w:val="32"/>
          <w:highlight w:val="none"/>
          <w14:textFill>
            <w14:solidFill>
              <w14:schemeClr w14:val="tx1"/>
            </w14:solidFill>
          </w14:textFill>
        </w:rPr>
        <w:t>行动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，实施落实好</w:t>
      </w:r>
      <w:r>
        <w:rPr>
          <w:rFonts w:hint="eastAsia" w:ascii="仿宋_GB2312" w:hAnsi="仿宋_GB2312" w:eastAsia="仿宋_GB2312" w:cs="仿宋_GB2312"/>
          <w:color w:val="000000" w:themeColor="text1"/>
          <w:sz w:val="32"/>
          <w:szCs w:val="32"/>
          <w:highlight w:val="none"/>
          <w14:textFill>
            <w14:solidFill>
              <w14:schemeClr w14:val="tx1"/>
            </w14:solidFill>
          </w14:textFill>
        </w:rPr>
        <w:t>意外伤害防控行动、优良生态环境建设行动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14:textFill>
            <w14:solidFill>
              <w14:schemeClr w14:val="tx1"/>
            </w14:solidFill>
          </w14:textFill>
        </w:rPr>
        <w:t>人均预期寿命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系列行动和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举措，</w:t>
      </w:r>
      <w:r>
        <w:rPr>
          <w:rFonts w:hint="eastAsia" w:ascii="仿宋_GB2312" w:hAnsi="仿宋_GB2312" w:eastAsia="仿宋_GB2312" w:cs="仿宋_GB2312"/>
          <w:color w:val="000000" w:themeColor="text1"/>
          <w:sz w:val="32"/>
          <w:szCs w:val="32"/>
          <w:highlight w:val="none"/>
          <w14:textFill>
            <w14:solidFill>
              <w14:schemeClr w14:val="tx1"/>
            </w14:solidFill>
          </w14:textFill>
        </w:rPr>
        <w:t>人均预期健康寿命同步提升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2025年</w:t>
      </w:r>
      <w:r>
        <w:rPr>
          <w:rFonts w:hint="eastAsia" w:ascii="仿宋_GB2312" w:hAnsi="仿宋_GB2312" w:eastAsia="仿宋_GB2312" w:cs="仿宋_GB2312"/>
          <w:color w:val="000000" w:themeColor="text1"/>
          <w:sz w:val="32"/>
          <w:szCs w:val="32"/>
          <w:highlight w:val="none"/>
          <w14:textFill>
            <w14:solidFill>
              <w14:schemeClr w14:val="tx1"/>
            </w14:solidFill>
          </w14:textFill>
        </w:rPr>
        <w:t>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人均预期寿命达到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81岁。</w:t>
      </w:r>
    </w:p>
    <w:p>
      <w:pPr>
        <w:pStyle w:val="2"/>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争创全国健康城市示范样板。</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围绕“共建共享、全民健康”主题，扎实推进健康海南18个专项行动</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[12]</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。探索开展滨海城市带健康城市区域合作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，建立滨海城市带东部市县健康城市建设联盟工作机制。</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开展健康村镇、健康社区、健康单位(企业)、健康学校、健康家庭等健康细胞建设，培育一批具有琼海特色的健康细胞建设样板。</w:t>
      </w:r>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专栏1 健康琼海行动工程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健康琼海行动。</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实施健康知识普及行动、健康环境促进行动、全民健康生活方式行动、全民健身行动、全域卫生（健康）创建工程、</w:t>
            </w:r>
            <w:r>
              <w:rPr>
                <w:rFonts w:hint="eastAsia" w:ascii="仿宋_GB2312" w:hAnsi="Times New Roman" w:eastAsia="仿宋_GB2312" w:cs="Times New Roman"/>
                <w:color w:val="000000" w:themeColor="text1"/>
                <w:sz w:val="24"/>
                <w:szCs w:val="20"/>
                <w:highlight w:val="none"/>
                <w14:textFill>
                  <w14:solidFill>
                    <w14:schemeClr w14:val="tx1"/>
                  </w14:solidFill>
                </w14:textFill>
              </w:rPr>
              <w:t>“清洁家园、灭蚊防蚊”夏秋季爱国卫生专项行动</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、控烟行动、</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合理膳食行动</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等</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。全市力争新增至少4个国家卫生镇，实现国家卫生镇占比达到50%以上；全市80%以上的行政村创建为省级卫生村；全市健康村（社区）、健康单位覆盖率均达到80%以上。</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14:textFill>
                  <w14:solidFill>
                    <w14:schemeClr w14:val="tx1"/>
                  </w14:solidFill>
                </w14:textFill>
              </w:rPr>
              <w:t>人均预期寿命提升行动。</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实施好高血压防治行动、糖尿病防治行动、肝癌防治行动、妇幼健康救治行动、意外伤害防控行动、优良生态环境建设行动、健康服务体系优化行动、食品安全监管强化行动、全民健康素养提升行动。</w:t>
            </w:r>
          </w:p>
        </w:tc>
      </w:tr>
    </w:tbl>
    <w:p>
      <w:pPr>
        <w:numPr>
          <w:ilvl w:val="0"/>
          <w:numId w:val="0"/>
        </w:numPr>
        <w:adjustRightInd/>
        <w:snapToGrid w:val="0"/>
        <w:spacing w:before="157" w:beforeLines="50" w:line="590" w:lineRule="exact"/>
        <w:ind w:firstLine="643" w:firstLineChars="200"/>
        <w:jc w:val="left"/>
        <w:outlineLvl w:val="1"/>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pPr>
      <w:bookmarkStart w:id="28" w:name="_Toc27782"/>
      <w:r>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t>（二）维护全生命周期</w:t>
      </w:r>
      <w:bookmarkEnd w:id="27"/>
      <w:r>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t>健康</w:t>
      </w:r>
      <w:bookmarkEnd w:id="28"/>
    </w:p>
    <w:p>
      <w:pPr>
        <w:numPr>
          <w:ilvl w:val="0"/>
          <w:numId w:val="0"/>
        </w:numPr>
        <w:adjustRightInd/>
        <w:snapToGrid w:val="0"/>
        <w:spacing w:line="590" w:lineRule="exact"/>
        <w:ind w:firstLine="643" w:firstLineChars="200"/>
        <w:jc w:val="left"/>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发展婴幼儿照护服务。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贯彻落实省政府《关于促进3岁以下婴幼儿照护服务发展的实施意见》。推动市级</w:t>
      </w:r>
      <w:r>
        <w:rPr>
          <w:rFonts w:hint="eastAsia" w:ascii="仿宋_GB2312" w:hAnsi="仿宋_GB2312" w:eastAsia="仿宋_GB2312" w:cs="仿宋_GB2312"/>
          <w:color w:val="000000" w:themeColor="text1"/>
          <w:sz w:val="32"/>
          <w:szCs w:val="32"/>
          <w:highlight w:val="none"/>
          <w:vertAlign w:val="baseline"/>
          <w:lang w:eastAsia="zh-CN"/>
          <w14:textFill>
            <w14:solidFill>
              <w14:schemeClr w14:val="tx1"/>
            </w14:solidFill>
          </w14:textFill>
        </w:rPr>
        <w:t>社区</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卫生服务中心承担辖区内托育服务管理工作，提供托育服务场所。充分发挥城乡公共服务设施婴幼儿照护服务功能，加快发展多元投入、多种形式的婴幼儿照护服务机构。提高公立型婴幼儿照护服务机构占比和普惠性托育机构覆盖率，全市0-3岁婴幼儿普惠性托育服务覆盖率达30%。规范落实婴幼儿照护机构登记备案制度、安全管理制度。建立婴幼儿照护服务日常监督机制，加强业务指导与监督检查。</w:t>
      </w:r>
    </w:p>
    <w:p>
      <w:pPr>
        <w:numPr>
          <w:ilvl w:val="0"/>
          <w:numId w:val="0"/>
        </w:numPr>
        <w:adjustRightInd/>
        <w:snapToGrid w:val="0"/>
        <w:spacing w:line="590" w:lineRule="exact"/>
        <w:ind w:firstLine="643" w:firstLineChars="200"/>
        <w:jc w:val="left"/>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提升妇幼健康服务。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落实国家三孩生育政策及配套支持措施，增加妇产、儿科优质医疗资源供给，优化</w:t>
      </w:r>
      <w:r>
        <w:rPr>
          <w:rFonts w:hint="eastAsia" w:ascii="仿宋_GB2312" w:hAnsi="仿宋_GB2312" w:eastAsia="仿宋_GB2312" w:cs="仿宋_GB2312"/>
          <w:color w:val="000000" w:themeColor="text1"/>
          <w:sz w:val="32"/>
          <w:szCs w:val="32"/>
          <w:highlight w:val="none"/>
          <w14:textFill>
            <w14:solidFill>
              <w14:schemeClr w14:val="tx1"/>
            </w14:solidFill>
          </w14:textFill>
        </w:rPr>
        <w:t>婚育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产科一站式服务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w:t>
      </w:r>
      <w:r>
        <w:rPr>
          <w:rFonts w:hint="eastAsia" w:ascii="仿宋_GB2312" w:hAnsi="仿宋_GB2312" w:eastAsia="仿宋_GB2312" w:cs="仿宋_GB2312"/>
          <w:i w:val="0"/>
          <w:caps w:val="0"/>
          <w:color w:val="000000" w:themeColor="text1"/>
          <w:spacing w:val="0"/>
          <w:sz w:val="32"/>
          <w:szCs w:val="32"/>
          <w:highlight w:val="none"/>
          <w:shd w:val="clear" w:fill="auto"/>
          <w14:textFill>
            <w14:solidFill>
              <w14:schemeClr w14:val="tx1"/>
            </w14:solidFill>
          </w14:textFill>
        </w:rPr>
        <w:t>“出生一件事”联办</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。加快推进市妇幼保健院</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建成三级水平妇幼保健院，成功打造海南省东部区域妇幼公共卫生突发应急中心、海南省东部区域妇幼保健中心。推进与上海市儿童医院医联体建设、海南省妇幼保健院专科联盟的深度协作。推动</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至少</w:t>
      </w:r>
      <w:r>
        <w:rPr>
          <w:rFonts w:hint="eastAsia" w:ascii="仿宋_GB2312" w:hAnsi="仿宋_GB2312" w:eastAsia="仿宋_GB2312" w:cs="仿宋_GB2312"/>
          <w:color w:val="000000" w:themeColor="text1"/>
          <w:sz w:val="32"/>
          <w:szCs w:val="32"/>
          <w:highlight w:val="none"/>
          <w14:textFill>
            <w14:solidFill>
              <w14:schemeClr w14:val="tx1"/>
            </w14:solidFill>
          </w14:textFill>
        </w:rPr>
        <w:t>1个独立开展产前生化免疫实验室检测的产前筛查机构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巩固强化母婴安全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五项制度</w:t>
      </w:r>
      <w:r>
        <w:rPr>
          <w:rFonts w:hint="eastAsia" w:ascii="仿宋_GB2312" w:hAnsi="仿宋_GB2312" w:eastAsia="仿宋_GB2312" w:cs="仿宋_GB2312"/>
          <w:color w:val="000000" w:themeColor="text1"/>
          <w:sz w:val="32"/>
          <w:szCs w:val="32"/>
          <w:highlight w:val="none"/>
          <w:vertAlign w:val="superscript"/>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加强危重孕产妇救治和危重儿童救治能力建设，实现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标准化建设与规范化管理，降低孕产妇死亡率和婴儿死亡率。</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鼓励各级医疗卫生机构设立母乳喂养咨询门诊或营养门诊，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普及中医适宜技术促进母乳喂养。推进公共场所配置母婴设施，建立服务功能适宜的独立母婴室或哺乳室</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依法保护哺乳期女职工权益。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开展儿童早期发展服务，加强高危儿管理与早期干预，保障儿科床位需求。</w:t>
      </w:r>
    </w:p>
    <w:p>
      <w:pPr>
        <w:numPr>
          <w:ilvl w:val="0"/>
          <w:numId w:val="0"/>
        </w:numPr>
        <w:adjustRightInd/>
        <w:snapToGrid w:val="0"/>
        <w:spacing w:line="590" w:lineRule="exact"/>
        <w:ind w:firstLine="643" w:firstLineChars="200"/>
        <w:jc w:val="left"/>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加强青少年健康服务。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开展健康教育，中小学健康教育开课率达100%。落实学生健康体检制度和学生体质健康监测评价制度。加强学生健康档案的建设、管理与利用。着力推进“医教结合”，加强中小学卫生保健机构建设。推动中小学建设示范性学校心理辅导室，实施好儿童青少年心理健康促进试点工作。开展青少年性与生殖健康促进行动，减少非意愿妊娠。</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验光师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培育培养及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提供规范的医学验光服务。推进儿童青少年近视综合防控，学校眼保健操普及率达到100%，0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6岁儿童每年眼保健和视力检查覆盖率达9</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%以上，儿童青少年总体近视率力争每年下降0.5%，到2025年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不高于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38.8%。实施青少年体育活动促进计划，确保校内每天体育活动不少于1小时，基本实现青少年熟练掌握1项以上体育运动技能。到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2025年，全市青少年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体质健康达标优良率达到5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%以上。</w:t>
      </w:r>
    </w:p>
    <w:p>
      <w:pPr>
        <w:numPr>
          <w:ilvl w:val="-1"/>
          <w:numId w:val="0"/>
        </w:numPr>
        <w:adjustRightInd/>
        <w:snapToGrid w:val="0"/>
        <w:spacing w:line="590" w:lineRule="exact"/>
        <w:ind w:firstLine="643" w:firstLineChars="200"/>
        <w:jc w:val="left"/>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提升老龄健康服务。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贯彻落实海南省《促进养老托育服务健康发展实施方案》。加强老年医学科建设，推动老年医疗服务从以疾病为中心的单病种模式向以患者为中心的多病共治模式转变。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推动二级以上综合性医院与养老机构在医疗护理技术、转诊服务等方面开展合作共建。</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促进老年健康服务向社区和家庭延伸。依托社区卫生服务中心、镇卫生院，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建成</w:t>
      </w:r>
      <w:r>
        <w:rPr>
          <w:rFonts w:hint="eastAsia" w:ascii="仿宋_GB2312" w:hAnsi="仿宋_GB2312" w:eastAsia="仿宋_GB2312" w:cs="仿宋_GB2312"/>
          <w:color w:val="000000" w:themeColor="text1"/>
          <w:sz w:val="32"/>
          <w:szCs w:val="32"/>
          <w:highlight w:val="none"/>
          <w14:textFill>
            <w14:solidFill>
              <w14:schemeClr w14:val="tx1"/>
            </w14:solidFill>
          </w14:textFill>
        </w:rPr>
        <w:t>一批社区、镇（区）医养结合服务中心，力争覆盖全市10%的基层医疗卫生机构。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指导和督促琼海长养乐园养老服务中心规范开展医养结合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将上埇卫生院建成公立医养结合试点医院。创建老年友好社区、老年友善医疗机构。积极争创全国医养结合示范市和示范机构。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开展光明工程、光明行等活动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提升白内障复明水平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市人民医院</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开展白内障复明手术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到2025年，按照60岁以上户籍老年人口1.5%的标准配置老年护理床位，基层医疗卫生机构老年护理床位占比达到30%以上，65岁以上老年人健康管理率达到70％以上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adjustRightInd/>
        <w:snapToGrid w:val="0"/>
        <w:spacing w:after="0" w:afterLines="-2147483648" w:line="590" w:lineRule="exact"/>
        <w:ind w:firstLine="643"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优化残疾人健康服务。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加大符合条件的低收入残疾人医疗救助力度，将符合条件的医疗康复项目按规定纳入基本医疗保险支付范围，将残疾人健康康复管理和社区康复纳入家庭医生签约服务项目内容。加强残疾人公共康复和托养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精神卫生福利机构设施建设，完善医疗机构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公共场所无障碍设施。建立医疗机构与残疾人专业康复机构双向转诊机制。改善重度残疾人护理服务，指导社区和家庭为残疾人实施康复训练、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卫生健康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心理疏导等专业化康复服务，逐步实现残疾人康复体育和健身体育进社区、进家庭。加强对致残疾病及其他致残因素的防控，增强全社会残疾预防意识。</w:t>
      </w:r>
    </w:p>
    <w:p>
      <w:pPr>
        <w:adjustRightInd/>
        <w:snapToGrid w:val="0"/>
        <w:spacing w:after="0" w:afterLines="-2147483648" w:line="590" w:lineRule="exact"/>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加强脱贫人口健康服务。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巩固拓展健康扶贫成果同乡村振兴有效衔接，建设健康乡村。及时更新脱贫人口电子健康档案，实现建档率达100%。加强对因病易返贫致贫人口实施常态化、动态化监测，重点监测“基本医疗有保障”巩固情况，核查病情确诊情况，实现脱贫人员就医实时管理。推进脱贫人口、监测对象慢性病签约服务，签约率保持100%。</w:t>
      </w:r>
    </w:p>
    <w:p>
      <w:pPr>
        <w:pStyle w:val="2"/>
        <w:rPr>
          <w:rFonts w:hint="eastAsia"/>
          <w:color w:val="000000" w:themeColor="text1"/>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加强职业健康管理与服务。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贯彻落实《海南省职业病防治规划（2021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2025年）》。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健全市级职业病防治工作联席会议制度</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依托市人民医院、市中医院等综合医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院，推进建成市二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、三级并向乡镇延伸的职业健康检查技术支撑网络。实施</w:t>
      </w:r>
      <w:r>
        <w:rPr>
          <w:rFonts w:hint="eastAsia" w:ascii="仿宋_GB2312" w:hAnsi="仿宋_GB2312" w:eastAsia="仿宋_GB2312" w:cs="仿宋_GB2312"/>
          <w:color w:val="000000" w:themeColor="text1"/>
          <w:sz w:val="32"/>
          <w:szCs w:val="32"/>
          <w:highlight w:val="none"/>
          <w:vertAlign w:val="baseline"/>
          <w:lang w:eastAsia="zh-CN"/>
          <w14:textFill>
            <w14:solidFill>
              <w14:schemeClr w14:val="tx1"/>
            </w14:solidFill>
          </w14:textFill>
        </w:rPr>
        <w:t>职业病防治系列专项行动。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加强职业病危害源头治理，实现重点行业用人单位职业健康监测，持续开展重点行业职业病危害风险监测评估。加大职业健康宣传教育和普法工作，强化职业健康日常监督和执法能力建设。到2025年，重点人群职业健康知识知晓率不低于90%，接触职业病危害因素劳动者在岗期间职业健康检查率不低于95％，工作场所职业病危害因素监测合格率不低于85％。</w:t>
      </w:r>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bookmarkStart w:id="29" w:name="_Toc6457"/>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2</w:t>
            </w:r>
            <w:r>
              <w:rPr>
                <w:rFonts w:hint="eastAsia" w:ascii="仿宋_GB2312" w:hAnsi="Times New Roman" w:eastAsia="仿宋_GB2312" w:cs="Times New Roman"/>
                <w:b/>
                <w:color w:val="000000" w:themeColor="text1"/>
                <w:sz w:val="24"/>
                <w:szCs w:val="20"/>
                <w:highlight w:val="none"/>
                <w14:textFill>
                  <w14:solidFill>
                    <w14:schemeClr w14:val="tx1"/>
                  </w14:solidFill>
                </w14:textFill>
              </w:rPr>
              <w:t xml:space="preserve"> 全生命周期健康保障工程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托育服务保障。</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推动市级社区卫生服务中心增设托育服务管理职能，承担辖区内托育服务管理工作，提供托育服务场所。到2025年，建成1家以上公立型或普惠性婴幼儿照护服务机构及1个托育服务指导中心；全市每千人口托位数达</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4.5</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个，普惠托位占比在</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1</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0%以上。</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妇幼保健保障。</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推进</w:t>
            </w:r>
            <w:r>
              <w:rPr>
                <w:rFonts w:hint="eastAsia" w:ascii="仿宋_GB2312" w:hAnsi="Times New Roman" w:eastAsia="仿宋_GB2312" w:cs="Times New Roman"/>
                <w:b w:val="0"/>
                <w:bCs w:val="0"/>
                <w:color w:val="000000" w:themeColor="text1"/>
                <w:sz w:val="24"/>
                <w:szCs w:val="20"/>
                <w:highlight w:val="none"/>
                <w:lang w:val="en-US" w:eastAsia="zh-CN"/>
                <w14:textFill>
                  <w14:solidFill>
                    <w14:schemeClr w14:val="tx1"/>
                  </w14:solidFill>
                </w14:textFill>
              </w:rPr>
              <w:t>琼海市妇幼保健院新院区暨妇女儿童医院新建项目（二期）和市妇</w:t>
            </w:r>
            <w:r>
              <w:rPr>
                <w:rFonts w:hint="eastAsia" w:ascii="仿宋_GB2312" w:hAnsi="Times New Roman" w:eastAsia="仿宋_GB2312" w:cs="Times New Roman"/>
                <w:color w:val="000000" w:themeColor="text1"/>
                <w:kern w:val="2"/>
                <w:sz w:val="24"/>
                <w:szCs w:val="20"/>
                <w:highlight w:val="none"/>
                <w:lang w:val="en-US" w:eastAsia="zh-CN" w:bidi="ar-SA"/>
                <w14:textFill>
                  <w14:solidFill>
                    <w14:schemeClr w14:val="tx1"/>
                  </w14:solidFill>
                </w14:textFill>
              </w:rPr>
              <w:t>幼保健院新院区应急楼工程建设；</w:t>
            </w:r>
            <w:r>
              <w:rPr>
                <w:rFonts w:hint="eastAsia" w:ascii="仿宋_GB2312" w:hAnsi="Times New Roman" w:eastAsia="仿宋_GB2312" w:cs="Times New Roman"/>
                <w:b w:val="0"/>
                <w:bCs w:val="0"/>
                <w:color w:val="000000" w:themeColor="text1"/>
                <w:sz w:val="24"/>
                <w:szCs w:val="20"/>
                <w:highlight w:val="none"/>
                <w:lang w:val="en-US" w:eastAsia="zh-CN"/>
                <w14:textFill>
                  <w14:solidFill>
                    <w14:schemeClr w14:val="tx1"/>
                  </w14:solidFill>
                </w14:textFill>
              </w:rPr>
              <w:t>推进发热门诊、肠道门诊、PCR实验室规范化建设和妇产科、儿科标准化建设，</w:t>
            </w:r>
            <w:r>
              <w:rPr>
                <w:rFonts w:hint="eastAsia" w:ascii="仿宋_GB2312" w:hAnsi="Times New Roman" w:eastAsia="仿宋_GB2312" w:cs="Times New Roman"/>
                <w:color w:val="000000" w:themeColor="text1"/>
                <w:sz w:val="24"/>
                <w:szCs w:val="20"/>
                <w:highlight w:val="none"/>
                <w14:textFill>
                  <w14:solidFill>
                    <w14:schemeClr w14:val="tx1"/>
                  </w14:solidFill>
                </w14:textFill>
              </w:rPr>
              <w:t>总床位达到500张</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建设</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至少1个独立开展产前生化免疫实验室检测的产前筛查机构。到2025年，全市每千儿童儿科床位数达到2.2张，孕产妇系统管理率达到90%以上，</w:t>
            </w:r>
            <w:r>
              <w:rPr>
                <w:rFonts w:hint="eastAsia" w:ascii="仿宋_GB2312" w:hAnsi="Times New Roman" w:eastAsia="仿宋_GB2312" w:cs="Times New Roman"/>
                <w:color w:val="000000" w:themeColor="text1"/>
                <w:sz w:val="24"/>
                <w:szCs w:val="20"/>
                <w:highlight w:val="none"/>
                <w14:textFill>
                  <w14:solidFill>
                    <w14:schemeClr w14:val="tx1"/>
                  </w14:solidFill>
                </w14:textFill>
              </w:rPr>
              <w:t>母婴家庭母乳喂养核心知识知晓率达到70%以上，</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公共场所母婴设施配置率达到80%以上。</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青少年健康保障。</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实施中小学健康促进行动、儿童青少年近视综合防控行动、青少年性与生殖健康促进行动、青少年体育活动促进计划</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等</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。到2025年，争创一批省级儿童青少年近视防控示范学校，打造一批心理健康教育特色学校。</w:t>
            </w:r>
          </w:p>
          <w:p>
            <w:pPr>
              <w:adjustRightInd/>
              <w:snapToGrid/>
              <w:spacing w:line="400" w:lineRule="exact"/>
              <w:ind w:firstLine="482" w:firstLineChars="200"/>
              <w:rPr>
                <w:rFonts w:hint="eastAsia" w:ascii="仿宋_GB2312" w:hAnsi="Times New Roman" w:eastAsia="仿宋_GB2312" w:cs="Times New Roman"/>
                <w:b w:val="0"/>
                <w:bCs w:val="0"/>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老龄健康服务。</w:t>
            </w:r>
            <w:r>
              <w:rPr>
                <w:rFonts w:hint="eastAsia" w:ascii="仿宋_GB2312" w:hAnsi="Times New Roman" w:eastAsia="仿宋_GB2312" w:cs="Times New Roman"/>
                <w:color w:val="000000" w:themeColor="text1"/>
                <w:sz w:val="24"/>
                <w:szCs w:val="20"/>
                <w:highlight w:val="none"/>
                <w14:textFill>
                  <w14:solidFill>
                    <w14:schemeClr w14:val="tx1"/>
                  </w14:solidFill>
                </w14:textFill>
              </w:rPr>
              <w:t>二级及以上综合医院（中医院、中西医结合医院）设立老年医学科的比例达到60%以上</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；鼓励有条件的基层医疗机构设立家庭病床、日间照护中心或“呼叫中心”；推进中医院中医医养结合中心楼项目建设；</w:t>
            </w:r>
            <w:r>
              <w:rPr>
                <w:rFonts w:hint="eastAsia" w:ascii="仿宋_GB2312" w:hAnsi="Times New Roman" w:eastAsia="仿宋_GB2312" w:cs="Times New Roman"/>
                <w:color w:val="000000" w:themeColor="text1"/>
                <w:sz w:val="24"/>
                <w:szCs w:val="20"/>
                <w:highlight w:val="none"/>
                <w14:textFill>
                  <w14:solidFill>
                    <w14:schemeClr w14:val="tx1"/>
                  </w14:solidFill>
                </w14:textFill>
              </w:rPr>
              <w:t>至少分别创建1家以上具有医养结合功能的市级特困人员供养服务机构和养老服务中心。</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残疾人健康保障。</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实施残疾预防行动计划，到2025年，适应指征的残疾人基本康复服务实现全覆盖，符合条件的医疗康复项目按规定纳入基本医疗保险、工伤保险支付范围，实施精准康复。</w:t>
            </w:r>
          </w:p>
          <w:p>
            <w:pPr>
              <w:adjustRightInd/>
              <w:snapToGrid/>
              <w:spacing w:line="400" w:lineRule="exact"/>
              <w:ind w:firstLine="482" w:firstLineChars="200"/>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14:textFill>
                  <w14:solidFill>
                    <w14:schemeClr w14:val="tx1"/>
                  </w14:solidFill>
                </w14:textFill>
              </w:rPr>
              <w:t>脱贫人口健康</w:t>
            </w:r>
            <w:r>
              <w:rPr>
                <w:rFonts w:hint="eastAsia" w:ascii="仿宋_GB2312" w:hAnsi="Times New Roman" w:eastAsia="仿宋_GB2312" w:cs="Times New Roman"/>
                <w:b/>
                <w:bCs/>
                <w:color w:val="000000" w:themeColor="text1"/>
                <w:sz w:val="24"/>
                <w:szCs w:val="20"/>
                <w:highlight w:val="none"/>
                <w:lang w:eastAsia="zh-CN"/>
                <w14:textFill>
                  <w14:solidFill>
                    <w14:schemeClr w14:val="tx1"/>
                  </w14:solidFill>
                </w14:textFill>
              </w:rPr>
              <w:t>保障。</w:t>
            </w:r>
            <w:r>
              <w:rPr>
                <w:rFonts w:hint="eastAsia" w:ascii="仿宋_GB2312" w:hAnsi="Times New Roman" w:eastAsia="仿宋_GB2312" w:cs="Times New Roman"/>
                <w:color w:val="000000" w:themeColor="text1"/>
                <w:sz w:val="24"/>
                <w:szCs w:val="20"/>
                <w:highlight w:val="none"/>
                <w14:textFill>
                  <w14:solidFill>
                    <w14:schemeClr w14:val="tx1"/>
                  </w14:solidFill>
                </w14:textFill>
              </w:rPr>
              <w:t>过渡期内保持现有健康帮扶政策总体稳定，调整优化支持政策，持续精准有效施策</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职业健康保障。</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实施职业健康技术支撑服务能力提升工程，推进市疾病预防控制中心建设面积不少于400㎡的职业（放射）卫生技术服务机构，及不少于200㎡的职业（放射）卫生技术实验室，</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力争在202</w:t>
            </w:r>
            <w:r>
              <w:rPr>
                <w:rFonts w:hint="eastAsia" w:ascii="仿宋_GB2312" w:hAnsi="Times New Roman" w:eastAsia="仿宋_GB2312" w:cs="Times New Roman"/>
                <w:color w:val="000000" w:themeColor="text1"/>
                <w:sz w:val="24"/>
                <w:szCs w:val="20"/>
                <w:highlight w:val="none"/>
                <w:lang w:val="en-US" w:eastAsia="zh-CN"/>
                <w14:textFill>
                  <w14:solidFill>
                    <w14:schemeClr w14:val="tx1"/>
                  </w14:solidFill>
                </w14:textFill>
              </w:rPr>
              <w:t>4</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年</w:t>
            </w:r>
            <w:r>
              <w:rPr>
                <w:rFonts w:hint="eastAsia" w:ascii="仿宋_GB2312" w:hAnsi="Times New Roman" w:eastAsia="仿宋_GB2312" w:cs="Times New Roman"/>
                <w:color w:val="000000" w:themeColor="text1"/>
                <w:sz w:val="24"/>
                <w:szCs w:val="20"/>
                <w:highlight w:val="none"/>
                <w:lang w:val="en-US" w:eastAsia="zh-CN"/>
                <w14:textFill>
                  <w14:solidFill>
                    <w14:schemeClr w14:val="tx1"/>
                  </w14:solidFill>
                </w14:textFill>
              </w:rPr>
              <w:t>底</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前，市疾病预防控制中心获得职业卫生和放射卫生技术服务机构资质</w:t>
            </w:r>
            <w:r>
              <w:rPr>
                <w:rFonts w:hint="eastAsia" w:ascii="仿宋_GB2312" w:hAnsi="Times New Roman" w:eastAsia="仿宋_GB2312" w:cs="Times New Roman"/>
                <w:b w:val="0"/>
                <w:bCs w:val="0"/>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开展职业健康保护行动、健康企业建设行动、职业健康专项治理行动、工伤保险扩面专项行动。</w:t>
            </w:r>
          </w:p>
        </w:tc>
      </w:tr>
    </w:tbl>
    <w:p>
      <w:pPr>
        <w:keepNext w:val="0"/>
        <w:keepLines w:val="0"/>
        <w:pageBreakBefore w:val="0"/>
        <w:widowControl w:val="0"/>
        <w:kinsoku/>
        <w:wordWrap/>
        <w:overflowPunct/>
        <w:topLinePunct w:val="0"/>
        <w:autoSpaceDE/>
        <w:autoSpaceDN/>
        <w:bidi w:val="0"/>
        <w:adjustRightInd/>
        <w:snapToGrid w:val="0"/>
        <w:spacing w:before="157" w:beforeLines="50"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30" w:name="_Toc17151"/>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（三）加强重大疾病防控</w:t>
      </w:r>
      <w:bookmarkEnd w:id="29"/>
      <w:bookmarkEnd w:id="30"/>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加强慢性病和地方病综合防控。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进疾病治疗向健康管理转变，促进慢性病早期发现，实施早诊早治。巩固拓展“省级慢性病综合防控示范区”成果。推进在市级综合医院建立慢性病和健康管理中心，发挥家庭医生团队在慢性病防控与健康管理方面的作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高血压、糖尿病等慢性病防控，全面实施35岁以上人群首诊测血压和高危人群测血糖工作。推行高危人群首诊测量肺功能，提升基层呼吸系统疾病早期筛查和干预能力。保持控制和消除碘缺乏病等重点地方病。继续实施国家免疫规划，以镇为单位适龄儿童免疫规划疫苗接种率继续维持在较高水平。</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加强传染病防控。</w:t>
      </w:r>
      <w:r>
        <w:rPr>
          <w:rFonts w:hint="eastAsia" w:ascii="仿宋_GB2312" w:hAnsi="仿宋_GB2312" w:eastAsia="仿宋_GB2312" w:cs="仿宋_GB2312"/>
          <w:color w:val="000000" w:themeColor="text1"/>
          <w:sz w:val="32"/>
          <w:szCs w:val="32"/>
          <w:highlight w:val="none"/>
          <w14:textFill>
            <w14:solidFill>
              <w14:schemeClr w14:val="tx1"/>
            </w14:solidFill>
          </w14:textFill>
        </w:rPr>
        <w:t>持续抓好新冠肺炎疫情常态化防控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提升疫情监测预警和应急响应能力。加强博鳌机场等口岸卫生检疫能力建设，严防外来重大传染病传入。加强冷链物流渠道的防控，精准有效防控动物源性传染病的发生和传播风险。落实养殖、屠宰环节动物防疫主体责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艾滋病宣传、干预、检测、抗病毒治疗和随访管理，全面落实临床用血核酸检测和预防艾滋病母婴传播，遏制经性传播患病。及时有效控制流感、手足口病、登革热、麻疹、皮肤性病等重点传染病疫情。全面加强全市预防接种门诊管理，推进预防接种门诊规范化和标准化建设，提高预防接种门诊服务质量和工作效率。</w:t>
      </w:r>
    </w:p>
    <w:p>
      <w:pPr>
        <w:pStyle w:val="2"/>
        <w:keepNext w:val="0"/>
        <w:keepLines w:val="0"/>
        <w:pageBreakBefore w:val="0"/>
        <w:kinsoku/>
        <w:wordWrap/>
        <w:overflowPunct/>
        <w:topLinePunct w:val="0"/>
        <w:autoSpaceDE/>
        <w:autoSpaceDN/>
        <w:bidi w:val="0"/>
        <w:adjustRightInd/>
        <w:snapToGrid w:val="0"/>
        <w:spacing w:after="157" w:afterLines="50" w:line="59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促进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精神卫生和心理健康。</w:t>
      </w:r>
      <w:r>
        <w:rPr>
          <w:rFonts w:hint="eastAsia" w:ascii="仿宋_GB2312" w:hAnsi="仿宋_GB2312" w:eastAsia="仿宋_GB2312" w:cs="仿宋_GB2312"/>
          <w:color w:val="000000" w:themeColor="text1"/>
          <w:sz w:val="32"/>
          <w:szCs w:val="32"/>
          <w:highlight w:val="none"/>
          <w14:textFill>
            <w14:solidFill>
              <w14:schemeClr w14:val="tx1"/>
            </w14:solidFill>
          </w14:textFill>
        </w:rPr>
        <w:t>依托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海南省东部精神卫生中心（海南省安宁医院东红分院），推动</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建设海南省东部区域精神卫生中心，形成以区域精神卫生中心、市精防机构（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市皮肤性病与精神卫生防治</w:t>
      </w:r>
      <w:r>
        <w:rPr>
          <w:rFonts w:hint="eastAsia" w:ascii="仿宋_GB2312" w:hAnsi="仿宋_GB2312" w:eastAsia="仿宋_GB2312" w:cs="仿宋_GB2312"/>
          <w:color w:val="000000" w:themeColor="text1"/>
          <w:sz w:val="32"/>
          <w:szCs w:val="32"/>
          <w:highlight w:val="none"/>
          <w14:textFill>
            <w14:solidFill>
              <w14:schemeClr w14:val="tx1"/>
            </w14:solidFill>
          </w14:textFill>
        </w:rPr>
        <w:t>中心）和基层医疗卫生机构组成的精神卫生服务体系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稳步扩大安宁疗护试点，争取设立东部区域安宁疗护中心。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鼓励社会资本建设精神专科医院。建立基层医疗机构与精神专科医院之间转诊及医联体合作机制。</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加大心理健康知识宣传普及，提升心理咨询能力，规范心理咨询与治疗服务内容。创新居民心理健康体检制度。加强严重精神障碍患者报告登记和救治救助管理。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推进将心理危机干预和心理援助纳入突发事件应急预案。</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加强抑郁症、焦虑障碍、睡眠障碍、儿童心理行为发育异常、老年痴呆等常见精神障碍和心理行为问题干预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加强与民政等部门的联防联控，完善“三无流浪”</w:t>
      </w:r>
      <w:r>
        <w:rPr>
          <w:rFonts w:hint="eastAsia" w:ascii="仿宋_GB2312" w:hAnsi="仿宋_GB2312" w:eastAsia="仿宋_GB2312" w:cs="仿宋_GB2312"/>
          <w:color w:val="000000" w:themeColor="text1"/>
          <w:kern w:val="2"/>
          <w:sz w:val="32"/>
          <w:szCs w:val="32"/>
          <w:highlight w:val="none"/>
          <w:vertAlign w:val="superscript"/>
          <w:lang w:val="en-US" w:eastAsia="zh-CN" w:bidi="ar-SA"/>
          <w14:textFill>
            <w14:solidFill>
              <w14:schemeClr w14:val="tx1"/>
            </w14:solidFill>
          </w14:textFill>
        </w:rPr>
        <w:t>[14]</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及贫困精神障碍患者救治救助管理工作，全面推进精神障碍社区康复服务并实现全覆盖，力求在册严重精神障碍患者规范管理率达到90%以上，规范服药率达65%以上。</w:t>
      </w:r>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bookmarkStart w:id="31" w:name="_Toc4549"/>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3 重大疾病防治工程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慢性病和地方病综合防控。</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争创国家级慢性病综合防控示范区；构建医疗卫生机构慢性病和健康管理一体化网络；开展高血压、糖尿病等慢性病防控行动。</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传染病防控。</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实施传染病防控行动</w:t>
            </w:r>
            <w:r>
              <w:rPr>
                <w:rFonts w:hint="eastAsia" w:ascii="仿宋_GB2312" w:hAnsi="Times New Roman" w:eastAsia="仿宋_GB2312" w:cs="Times New Roman"/>
                <w:color w:val="000000" w:themeColor="text1"/>
                <w:sz w:val="24"/>
                <w:szCs w:val="20"/>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提升博鳌机场等口岸卫生检疫能力；推进市中医院感染性疾病科工程建设。</w:t>
            </w:r>
          </w:p>
          <w:p>
            <w:pPr>
              <w:adjustRightInd/>
              <w:snapToGrid/>
              <w:spacing w:line="400" w:lineRule="exact"/>
              <w:ind w:firstLine="482" w:firstLineChars="200"/>
              <w:rPr>
                <w:rFonts w:hint="eastAsia" w:ascii="仿宋_GB2312"/>
                <w:color w:val="000000" w:themeColor="text1"/>
                <w:sz w:val="24"/>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精神卫生服务和心理健康促进能力建设。</w:t>
            </w:r>
            <w:r>
              <w:rPr>
                <w:rFonts w:hint="eastAsia" w:ascii="仿宋_GB2312" w:hAnsi="Times New Roman" w:eastAsia="仿宋_GB2312" w:cs="Times New Roman"/>
                <w:color w:val="000000" w:themeColor="text1"/>
                <w:sz w:val="24"/>
                <w:szCs w:val="20"/>
                <w:highlight w:val="none"/>
                <w14:textFill>
                  <w14:solidFill>
                    <w14:schemeClr w14:val="tx1"/>
                  </w14:solidFill>
                </w14:textFill>
              </w:rPr>
              <w:t>逐步建立精神卫生医疗机构、社区康复机构及社会组织、家庭相衔接的精神障碍社区康复服务模式</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实施心理健康促进行动。</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到2025年，至少有1所</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省级或市级医疗机构</w:t>
            </w:r>
            <w:r>
              <w:rPr>
                <w:rFonts w:hint="eastAsia" w:ascii="仿宋_GB2312" w:hAnsi="Times New Roman" w:eastAsia="仿宋_GB2312" w:cs="Times New Roman"/>
                <w:color w:val="000000" w:themeColor="text1"/>
                <w:sz w:val="24"/>
                <w:szCs w:val="20"/>
                <w:highlight w:val="none"/>
                <w14:textFill>
                  <w14:solidFill>
                    <w14:schemeClr w14:val="tx1"/>
                  </w14:solidFill>
                </w14:textFill>
              </w:rPr>
              <w:t>设置有病房的精神科，社区卫生服务中心、镇卫生院配备至少1名专（兼)职心理健康服务工作人员，严重精神障碍患者常规免费服药和贫困重性严重精神障碍患者住院治疗救助补贴实现全覆盖。</w:t>
            </w:r>
          </w:p>
        </w:tc>
      </w:tr>
    </w:tbl>
    <w:p>
      <w:pPr>
        <w:keepNext w:val="0"/>
        <w:keepLines w:val="0"/>
        <w:pageBreakBefore w:val="0"/>
        <w:widowControl w:val="0"/>
        <w:kinsoku/>
        <w:wordWrap/>
        <w:overflowPunct/>
        <w:topLinePunct w:val="0"/>
        <w:autoSpaceDE/>
        <w:autoSpaceDN/>
        <w:bidi w:val="0"/>
        <w:adjustRightInd/>
        <w:snapToGrid w:val="0"/>
        <w:spacing w:before="157" w:beforeLines="50"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32" w:name="_Toc25748"/>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（四）构建高水平的公共卫生体系</w:t>
      </w:r>
      <w:bookmarkEnd w:id="31"/>
      <w:bookmarkEnd w:id="32"/>
    </w:p>
    <w:p>
      <w:pPr>
        <w:pStyle w:val="2"/>
        <w:keepNext w:val="0"/>
        <w:keepLines w:val="0"/>
        <w:pageBreakBefore w:val="0"/>
        <w:kinsoku/>
        <w:wordWrap/>
        <w:overflowPunct/>
        <w:topLinePunct w:val="0"/>
        <w:autoSpaceDE/>
        <w:autoSpaceDN/>
        <w:bidi w:val="0"/>
        <w:adjustRightInd/>
        <w:snapToGrid w:val="0"/>
        <w:spacing w:line="590" w:lineRule="exact"/>
        <w:ind w:firstLine="643" w:firstLineChars="200"/>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健全</w:t>
      </w: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公共卫生</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管理</w:t>
      </w: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体</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制机制</w:t>
      </w:r>
      <w:r>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贯彻落实《关于完善重大疫情防控体制机制健全海南自由贸易港公共卫生体系的若干意见》。健全公共卫生事件应急救援和重大传染病防控的机制、预案，强化公共卫生制度集成创新，逐步建立完善与自由贸易港建设、与琼海经济社会高质量发展相适应的公共卫生体系。按照《关于加强村（居）民委员会公共卫生委员会建设的指导意见》，加快推进基层公共卫生管理机制建设。</w:t>
      </w:r>
    </w:p>
    <w:p>
      <w:pPr>
        <w:pStyle w:val="2"/>
        <w:keepNext w:val="0"/>
        <w:keepLines w:val="0"/>
        <w:pageBreakBefore w:val="0"/>
        <w:kinsoku/>
        <w:wordWrap/>
        <w:overflowPunct/>
        <w:topLinePunct w:val="0"/>
        <w:autoSpaceDE/>
        <w:autoSpaceDN/>
        <w:bidi w:val="0"/>
        <w:adjustRightInd/>
        <w:snapToGrid w:val="0"/>
        <w:spacing w:line="590" w:lineRule="exact"/>
        <w:ind w:firstLine="643" w:firstLineChars="200"/>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完善公共卫生风险防控体系。</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加快优化和整合市疾病预防控制机构设置与职责，将职业病、结核病及其他慢性病等有关疾病预防控制职责划转至市疾病预防控制中心，设立皮肤性病与精神卫生防治中心以及健康教育机构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推动整合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级医疗机构和专业公共卫生机构成立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健康中心，提供医疗、预防、康复、中医等一体化服务。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市疾病预防控制中心编制配备、人事管理、财力保障力度，加强领导班子选配。推动市疾病预防控制中心标准化建设，到2025年至少建成4个生物安全二级（P2）实验室，高标准打造海南东部区域疾病预防控制中心。完善传染病监测哨点布局和信息直报系统，在口岸、重点交通场站、学校、社区、农村等场所建立监测哨点。加快推进镇卫生院、社区卫生服务中心全部设立发热（哨点）诊室，规范设置公共卫生科，按国家规定配备注册全科医师和公共卫生医师。</w:t>
      </w:r>
      <w:r>
        <w:rPr>
          <w:rFonts w:hint="eastAsia" w:ascii="仿宋_GB2312" w:hAnsi="仿宋_GB2312" w:eastAsia="仿宋_GB2312" w:cs="仿宋_GB2312"/>
          <w:color w:val="000000" w:themeColor="text1"/>
          <w:sz w:val="32"/>
          <w:szCs w:val="32"/>
          <w:highlight w:val="none"/>
          <w:shd w:val="clear"/>
          <w:lang w:eastAsia="zh-CN"/>
          <w14:textFill>
            <w14:solidFill>
              <w14:schemeClr w14:val="tx1"/>
            </w14:solidFill>
          </w14:textFill>
        </w:rPr>
        <w:t>创新疾病预防控制机构和城乡社区联动工作机制，推进镇卫生院（社区卫生服务中心）和镇政府工作联动。明确镇政府和村（居）民委会承担公共卫生管理责任，落实疾病预防控制和爱国卫生工作网格化管理职责。</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储备可临时征用为集中医学隔离观察点、方舱医院的场所。</w:t>
      </w:r>
    </w:p>
    <w:p>
      <w:pPr>
        <w:pStyle w:val="2"/>
        <w:keepNext w:val="0"/>
        <w:keepLines w:val="0"/>
        <w:pageBreakBefore w:val="0"/>
        <w:kinsoku/>
        <w:wordWrap/>
        <w:overflowPunct/>
        <w:topLinePunct w:val="0"/>
        <w:autoSpaceDE/>
        <w:autoSpaceDN/>
        <w:bidi w:val="0"/>
        <w:adjustRightInd/>
        <w:snapToGrid w:val="0"/>
        <w:spacing w:line="590" w:lineRule="exact"/>
        <w:ind w:firstLine="643" w:firstLineChars="200"/>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健全公共卫生救治体系</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。强化医疗机构公共卫生职责。加快建立市疾病预防控制中心与市人民医院领导之间“交叉聘任”制度。依托市人民医院建设相对独立的综合医院传染病区，打造东部区域重大传染病救治中心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实施好“2+3”健康服务包防治项目</w:t>
      </w:r>
      <w:r>
        <w:rPr>
          <w:rFonts w:hint="eastAsia" w:ascii="仿宋_GB2312" w:hAnsi="仿宋_GB2312" w:eastAsia="仿宋_GB2312" w:cs="仿宋_GB2312"/>
          <w:color w:val="000000" w:themeColor="text1"/>
          <w:kern w:val="2"/>
          <w:sz w:val="32"/>
          <w:szCs w:val="32"/>
          <w:highlight w:val="none"/>
          <w:vertAlign w:val="superscript"/>
          <w:lang w:val="en-US" w:eastAsia="zh-CN" w:bidi="ar-SA"/>
          <w14:textFill>
            <w14:solidFill>
              <w14:schemeClr w14:val="tx1"/>
            </w14:solidFill>
          </w14:textFill>
        </w:rPr>
        <w:t>[15]</w:t>
      </w:r>
      <w:r>
        <w:rPr>
          <w:rFonts w:hint="eastAsia" w:ascii="仿宋_GB2312" w:hAnsi="仿宋_GB2312" w:eastAsia="仿宋_GB2312" w:cs="仿宋_GB2312"/>
          <w:color w:val="000000" w:themeColor="text1"/>
          <w:kern w:val="2"/>
          <w:sz w:val="32"/>
          <w:szCs w:val="32"/>
          <w:highlight w:val="none"/>
          <w:vertAlign w:val="baseline"/>
          <w:lang w:val="en-US" w:eastAsia="zh-CN" w:bidi="ar-SA"/>
          <w14:textFill>
            <w14:solidFill>
              <w14:schemeClr w14:val="tx1"/>
            </w14:solidFill>
          </w14:textFill>
        </w:rPr>
        <w:t>省级</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试点。完成市公共卫生防控救治7大能力</w:t>
      </w:r>
      <w:r>
        <w:rPr>
          <w:rFonts w:hint="eastAsia" w:ascii="仿宋_GB2312" w:hAnsi="仿宋_GB2312" w:eastAsia="仿宋_GB2312" w:cs="仿宋_GB2312"/>
          <w:color w:val="000000" w:themeColor="text1"/>
          <w:kern w:val="2"/>
          <w:sz w:val="32"/>
          <w:szCs w:val="32"/>
          <w:highlight w:val="none"/>
          <w:vertAlign w:val="superscript"/>
          <w:lang w:val="en-US" w:eastAsia="zh-CN" w:bidi="ar-SA"/>
          <w14:textFill>
            <w14:solidFill>
              <w14:schemeClr w14:val="tx1"/>
            </w14:solidFill>
          </w14:textFill>
        </w:rPr>
        <w:t>[16]</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建设。建立健全博鳌机场口岸应急医疗救治机制。加强海南省血液中心琼海分中心建设，提高采供血能力和血液应急联动保障能力，健全采供血网络机构，落实省统筹</w:t>
      </w:r>
      <w:r>
        <w:rPr>
          <w:rFonts w:hint="eastAsia" w:ascii="仿宋_GB2312" w:hAnsi="仿宋_GB2312" w:eastAsia="仿宋_GB2312" w:cs="仿宋_GB2312"/>
          <w:color w:val="000000" w:themeColor="text1"/>
          <w:sz w:val="32"/>
          <w:szCs w:val="32"/>
          <w:highlight w:val="none"/>
          <w14:textFill>
            <w14:solidFill>
              <w14:schemeClr w14:val="tx1"/>
            </w14:solidFill>
          </w14:textFill>
        </w:rPr>
        <w:t>设置单采血浆站</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。加强专项管理，建立落实特殊病种困难群众医疗费用减免制度。</w:t>
      </w:r>
    </w:p>
    <w:p>
      <w:pPr>
        <w:pStyle w:val="2"/>
        <w:keepNext w:val="0"/>
        <w:keepLines w:val="0"/>
        <w:pageBreakBefore w:val="0"/>
        <w:kinsoku/>
        <w:wordWrap/>
        <w:overflowPunct/>
        <w:topLinePunct w:val="0"/>
        <w:autoSpaceDE/>
        <w:autoSpaceDN/>
        <w:bidi w:val="0"/>
        <w:adjustRightInd/>
        <w:snapToGrid w:val="0"/>
        <w:spacing w:after="157" w:afterLines="50" w:line="590" w:lineRule="exact"/>
        <w:ind w:firstLine="643" w:firstLineChars="200"/>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提升公共卫生应急能力。</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健全</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传染病和突发公共卫生事件监测预警、应急响应平台和决策指挥系统，完善琼海公共卫生紧急救援指挥中心建设。推动建设符合国家标准的市级突发公共卫生事件应急防控队伍，</w:t>
      </w:r>
      <w:r>
        <w:rPr>
          <w:rFonts w:hint="eastAsia" w:ascii="仿宋_GB2312" w:hAnsi="仿宋_GB2312" w:eastAsia="仿宋_GB2312" w:cs="仿宋_GB2312"/>
          <w:color w:val="000000" w:themeColor="text1"/>
          <w:sz w:val="32"/>
          <w:szCs w:val="32"/>
          <w:highlight w:val="none"/>
          <w14:textFill>
            <w14:solidFill>
              <w14:schemeClr w14:val="tx1"/>
            </w14:solidFill>
          </w14:textFill>
        </w:rPr>
        <w:t>组建专业卫生消杀、流调队伍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提高核酸检测技术人员储备力量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强重大疫情应对和处置能力培训演练。提高博鳌空港公共卫生风险应急处置能力。推进建设政府主导、全域覆盖、运行高效、服务优质的医共体院前急救服务体系，建成海南东部区域急救中心。新建或改扩建东部120急救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，规范建设救护车洗消中心（站），在</w:t>
      </w:r>
      <w:r>
        <w:rPr>
          <w:rFonts w:hint="eastAsia" w:ascii="仿宋_GB2312" w:hAnsi="仿宋_GB2312" w:eastAsia="仿宋_GB2312" w:cs="仿宋_GB2312"/>
          <w:color w:val="000000" w:themeColor="text1"/>
          <w:sz w:val="32"/>
          <w:szCs w:val="32"/>
          <w:highlight w:val="none"/>
          <w14:textFill>
            <w14:solidFill>
              <w14:schemeClr w14:val="tx1"/>
            </w14:solidFill>
          </w14:textFill>
        </w:rPr>
        <w:t>大路、阳江、中原、潭门、长坡、东升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地</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建设医疗急救站，按标准配置配齐（负压）救护车，提升突发公共卫生事件转运能力。加强急救与消防救援合作，实现呼119救援时120同时一健启动，依托消防站点合作共建城镇急救站点，对新入职消防员开展院前急救知识与技能培训。在学校、车站、码头、机场、酒店、景区景点等公共场所配置除颤仪等急救设备，广泛开展应急救护知识宣传，加强从业人员应急救护培训。健全医疗卫生应急物资采购、储备、供应体系。</w:t>
      </w:r>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bookmarkStart w:id="33" w:name="_Toc14365"/>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4 公共卫生防护网工程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公共卫生</w:t>
            </w:r>
            <w:r>
              <w:rPr>
                <w:rFonts w:hint="eastAsia" w:ascii="仿宋_GB2312" w:hAnsi="Times New Roman" w:eastAsia="仿宋_GB2312" w:cs="Times New Roman"/>
                <w:b/>
                <w:bCs/>
                <w:color w:val="000000" w:themeColor="text1"/>
                <w:sz w:val="24"/>
                <w:szCs w:val="20"/>
                <w:highlight w:val="none"/>
                <w:vertAlign w:val="baseline"/>
                <w:lang w:val="en-US" w:eastAsia="zh-CN"/>
                <w14:textFill>
                  <w14:solidFill>
                    <w14:schemeClr w14:val="tx1"/>
                  </w14:solidFill>
                </w14:textFill>
              </w:rPr>
              <w:t>管理</w:t>
            </w: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体</w:t>
            </w:r>
            <w:r>
              <w:rPr>
                <w:rFonts w:hint="eastAsia" w:ascii="仿宋_GB2312" w:hAnsi="Times New Roman" w:eastAsia="仿宋_GB2312" w:cs="Times New Roman"/>
                <w:b/>
                <w:bCs/>
                <w:color w:val="000000" w:themeColor="text1"/>
                <w:sz w:val="24"/>
                <w:szCs w:val="20"/>
                <w:highlight w:val="none"/>
                <w:vertAlign w:val="baseline"/>
                <w:lang w:val="en-US" w:eastAsia="zh-CN"/>
                <w14:textFill>
                  <w14:solidFill>
                    <w14:schemeClr w14:val="tx1"/>
                  </w14:solidFill>
                </w14:textFill>
              </w:rPr>
              <w:t>制机制</w:t>
            </w: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建设。</w:t>
            </w:r>
            <w:r>
              <w:rPr>
                <w:rFonts w:hint="eastAsia" w:ascii="仿宋_GB2312" w:hAnsi="Times New Roman" w:eastAsia="仿宋_GB2312" w:cs="Times New Roman"/>
                <w:b w:val="0"/>
                <w:bCs w:val="0"/>
                <w:color w:val="000000" w:themeColor="text1"/>
                <w:sz w:val="24"/>
                <w:szCs w:val="20"/>
                <w:highlight w:val="none"/>
                <w:vertAlign w:val="baseline"/>
                <w:lang w:val="en-US" w:eastAsia="zh-CN"/>
                <w14:textFill>
                  <w14:solidFill>
                    <w14:schemeClr w14:val="tx1"/>
                  </w14:solidFill>
                </w14:textFill>
              </w:rPr>
              <w:t>加强</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公共卫生制度集成创新</w:t>
            </w:r>
            <w:r>
              <w:rPr>
                <w:rFonts w:hint="eastAsia" w:ascii="仿宋_GB2312" w:hAnsi="Times New Roman" w:eastAsia="仿宋_GB2312" w:cs="Times New Roman"/>
                <w:b w:val="0"/>
                <w:bCs w:val="0"/>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健全公共卫生事件应急救援和重大传染病防控的机制、预案。</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公共卫生防控网络建设。</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推进疾控业务大楼、实验和科研大楼、教学培训和后勤保障大楼，以及市人民医院公共卫生大楼等项目建设；</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在市疾病预防控制中心、市人民医院和市中医院高标准建设生物安全防护二级（P2）实验室</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；实施公共卫生防控“网底”强化工程。</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公共卫生救治网络建设。</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实施好国家基本公共卫生服务项目、“2+3”健康服务包防治项目省级试点、医疗机构公共卫生防控救治7大能力建设。</w:t>
            </w:r>
          </w:p>
          <w:p>
            <w:pPr>
              <w:adjustRightInd/>
              <w:snapToGrid/>
              <w:spacing w:line="400" w:lineRule="exact"/>
              <w:ind w:firstLine="482" w:firstLineChars="200"/>
              <w:rPr>
                <w:rFonts w:hint="eastAsia" w:ascii="仿宋_GB2312" w:eastAsia="仿宋_GB2312"/>
                <w:color w:val="000000" w:themeColor="text1"/>
                <w:sz w:val="24"/>
                <w:highlight w:val="no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公共卫生应急能力建设。</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建设琼海公共卫生紧急救援指挥中心、市级突发公共卫生事件应急防控队伍；推动博鳌空港创建国内一流、国际先进的“国际卫生港”；新建</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或</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改扩建东部120急救中心、</w:t>
            </w:r>
            <w:r>
              <w:rPr>
                <w:rFonts w:hint="eastAsia" w:ascii="仿宋_GB2312" w:hAnsi="Times New Roman" w:eastAsia="仿宋_GB2312" w:cs="Times New Roman"/>
                <w:color w:val="000000" w:themeColor="text1"/>
                <w:sz w:val="24"/>
                <w:szCs w:val="20"/>
                <w:highlight w:val="none"/>
                <w14:textFill>
                  <w14:solidFill>
                    <w14:schemeClr w14:val="tx1"/>
                  </w14:solidFill>
                </w14:textFill>
              </w:rPr>
              <w:t>救护车洗消中心</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（站）、</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医疗急救站，配齐（负压）救护车。</w:t>
            </w:r>
            <w:r>
              <w:rPr>
                <w:rFonts w:hint="eastAsia" w:ascii="仿宋_GB2312" w:hAnsi="Times New Roman" w:eastAsia="仿宋_GB2312" w:cs="Times New Roman"/>
                <w:color w:val="000000" w:themeColor="text1"/>
                <w:sz w:val="24"/>
                <w:szCs w:val="20"/>
                <w:highlight w:val="none"/>
                <w:lang w:val="en-US" w:eastAsia="zh-CN"/>
                <w14:textFill>
                  <w14:solidFill>
                    <w14:schemeClr w14:val="tx1"/>
                  </w14:solidFill>
                </w14:textFill>
              </w:rPr>
              <w:t>推进</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医院</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14:textFill>
                  <w14:solidFill>
                    <w14:schemeClr w14:val="tx1"/>
                  </w14:solidFill>
                </w14:textFill>
              </w:rPr>
              <w:t>一键报警</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14:textFill>
                  <w14:solidFill>
                    <w14:schemeClr w14:val="tx1"/>
                  </w14:solidFill>
                </w14:textFill>
              </w:rPr>
              <w:t>系统</w:t>
            </w:r>
            <w:r>
              <w:rPr>
                <w:rFonts w:hint="eastAsia" w:ascii="仿宋_GB2312" w:hAnsi="Times New Roman" w:eastAsia="仿宋_GB2312" w:cs="Times New Roman"/>
                <w:color w:val="000000" w:themeColor="text1"/>
                <w:sz w:val="24"/>
                <w:szCs w:val="20"/>
                <w:highlight w:val="none"/>
                <w:lang w:val="en-US" w:eastAsia="zh-CN"/>
                <w14:textFill>
                  <w14:solidFill>
                    <w14:schemeClr w14:val="tx1"/>
                  </w14:solidFill>
                </w14:textFill>
              </w:rPr>
              <w:t>应用</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pPr>
      <w:bookmarkStart w:id="34" w:name="_Toc23045"/>
      <w:r>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t>（五）</w:t>
      </w:r>
      <w:bookmarkEnd w:id="33"/>
      <w:r>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t>构建整合型医疗卫生服务体系</w:t>
      </w:r>
      <w:bookmarkEnd w:id="34"/>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优化医疗资源布局。</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完善医疗卫生服务体系，优化三级医院空间布局，实现</w:t>
      </w:r>
      <w:r>
        <w:rPr>
          <w:rFonts w:hint="eastAsia" w:ascii="仿宋_GB2312" w:hAnsi="仿宋_GB2312" w:eastAsia="仿宋_GB2312" w:cs="仿宋_GB2312"/>
          <w:color w:val="000000" w:themeColor="text1"/>
          <w:sz w:val="32"/>
          <w:szCs w:val="32"/>
          <w:highlight w:val="none"/>
          <w:shd w:val="clear"/>
          <w14:textFill>
            <w14:solidFill>
              <w14:schemeClr w14:val="tx1"/>
            </w14:solidFill>
          </w14:textFill>
        </w:rPr>
        <w:t>部分三级医院外迁到主城区外交通干道、自贸港重点功能新区，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扩大优质医疗资源辐射效能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，重点</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琼海市人民医院第二院区建设，推动琼海市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门、中原、阳江、大路“东西南北”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等四</w:t>
      </w:r>
      <w:r>
        <w:rPr>
          <w:rFonts w:hint="eastAsia" w:ascii="仿宋_GB2312" w:hAnsi="仿宋_GB2312" w:eastAsia="仿宋_GB2312" w:cs="仿宋_GB2312"/>
          <w:color w:val="000000" w:themeColor="text1"/>
          <w:sz w:val="32"/>
          <w:szCs w:val="32"/>
          <w:highlight w:val="none"/>
          <w14:textFill>
            <w14:solidFill>
              <w14:schemeClr w14:val="tx1"/>
            </w14:solidFill>
          </w14:textFill>
        </w:rPr>
        <w:t>个区域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中心卫生院综合服务能力建设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。加强老年病、长期护理、慢性病管理等接续性医疗机构建设。强化康复体系建设。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鼓励社会力量建设高水平医院。</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完善分级诊疗体系。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逐步统一医共体内牵头医院与基层医疗卫生机构的药品目录和品规，保障基层分级诊疗、双向转诊用药衔接。以医保基金杠杆作用为支撑，以慢性病、常见病、多发病为重点，研究出台具有琼海特色的医共体内部、医共体之间以及市域向外转诊管理办法，建立双向转诊机制，强化下转精准对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逐步实现市域内医疗资源整合共享，加强市级医院对镇卫生院、村卫生室的统筹管理。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全面实施临床路径管理，规范诊疗行为，优化诊疗流程。</w:t>
      </w:r>
    </w:p>
    <w:p>
      <w:pPr>
        <w:keepNext w:val="0"/>
        <w:keepLines w:val="0"/>
        <w:pageBreakBefore w:val="0"/>
        <w:widowControl w:val="0"/>
        <w:kinsoku/>
        <w:wordWrap/>
        <w:overflowPunct/>
        <w:topLinePunct w:val="0"/>
        <w:autoSpaceDE/>
        <w:autoSpaceDN/>
        <w:bidi w:val="0"/>
        <w:adjustRightInd/>
        <w:snapToGrid w:val="0"/>
        <w:spacing w:after="0" w:afterLines="-2147483648" w:line="59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高标准高质量提升医疗服务水平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以专科、人才、技术、管理为核心，开展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级医院标准化建设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全面提升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14:textFill>
            <w14:solidFill>
              <w14:schemeClr w14:val="tx1"/>
            </w14:solidFill>
          </w14:textFill>
        </w:rPr>
        <w:t>级医院综合能力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加强市级医院五大救治中心</w:t>
      </w:r>
      <w:r>
        <w:rPr>
          <w:rFonts w:hint="eastAsia" w:ascii="仿宋_GB2312" w:hAnsi="仿宋_GB2312" w:eastAsia="仿宋_GB2312" w:cs="仿宋_GB2312"/>
          <w:b w:val="0"/>
          <w:bCs w:val="0"/>
          <w:color w:val="000000" w:themeColor="text1"/>
          <w:sz w:val="32"/>
          <w:szCs w:val="32"/>
          <w:highlight w:val="none"/>
          <w:vertAlign w:val="superscript"/>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vertAlign w:val="superscript"/>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建设。加快建设市级公立医院消化内科、口腔科、急诊科、骨科等10个重点学科，打造一流重点科室。推进中医优势专科建设，力争培育国家级重点专科1-2个，海南省级Ⅰ类重点专科10-12个，Ⅱ级省级临床重点专科8-10个。在三级公立医院推广日间服务，提高日间手术比例。</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国家“千县工程”和省“一市一院”工程，承接好省优质医疗资源向琼海市域的下沉。</w:t>
      </w:r>
      <w:r>
        <w:rPr>
          <w:rFonts w:hint="eastAsia" w:ascii="仿宋_GB2312" w:hAnsi="仿宋_GB2312" w:eastAsia="仿宋_GB2312" w:cs="仿宋_GB2312"/>
          <w:color w:val="000000" w:themeColor="text1"/>
          <w:sz w:val="32"/>
          <w:szCs w:val="32"/>
          <w:highlight w:val="none"/>
          <w14:textFill>
            <w14:solidFill>
              <w14:schemeClr w14:val="tx1"/>
            </w14:solidFill>
          </w14:textFill>
        </w:rPr>
        <w:t>持续提升市人民医院综合能力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，在全国县级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500强</w:t>
      </w:r>
      <w:r>
        <w:rPr>
          <w:rFonts w:hint="eastAsia" w:ascii="仿宋_GB2312" w:hAnsi="仿宋_GB2312" w:eastAsia="仿宋_GB2312" w:cs="仿宋_GB2312"/>
          <w:color w:val="000000" w:themeColor="text1"/>
          <w:sz w:val="32"/>
          <w:szCs w:val="32"/>
          <w:highlight w:val="none"/>
          <w14:textFill>
            <w14:solidFill>
              <w14:schemeClr w14:val="tx1"/>
            </w14:solidFill>
          </w14:textFill>
        </w:rPr>
        <w:t>三级甲等综合医院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基础上提升至省级水平医院，</w:t>
      </w:r>
      <w:r>
        <w:rPr>
          <w:rFonts w:hint="eastAsia" w:ascii="仿宋_GB2312" w:hAnsi="仿宋_GB2312" w:eastAsia="仿宋_GB2312" w:cs="仿宋_GB2312"/>
          <w:color w:val="000000" w:themeColor="text1"/>
          <w:sz w:val="32"/>
          <w:szCs w:val="32"/>
          <w:highlight w:val="none"/>
          <w14:textFill>
            <w14:solidFill>
              <w14:schemeClr w14:val="tx1"/>
            </w14:solidFill>
          </w14:textFill>
        </w:rPr>
        <w:t>打造海南东部区域医疗中心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，增强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博鳌亚洲论坛、博鳌乐城国际医疗旅游先行区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医疗保障能力。推动</w:t>
      </w:r>
      <w:r>
        <w:rPr>
          <w:rFonts w:hint="eastAsia" w:ascii="仿宋_GB2312" w:hAnsi="仿宋_GB2312" w:eastAsia="仿宋_GB2312" w:cs="仿宋_GB2312"/>
          <w:color w:val="000000" w:themeColor="text1"/>
          <w:sz w:val="32"/>
          <w:szCs w:val="32"/>
          <w:highlight w:val="none"/>
          <w14:textFill>
            <w14:solidFill>
              <w14:schemeClr w14:val="tx1"/>
            </w14:solidFill>
          </w14:textFill>
        </w:rPr>
        <w:t>在城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北</w:t>
      </w:r>
      <w:r>
        <w:rPr>
          <w:rFonts w:hint="eastAsia" w:ascii="仿宋_GB2312" w:hAnsi="仿宋_GB2312" w:eastAsia="仿宋_GB2312" w:cs="仿宋_GB2312"/>
          <w:color w:val="000000" w:themeColor="text1"/>
          <w:sz w:val="32"/>
          <w:szCs w:val="32"/>
          <w:highlight w:val="none"/>
          <w14:textFill>
            <w14:solidFill>
              <w14:schemeClr w14:val="tx1"/>
            </w14:solidFill>
          </w14:textFill>
        </w:rPr>
        <w:t>片区规划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建设市人民医院</w:t>
      </w:r>
      <w:r>
        <w:rPr>
          <w:rFonts w:hint="eastAsia" w:ascii="仿宋_GB2312" w:hAnsi="仿宋_GB2312" w:eastAsia="仿宋_GB2312" w:cs="仿宋_GB2312"/>
          <w:color w:val="000000" w:themeColor="text1"/>
          <w:sz w:val="32"/>
          <w:szCs w:val="32"/>
          <w:highlight w:val="none"/>
          <w14:textFill>
            <w14:solidFill>
              <w14:schemeClr w14:val="tx1"/>
            </w14:solidFill>
          </w14:textFill>
        </w:rPr>
        <w:t>第二院区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推进市人民医院</w:t>
      </w:r>
      <w:r>
        <w:rPr>
          <w:rFonts w:hint="eastAsia" w:ascii="仿宋_GB2312" w:hAnsi="仿宋_GB2312" w:eastAsia="仿宋_GB2312" w:cs="仿宋_GB2312"/>
          <w:color w:val="000000" w:themeColor="text1"/>
          <w:sz w:val="32"/>
          <w:szCs w:val="32"/>
          <w:highlight w:val="none"/>
          <w14:textFill>
            <w14:solidFill>
              <w14:schemeClr w14:val="tx1"/>
            </w14:solidFill>
          </w14:textFill>
        </w:rPr>
        <w:t>在上埇分院</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新建医用高压氧舱，填补高压氧治疗“空白”。</w:t>
      </w:r>
      <w:r>
        <w:rPr>
          <w:rFonts w:hint="eastAsia" w:ascii="仿宋_GB2312" w:hAnsi="仿宋_GB2312" w:eastAsia="仿宋_GB2312" w:cs="仿宋_GB2312"/>
          <w:color w:val="000000" w:themeColor="text1"/>
          <w:sz w:val="32"/>
          <w:szCs w:val="32"/>
          <w:highlight w:val="none"/>
          <w14:textFill>
            <w14:solidFill>
              <w14:schemeClr w14:val="tx1"/>
            </w14:solidFill>
          </w14:textFill>
        </w:rPr>
        <w:t>依托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市人民</w:t>
      </w:r>
      <w:r>
        <w:rPr>
          <w:rFonts w:hint="eastAsia" w:ascii="仿宋_GB2312" w:hAnsi="仿宋_GB2312" w:eastAsia="仿宋_GB2312" w:cs="仿宋_GB2312"/>
          <w:color w:val="000000" w:themeColor="text1"/>
          <w:sz w:val="32"/>
          <w:szCs w:val="32"/>
          <w:highlight w:val="none"/>
          <w14:textFill>
            <w14:solidFill>
              <w14:schemeClr w14:val="tx1"/>
            </w14:solidFill>
          </w14:textFill>
        </w:rPr>
        <w:t>医院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临床服务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五大中心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到2025年，全市所有市级</w:t>
      </w:r>
      <w:r>
        <w:rPr>
          <w:rFonts w:hint="eastAsia" w:ascii="仿宋_GB2312" w:hAnsi="仿宋_GB2312" w:eastAsia="仿宋_GB2312" w:cs="仿宋_GB2312"/>
          <w:color w:val="000000" w:themeColor="text1"/>
          <w:sz w:val="32"/>
          <w:szCs w:val="32"/>
          <w:highlight w:val="none"/>
          <w14:textFill>
            <w14:solidFill>
              <w14:schemeClr w14:val="tx1"/>
            </w14:solidFill>
          </w14:textFill>
        </w:rPr>
        <w:t>公立</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医院均达到国家《县级医院服务能力标准》</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after="0" w:afterLines="-2147483648" w:line="59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全面推进镇村医疗</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服务</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体系与能力建设</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shd w:val="clear"/>
          <w:lang w:eastAsia="zh-CN"/>
          <w14:textFill>
            <w14:solidFill>
              <w14:schemeClr w14:val="tx1"/>
            </w14:solidFill>
          </w14:textFill>
        </w:rPr>
        <w:t>加快推进</w:t>
      </w:r>
      <w:r>
        <w:rPr>
          <w:rFonts w:hint="eastAsia" w:ascii="仿宋_GB2312" w:hAnsi="仿宋_GB2312" w:eastAsia="仿宋_GB2312" w:cs="仿宋_GB2312"/>
          <w:color w:val="000000" w:themeColor="text1"/>
          <w:kern w:val="2"/>
          <w:sz w:val="32"/>
          <w:szCs w:val="32"/>
          <w:highlight w:val="none"/>
          <w:shd w:val="clear"/>
          <w14:textFill>
            <w14:solidFill>
              <w14:schemeClr w14:val="tx1"/>
            </w14:solidFill>
          </w14:textFill>
        </w:rPr>
        <w:t>设置标准化的镇卫生院、社区卫生服务中心（站）和村卫生室</w:t>
      </w:r>
      <w:r>
        <w:rPr>
          <w:rFonts w:hint="eastAsia" w:ascii="仿宋_GB2312" w:hAnsi="仿宋_GB2312" w:eastAsia="仿宋_GB2312" w:cs="仿宋_GB2312"/>
          <w:color w:val="000000" w:themeColor="text1"/>
          <w:kern w:val="2"/>
          <w:sz w:val="32"/>
          <w:szCs w:val="32"/>
          <w:highlight w:val="none"/>
          <w:shd w:val="clear"/>
          <w:lang w:eastAsia="zh-CN"/>
          <w14:textFill>
            <w14:solidFill>
              <w14:schemeClr w14:val="tx1"/>
            </w14:solidFill>
          </w14:textFill>
        </w:rPr>
        <w:t>，高标准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打造潭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门、中原、阳江、大路、城南“东西南北中”五个社区医院</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。全市实现标准化村卫生室全覆盖，升级改造村卫生室业务用房面积达到200㎡左右（两层）。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推动有条件的社区卫生服务机构、镇卫生院建设社区医院。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支持和鼓励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有条件的镇卫生院和社区卫生服务中心</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开展残疾人照护、老年人日间照护、康复保健等服务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持续推进基层医疗卫生机构实行家庭医生签约服务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优化签约服务内涵，推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行</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标准化服务流程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完善绩效考核办法</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，充分发挥家庭医生作为群众健康守门人的作用。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提升基层医疗卫生机构健康管理能力，强化健康档案管理、健康教育、健康体检、康复、医养照护等服务。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积极争创国家级</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基层卫生健康综合试验区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bookmarkStart w:id="35" w:name="_Toc9357"/>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5 医疗服务提升工程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公立医院高质量发展。</w:t>
            </w:r>
            <w:r>
              <w:rPr>
                <w:rFonts w:hint="eastAsia" w:ascii="仿宋_GB2312" w:hAnsi="Times New Roman" w:eastAsia="仿宋_GB2312" w:cs="Times New Roman"/>
                <w:b w:val="0"/>
                <w:bCs w:val="0"/>
                <w:color w:val="000000" w:themeColor="text1"/>
                <w:sz w:val="24"/>
                <w:szCs w:val="20"/>
                <w:highlight w:val="none"/>
                <w:vertAlign w:val="baseline"/>
                <w:lang w:val="en-US" w:eastAsia="zh-CN"/>
                <w14:textFill>
                  <w14:solidFill>
                    <w14:schemeClr w14:val="tx1"/>
                  </w14:solidFill>
                </w14:textFill>
              </w:rPr>
              <w:t>健全</w:t>
            </w:r>
            <w:r>
              <w:rPr>
                <w:rFonts w:hint="eastAsia" w:ascii="仿宋_GB2312" w:hAnsi="Times New Roman" w:eastAsia="仿宋_GB2312" w:cs="Times New Roman"/>
                <w:color w:val="000000" w:themeColor="text1"/>
                <w:sz w:val="24"/>
                <w:szCs w:val="20"/>
                <w:highlight w:val="none"/>
                <w14:textFill>
                  <w14:solidFill>
                    <w14:schemeClr w14:val="tx1"/>
                  </w14:solidFill>
                </w14:textFill>
              </w:rPr>
              <w:t>现代医院管理制度</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；实施好</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国家“千县工程”和省“一市一院”工程</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；建设市级公立医院五大救治中心</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14:textFill>
                  <w14:solidFill>
                    <w14:schemeClr w14:val="tx1"/>
                  </w14:solidFill>
                </w14:textFill>
              </w:rPr>
              <w:t>临床服务“五大中心”</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建强建优特色专科。</w:t>
            </w:r>
            <w:r>
              <w:rPr>
                <w:rFonts w:hint="eastAsia" w:ascii="仿宋_GB2312" w:hAnsi="Times New Roman" w:eastAsia="仿宋_GB2312" w:cs="Times New Roman"/>
                <w:b w:val="0"/>
                <w:bCs w:val="0"/>
                <w:color w:val="000000" w:themeColor="text1"/>
                <w:sz w:val="24"/>
                <w:szCs w:val="20"/>
                <w:highlight w:val="none"/>
                <w14:textFill>
                  <w14:solidFill>
                    <w14:schemeClr w14:val="tx1"/>
                  </w14:solidFill>
                </w14:textFill>
              </w:rPr>
              <w:t>争创国家级</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公立医院综合改革示范</w:t>
            </w:r>
            <w:r>
              <w:rPr>
                <w:rFonts w:hint="eastAsia" w:ascii="仿宋_GB2312" w:hAnsi="Times New Roman" w:eastAsia="仿宋_GB2312" w:cs="Times New Roman"/>
                <w:b w:val="0"/>
                <w:bCs w:val="0"/>
                <w:color w:val="000000" w:themeColor="text1"/>
                <w:sz w:val="24"/>
                <w:szCs w:val="20"/>
                <w:highlight w:val="none"/>
                <w14:textFill>
                  <w14:solidFill>
                    <w14:schemeClr w14:val="tx1"/>
                  </w14:solidFill>
                </w14:textFill>
              </w:rPr>
              <w:t>市</w:t>
            </w:r>
            <w:r>
              <w:rPr>
                <w:rFonts w:hint="eastAsia" w:ascii="仿宋_GB2312" w:hAnsi="Times New Roman" w:eastAsia="仿宋_GB2312" w:cs="Times New Roman"/>
                <w:b w:val="0"/>
                <w:bCs w:val="0"/>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推进琼海市人民医院第二院区建设。</w:t>
            </w:r>
          </w:p>
          <w:p>
            <w:pPr>
              <w:adjustRightInd/>
              <w:snapToGrid/>
              <w:spacing w:line="400" w:lineRule="exact"/>
              <w:ind w:firstLine="482" w:firstLineChars="200"/>
              <w:rPr>
                <w:rFonts w:hint="eastAsia" w:ascii="仿宋_GB2312"/>
                <w:color w:val="000000" w:themeColor="text1"/>
                <w:sz w:val="24"/>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14:textFill>
                  <w14:solidFill>
                    <w14:schemeClr w14:val="tx1"/>
                  </w14:solidFill>
                </w14:textFill>
              </w:rPr>
              <w:t>镇村医疗</w:t>
            </w:r>
            <w:r>
              <w:rPr>
                <w:rFonts w:hint="eastAsia" w:ascii="仿宋_GB2312" w:hAnsi="Times New Roman" w:eastAsia="仿宋_GB2312" w:cs="Times New Roman"/>
                <w:b/>
                <w:bCs/>
                <w:color w:val="000000" w:themeColor="text1"/>
                <w:sz w:val="24"/>
                <w:szCs w:val="20"/>
                <w:highlight w:val="none"/>
                <w:lang w:eastAsia="zh-CN"/>
                <w14:textFill>
                  <w14:solidFill>
                    <w14:schemeClr w14:val="tx1"/>
                  </w14:solidFill>
                </w14:textFill>
              </w:rPr>
              <w:t>服务</w:t>
            </w:r>
            <w:r>
              <w:rPr>
                <w:rFonts w:hint="eastAsia" w:ascii="仿宋_GB2312" w:hAnsi="Times New Roman" w:eastAsia="仿宋_GB2312" w:cs="Times New Roman"/>
                <w:b/>
                <w:bCs/>
                <w:color w:val="000000" w:themeColor="text1"/>
                <w:sz w:val="24"/>
                <w:szCs w:val="20"/>
                <w:highlight w:val="none"/>
                <w14:textFill>
                  <w14:solidFill>
                    <w14:schemeClr w14:val="tx1"/>
                  </w14:solidFill>
                </w14:textFill>
              </w:rPr>
              <w:t>体系与能力建设</w:t>
            </w: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w:t>
            </w:r>
            <w:r>
              <w:rPr>
                <w:rFonts w:hint="eastAsia" w:ascii="仿宋_GB2312" w:hAnsi="Times New Roman" w:eastAsia="仿宋_GB2312" w:cs="Times New Roman"/>
                <w:b w:val="0"/>
                <w:bCs w:val="0"/>
                <w:color w:val="000000" w:themeColor="text1"/>
                <w:sz w:val="24"/>
                <w:szCs w:val="20"/>
                <w:highlight w:val="none"/>
                <w:vertAlign w:val="baseline"/>
                <w:lang w:eastAsia="zh-CN"/>
                <w14:textFill>
                  <w14:solidFill>
                    <w14:schemeClr w14:val="tx1"/>
                  </w14:solidFill>
                </w14:textFill>
              </w:rPr>
              <w:t>落实“市属镇用、镇属村用”政策，完善市镇村远程会诊体系，实施基层医疗卫生机构标准化建设样板工程和服务能力全面提升工程。</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到2025年，力争70%的镇卫生院和政府办社区卫生服务中心建成社区医院；在社区卫生服务机构开展有特色的优质护理；人民群众对基层卫生健康的满意度达到90%以上。</w:t>
            </w:r>
          </w:p>
        </w:tc>
      </w:tr>
    </w:tbl>
    <w:p>
      <w:pPr>
        <w:keepNext w:val="0"/>
        <w:keepLines w:val="0"/>
        <w:pageBreakBefore w:val="0"/>
        <w:numPr>
          <w:ilvl w:val="-1"/>
          <w:numId w:val="0"/>
        </w:numPr>
        <w:kinsoku/>
        <w:wordWrap/>
        <w:overflowPunct/>
        <w:topLinePunct w:val="0"/>
        <w:autoSpaceDE/>
        <w:autoSpaceDN/>
        <w:bidi w:val="0"/>
        <w:adjustRightInd/>
        <w:snapToGrid w:val="0"/>
        <w:spacing w:before="157" w:beforeLines="50" w:line="590" w:lineRule="exact"/>
        <w:ind w:firstLine="643" w:firstLineChars="200"/>
        <w:outlineLvl w:val="1"/>
        <w:rPr>
          <w:rFonts w:hint="eastAsia" w:ascii="楷体" w:hAnsi="楷体" w:eastAsia="楷体" w:cs="楷体"/>
          <w:b/>
          <w:bCs/>
          <w:color w:val="000000" w:themeColor="text1"/>
          <w:kern w:val="2"/>
          <w:sz w:val="32"/>
          <w:highlight w:val="none"/>
          <w:shd w:val="clear" w:color="auto" w:fill="FFFFFF"/>
          <w:lang w:val="en-US" w:eastAsia="zh-CN"/>
          <w14:textFill>
            <w14:solidFill>
              <w14:schemeClr w14:val="tx1"/>
            </w14:solidFill>
          </w14:textFill>
        </w:rPr>
      </w:pPr>
      <w:bookmarkStart w:id="36" w:name="_Toc20376"/>
      <w:r>
        <w:rPr>
          <w:rFonts w:hint="eastAsia" w:ascii="楷体" w:hAnsi="楷体" w:eastAsia="楷体" w:cs="楷体"/>
          <w:b/>
          <w:bCs/>
          <w:color w:val="000000" w:themeColor="text1"/>
          <w:kern w:val="2"/>
          <w:sz w:val="32"/>
          <w:highlight w:val="none"/>
          <w:shd w:val="clear" w:color="auto" w:fill="FFFFFF"/>
          <w:lang w:val="en-US" w:eastAsia="zh-CN"/>
          <w14:textFill>
            <w14:solidFill>
              <w14:schemeClr w14:val="tx1"/>
            </w14:solidFill>
          </w14:textFill>
        </w:rPr>
        <w:t>（六）</w:t>
      </w:r>
      <w:bookmarkEnd w:id="35"/>
      <w:r>
        <w:rPr>
          <w:rFonts w:hint="eastAsia" w:ascii="楷体" w:hAnsi="楷体" w:eastAsia="楷体" w:cs="楷体"/>
          <w:b/>
          <w:bCs/>
          <w:color w:val="000000" w:themeColor="text1"/>
          <w:kern w:val="2"/>
          <w:sz w:val="32"/>
          <w:highlight w:val="none"/>
          <w:shd w:val="clear" w:color="auto" w:fill="FFFFFF"/>
          <w:lang w:val="en-US" w:eastAsia="zh-CN"/>
          <w14:textFill>
            <w14:solidFill>
              <w14:schemeClr w14:val="tx1"/>
            </w14:solidFill>
          </w14:textFill>
        </w:rPr>
        <w:t>创新发展高水平中医药事业</w:t>
      </w:r>
      <w:bookmarkEnd w:id="36"/>
    </w:p>
    <w:p>
      <w:pPr>
        <w:keepNext w:val="0"/>
        <w:keepLines w:val="0"/>
        <w:pageBreakBefore w:val="0"/>
        <w:numPr>
          <w:ilvl w:val="0"/>
          <w:numId w:val="0"/>
        </w:numPr>
        <w:kinsoku/>
        <w:wordWrap/>
        <w:overflowPunct/>
        <w:topLinePunct w:val="0"/>
        <w:autoSpaceDE/>
        <w:autoSpaceDN/>
        <w:bidi w:val="0"/>
        <w:adjustRightInd/>
        <w:snapToGrid w:val="0"/>
        <w:spacing w:line="590" w:lineRule="exact"/>
        <w:ind w:firstLine="643" w:firstLineChars="200"/>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shd w:val="clear" w:color="auto" w:fill="auto"/>
          <w:lang w:val="en-US" w:eastAsia="zh-CN"/>
          <w14:textFill>
            <w14:solidFill>
              <w14:schemeClr w14:val="tx1"/>
            </w14:solidFill>
          </w14:textFill>
        </w:rPr>
        <w:t>健全中医医疗服务体系。</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加强市中医院软硬件建设，</w:t>
      </w:r>
      <w:r>
        <w:rPr>
          <w:rFonts w:hint="eastAsia" w:ascii="仿宋_GB2312" w:hAnsi="仿宋_GB2312" w:eastAsia="仿宋_GB2312" w:cs="仿宋_GB2312"/>
          <w:b w:val="0"/>
          <w:bCs w:val="0"/>
          <w:color w:val="000000" w:themeColor="text1"/>
          <w:kern w:val="2"/>
          <w:sz w:val="32"/>
          <w:szCs w:val="32"/>
          <w:highlight w:val="none"/>
          <w:shd w:val="clear" w:color="auto" w:fill="auto"/>
          <w:lang w:val="en-US" w:eastAsia="zh-CN"/>
          <w14:textFill>
            <w14:solidFill>
              <w14:schemeClr w14:val="tx1"/>
            </w14:solidFill>
          </w14:textFill>
        </w:rPr>
        <w:t>持续深化市中医院与成都中医药大学结对帮扶关系，</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提升市中医院科研、中医药服务能力，加快打造海南东部区域中医药服务中心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。加快推进</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中医院新院区感染性疾病科急诊科扩建、住院楼二期工程等“7+3”项目建设。实施市中医院提标扩能项目，规范中医院科室设置，强化以中医为主的办院模式和服务功能。</w:t>
      </w:r>
      <w:r>
        <w:rPr>
          <w:rFonts w:hint="eastAsia" w:ascii="仿宋_GB2312" w:hAnsi="仿宋_GB2312" w:eastAsia="仿宋_GB2312" w:cs="仿宋_GB2312"/>
          <w:color w:val="000000" w:themeColor="text1"/>
          <w:kern w:val="2"/>
          <w:sz w:val="32"/>
          <w:szCs w:val="32"/>
          <w:highlight w:val="none"/>
          <w:shd w:val="clear"/>
          <w:lang w:eastAsia="zh-CN"/>
          <w14:textFill>
            <w14:solidFill>
              <w14:schemeClr w14:val="tx1"/>
            </w14:solidFill>
          </w14:textFill>
        </w:rPr>
        <w:t>推动市人民医院中医药服务能力提升和市妇幼保健院中医药科室建设，支持市人民医院巩固全国综合医院中医药工作示范单位建设成果，对标中西医协同“旗舰”医院标准</w:t>
      </w:r>
      <w:r>
        <w:rPr>
          <w:rFonts w:hint="eastAsia" w:ascii="仿宋_GB2312" w:hAnsi="仿宋_GB2312" w:eastAsia="仿宋_GB2312" w:cs="仿宋_GB2312"/>
          <w:color w:val="000000" w:themeColor="text1"/>
          <w:kern w:val="2"/>
          <w:sz w:val="32"/>
          <w:szCs w:val="32"/>
          <w:highlight w:val="none"/>
          <w:shd w:val="clear"/>
          <w:lang w:val="en-US" w:eastAsia="zh-CN"/>
          <w14:textFill>
            <w14:solidFill>
              <w14:schemeClr w14:val="tx1"/>
            </w14:solidFill>
          </w14:textFill>
        </w:rPr>
        <w:t>不断提升</w:t>
      </w:r>
      <w:r>
        <w:rPr>
          <w:rFonts w:hint="eastAsia" w:ascii="仿宋_GB2312" w:hAnsi="仿宋_GB2312" w:eastAsia="仿宋_GB2312" w:cs="仿宋_GB2312"/>
          <w:color w:val="000000" w:themeColor="text1"/>
          <w:kern w:val="2"/>
          <w:sz w:val="32"/>
          <w:szCs w:val="32"/>
          <w:highlight w:val="none"/>
          <w:shd w:val="clear"/>
          <w:lang w:eastAsia="zh-CN"/>
          <w14:textFill>
            <w14:solidFill>
              <w14:schemeClr w14:val="tx1"/>
            </w14:solidFill>
          </w14:textFill>
        </w:rPr>
        <w:t>中医药服务能力。巩固全国基层中医药工作先进单位成果，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将中医馆建设纳入基层医疗机构标准化建设内容，推动社区卫生服务机构和村卫生室开展中医角建设。</w:t>
      </w:r>
      <w:r>
        <w:rPr>
          <w:rFonts w:hint="eastAsia" w:ascii="仿宋_GB2312" w:hAnsi="仿宋_GB2312" w:eastAsia="仿宋_GB2312" w:cs="仿宋_GB2312"/>
          <w:color w:val="000000" w:themeColor="text1"/>
          <w:kern w:val="2"/>
          <w:sz w:val="32"/>
          <w:szCs w:val="32"/>
          <w:highlight w:val="none"/>
          <w:shd w:val="clear"/>
          <w:lang w:eastAsia="zh-CN"/>
          <w14:textFill>
            <w14:solidFill>
              <w14:schemeClr w14:val="tx1"/>
            </w14:solidFill>
          </w14:textFill>
        </w:rPr>
        <w:t>加强</w:t>
      </w:r>
      <w:r>
        <w:rPr>
          <w:rFonts w:hint="eastAsia" w:ascii="仿宋_GB2312" w:hAnsi="仿宋_GB2312" w:eastAsia="仿宋_GB2312" w:cs="仿宋_GB2312"/>
          <w:color w:val="000000" w:themeColor="text1"/>
          <w:kern w:val="2"/>
          <w:sz w:val="32"/>
          <w:szCs w:val="32"/>
          <w:highlight w:val="none"/>
          <w:shd w:val="clear"/>
          <w14:textFill>
            <w14:solidFill>
              <w14:schemeClr w14:val="tx1"/>
            </w14:solidFill>
          </w14:textFill>
        </w:rPr>
        <w:t>全科医生和乡村医生中医药知识和技能培训</w:t>
      </w:r>
      <w:r>
        <w:rPr>
          <w:rFonts w:hint="eastAsia" w:ascii="仿宋_GB2312" w:hAnsi="仿宋_GB2312" w:eastAsia="仿宋_GB2312" w:cs="仿宋_GB2312"/>
          <w:color w:val="000000" w:themeColor="text1"/>
          <w:kern w:val="2"/>
          <w:sz w:val="32"/>
          <w:szCs w:val="32"/>
          <w:highlight w:val="none"/>
          <w:shd w:val="clear"/>
          <w:lang w:eastAsia="zh-CN"/>
          <w14:textFill>
            <w14:solidFill>
              <w14:schemeClr w14:val="tx1"/>
            </w14:solidFill>
          </w14:textFill>
        </w:rPr>
        <w:t>，推进基层中医药工作示范镇、示范村（居）建设。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鼓励社会力量在琼海区域内举办连锁中医医疗机构和专门提供传统中医药服务的中医门诊部、诊所，</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鼓励社会办医疗机构设置中医药科室。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鼓励通过政府购买服务形式向社会办中医医疗机构等购买家庭医生签约服务。</w:t>
      </w:r>
    </w:p>
    <w:p>
      <w:pPr>
        <w:keepNext w:val="0"/>
        <w:keepLines w:val="0"/>
        <w:pageBreakBefore w:val="0"/>
        <w:numPr>
          <w:ilvl w:val="-1"/>
          <w:numId w:val="0"/>
        </w:numPr>
        <w:kinsoku/>
        <w:wordWrap/>
        <w:overflowPunct/>
        <w:topLinePunct w:val="0"/>
        <w:autoSpaceDE/>
        <w:autoSpaceDN/>
        <w:bidi w:val="0"/>
        <w:adjustRightInd/>
        <w:snapToGrid w:val="0"/>
        <w:spacing w:line="590" w:lineRule="exact"/>
        <w:ind w:firstLine="643" w:firstLineChars="200"/>
        <w:outlineLvl w:val="9"/>
        <w:rPr>
          <w:rFonts w:hint="eastAsia" w:ascii="仿宋_GB2312" w:hAnsi="仿宋_GB2312" w:eastAsia="仿宋_GB2312" w:cs="仿宋_GB2312"/>
          <w:b w:val="0"/>
          <w:bCs w:val="0"/>
          <w:color w:val="000000" w:themeColor="text1"/>
          <w:spacing w:val="0"/>
          <w:sz w:val="32"/>
          <w:szCs w:val="32"/>
          <w:highlight w:val="none"/>
          <w:vertAlign w:val="baseline"/>
          <w:lang w:eastAsia="zh-CN"/>
          <w14:textFill>
            <w14:solidFill>
              <w14:schemeClr w14:val="tx1"/>
            </w14:solidFill>
          </w14:textFill>
        </w:rPr>
      </w:pPr>
      <w:r>
        <w:rPr>
          <w:rFonts w:hint="default" w:ascii="Times New Roman" w:hAnsi="Times New Roman" w:eastAsia="仿宋_GB2312" w:cs="Times New Roman"/>
          <w:b/>
          <w:bCs/>
          <w:color w:val="000000" w:themeColor="text1"/>
          <w:kern w:val="2"/>
          <w:sz w:val="32"/>
          <w:highlight w:val="none"/>
          <w:shd w:val="clear" w:color="auto" w:fill="FFFFFF"/>
          <w14:textFill>
            <w14:solidFill>
              <w14:schemeClr w14:val="tx1"/>
            </w14:solidFill>
          </w14:textFill>
        </w:rPr>
        <w:t>全面提升中医药</w:t>
      </w:r>
      <w:r>
        <w:rPr>
          <w:rFonts w:hint="eastAsia" w:ascii="Times New Roman" w:hAnsi="Times New Roman" w:eastAsia="仿宋_GB2312" w:cs="Times New Roman"/>
          <w:b/>
          <w:bCs/>
          <w:color w:val="000000" w:themeColor="text1"/>
          <w:kern w:val="2"/>
          <w:sz w:val="32"/>
          <w:highlight w:val="none"/>
          <w:shd w:val="clear" w:color="auto" w:fill="FFFFFF"/>
          <w:lang w:eastAsia="zh-CN"/>
          <w14:textFill>
            <w14:solidFill>
              <w14:schemeClr w14:val="tx1"/>
            </w14:solidFill>
          </w14:textFill>
        </w:rPr>
        <w:t>健康</w:t>
      </w:r>
      <w:r>
        <w:rPr>
          <w:rFonts w:hint="default" w:ascii="Times New Roman" w:hAnsi="Times New Roman" w:eastAsia="仿宋_GB2312" w:cs="Times New Roman"/>
          <w:b/>
          <w:bCs/>
          <w:color w:val="000000" w:themeColor="text1"/>
          <w:kern w:val="2"/>
          <w:sz w:val="32"/>
          <w:highlight w:val="none"/>
          <w:shd w:val="clear" w:color="auto" w:fill="FFFFFF"/>
          <w14:textFill>
            <w14:solidFill>
              <w14:schemeClr w14:val="tx1"/>
            </w14:solidFill>
          </w14:textFill>
        </w:rPr>
        <w:t>服务能力</w:t>
      </w:r>
      <w:r>
        <w:rPr>
          <w:rFonts w:hint="eastAsia" w:ascii="Times New Roman" w:hAnsi="Times New Roman" w:eastAsia="仿宋_GB2312" w:cs="Times New Roman"/>
          <w:b/>
          <w:bCs/>
          <w:color w:val="000000" w:themeColor="text1"/>
          <w:kern w:val="2"/>
          <w:sz w:val="32"/>
          <w:highlight w:val="none"/>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开展中医养生保健科普宣传，普及中医养生保健知识和太极拳等养生保健方法。大力发展中医非药物疗法，充分发挥其在常见病、多发病和慢性病防治中的独特作用。推进市中医院建设高标准治未病科室，研究、制定并推广重点人群、慢性病患者中医治未病的干预方案，鼓励家庭签约医生提供中医治未病服务。持续开展0-36个月儿童、65岁以上老年人等重点人群的中医药健康管理，逐步提高覆盖率。推进治未病服务拓展至社康中心，逐步融入疾病诊疗全过程</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，推动中医康复技术进社区、进家庭、进机构。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针对</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心血管、糖尿病、呼吸系统疾病等，依托琼海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良好</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的气候环境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康复条件，制定推广一批中医药康复方案，吸引省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内外客源</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，打造特色优势品牌。提升中医药参与新发突发传染病防治和公共卫生事件应急处置能力和</w:t>
      </w:r>
      <w:r>
        <w:rPr>
          <w:rFonts w:hint="eastAsia" w:ascii="仿宋_GB2312" w:hAnsi="仿宋_GB2312" w:eastAsia="仿宋_GB2312" w:cs="仿宋_GB2312"/>
          <w:color w:val="000000" w:themeColor="text1"/>
          <w:spacing w:val="0"/>
          <w:sz w:val="32"/>
          <w:szCs w:val="32"/>
          <w:highlight w:val="none"/>
          <w:vertAlign w:val="baseline"/>
          <w14:textFill>
            <w14:solidFill>
              <w14:schemeClr w14:val="tx1"/>
            </w14:solidFill>
          </w14:textFill>
        </w:rPr>
        <w:t>支撑保障能力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。在条件成熟的中医医疗机构设置民族医药科室，加大民族医药适宜技术推广，促进黎族苗族医药与中医药优势互补发展。</w:t>
      </w:r>
    </w:p>
    <w:p>
      <w:pPr>
        <w:keepNext w:val="0"/>
        <w:keepLines w:val="0"/>
        <w:pageBreakBefore w:val="0"/>
        <w:numPr>
          <w:ilvl w:val="-1"/>
          <w:numId w:val="0"/>
        </w:numPr>
        <w:kinsoku/>
        <w:wordWrap/>
        <w:overflowPunct/>
        <w:topLinePunct w:val="0"/>
        <w:autoSpaceDE/>
        <w:autoSpaceDN/>
        <w:bidi w:val="0"/>
        <w:adjustRightInd/>
        <w:snapToGrid w:val="0"/>
        <w:spacing w:after="157" w:afterLines="50" w:line="590" w:lineRule="exact"/>
        <w:ind w:firstLine="622" w:firstLineChars="200"/>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Times New Roman" w:eastAsia="仿宋_GB2312" w:cs="仿宋_GB2312"/>
          <w:b/>
          <w:bCs/>
          <w:color w:val="000000" w:themeColor="text1"/>
          <w:spacing w:val="0"/>
          <w:sz w:val="31"/>
          <w:szCs w:val="31"/>
          <w:highlight w:val="none"/>
          <w:vertAlign w:val="baseline"/>
          <w:lang w:val="en-US" w:eastAsia="zh-CN"/>
          <w14:textFill>
            <w14:solidFill>
              <w14:schemeClr w14:val="tx1"/>
            </w14:solidFill>
          </w14:textFill>
        </w:rPr>
        <w:t>推进</w:t>
      </w:r>
      <w:r>
        <w:rPr>
          <w:rFonts w:hint="eastAsia" w:ascii="仿宋_GB2312" w:hAnsi="Times New Roman" w:eastAsia="仿宋_GB2312" w:cs="仿宋_GB2312"/>
          <w:b/>
          <w:bCs/>
          <w:color w:val="000000" w:themeColor="text1"/>
          <w:spacing w:val="0"/>
          <w:sz w:val="31"/>
          <w:szCs w:val="31"/>
          <w:highlight w:val="none"/>
          <w:vertAlign w:val="baseline"/>
          <w:lang w:eastAsia="zh-CN"/>
          <w14:textFill>
            <w14:solidFill>
              <w14:schemeClr w14:val="tx1"/>
            </w14:solidFill>
          </w14:textFill>
        </w:rPr>
        <w:t>中医药传承创新发展。</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继续推进名老中医药专家传承工作室建设。支持鼓励省内外名老中医、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本地退休医生和“候鸟”医学专家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坐诊、带教。系统挖掘、整理、研究民间中医和黎族苗族医的特色经验、诊疗技术、传统中药炮制技术。整理中医中风病古籍文献，</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中风专科古籍文献数据库</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建设</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。充分发挥中药材种子种苗繁育（海南琼海）基地引领作用，促进中医药种植业绿色创新发展。充分挖掘特色中药传统制剂资源，重点培育具有市场竞争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的特色药，推动中药产业高质量发展，加快打造全产业链</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中医药</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企业。</w:t>
      </w:r>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bookmarkStart w:id="37" w:name="_Toc31166"/>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6 中医药传承创新发展工程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中医药基础建设。</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到2025年，全市所有的镇卫生院、社区卫生服务机构和85%以上的村卫生室能够提供中医药服务，完成所有中医医疗机构标准化建设，并达到二级以上水平。</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中医药服务提升。</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到2025年，30%的中医馆建成示范中医馆，镇卫生院、社区卫生服务中心提供中医非药物疗法的比例达到100%，村卫生室提供中医非药物疗法的比例达到75%；所有医院均能提供中医药康复服务，全市中医类医院床位数不少于500张。</w:t>
            </w:r>
          </w:p>
          <w:p>
            <w:pPr>
              <w:adjustRightInd/>
              <w:snapToGrid/>
              <w:spacing w:line="400" w:lineRule="exact"/>
              <w:ind w:firstLine="482" w:firstLineChars="200"/>
              <w:rPr>
                <w:rFonts w:hint="eastAsia" w:ascii="仿宋_GB2312"/>
                <w:color w:val="000000" w:themeColor="text1"/>
                <w:sz w:val="24"/>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中医药创新发展。</w:t>
            </w:r>
            <w:r>
              <w:rPr>
                <w:rFonts w:hint="eastAsia" w:ascii="仿宋_GB2312" w:hAnsi="Times New Roman" w:eastAsia="仿宋_GB2312" w:cs="Times New Roman"/>
                <w:b w:val="0"/>
                <w:bCs w:val="0"/>
                <w:color w:val="000000" w:themeColor="text1"/>
                <w:sz w:val="24"/>
                <w:szCs w:val="20"/>
                <w:highlight w:val="none"/>
                <w:lang w:eastAsia="zh-CN"/>
                <w14:textFill>
                  <w14:solidFill>
                    <w14:schemeClr w14:val="tx1"/>
                  </w14:solidFill>
                </w14:textFill>
              </w:rPr>
              <w:t>建设</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名老中医药专家传承工作室</w:t>
            </w:r>
            <w:r>
              <w:rPr>
                <w:rFonts w:hint="eastAsia" w:ascii="仿宋_GB2312" w:hAnsi="Times New Roman" w:eastAsia="仿宋_GB2312" w:cs="Times New Roman"/>
                <w:b w:val="0"/>
                <w:bCs w:val="0"/>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实施中医药学术挖掘与传承工程；争取研制至少</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1</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种专科制剂，至少总结出</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1</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个中医院内中药制剂在临床中应用。</w:t>
            </w:r>
          </w:p>
        </w:tc>
      </w:tr>
    </w:tbl>
    <w:p>
      <w:pPr>
        <w:numPr>
          <w:ilvl w:val="-1"/>
          <w:numId w:val="0"/>
        </w:numPr>
        <w:snapToGrid w:val="0"/>
        <w:spacing w:before="157" w:beforeLines="50" w:line="590" w:lineRule="exact"/>
        <w:ind w:firstLine="643" w:firstLineChars="200"/>
        <w:outlineLvl w:val="1"/>
        <w:rPr>
          <w:rFonts w:hint="eastAsia" w:ascii="楷体" w:hAnsi="楷体" w:eastAsia="楷体" w:cs="楷体"/>
          <w:b/>
          <w:bCs/>
          <w:color w:val="000000" w:themeColor="text1"/>
          <w:sz w:val="32"/>
          <w:szCs w:val="32"/>
          <w:highlight w:val="none"/>
          <w:lang w:eastAsia="zh-CN"/>
          <w14:textFill>
            <w14:solidFill>
              <w14:schemeClr w14:val="tx1"/>
            </w14:solidFill>
          </w14:textFill>
        </w:rPr>
      </w:pPr>
      <w:bookmarkStart w:id="38" w:name="_Toc32735"/>
      <w:r>
        <w:rPr>
          <w:rFonts w:hint="eastAsia" w:ascii="楷体" w:hAnsi="楷体" w:eastAsia="楷体" w:cs="楷体"/>
          <w:b/>
          <w:bCs/>
          <w:color w:val="000000" w:themeColor="text1"/>
          <w:sz w:val="32"/>
          <w:szCs w:val="32"/>
          <w:highlight w:val="none"/>
          <w:lang w:eastAsia="zh-CN"/>
          <w14:textFill>
            <w14:solidFill>
              <w14:schemeClr w14:val="tx1"/>
            </w14:solidFill>
          </w14:textFill>
        </w:rPr>
        <w:t>（七）</w:t>
      </w:r>
      <w:bookmarkEnd w:id="37"/>
      <w:r>
        <w:rPr>
          <w:rFonts w:hint="eastAsia" w:ascii="楷体" w:hAnsi="楷体" w:eastAsia="楷体" w:cs="楷体"/>
          <w:b/>
          <w:bCs/>
          <w:color w:val="000000" w:themeColor="text1"/>
          <w:sz w:val="32"/>
          <w:szCs w:val="32"/>
          <w:highlight w:val="none"/>
          <w:lang w:eastAsia="zh-CN"/>
          <w14:textFill>
            <w14:solidFill>
              <w14:schemeClr w14:val="tx1"/>
            </w14:solidFill>
          </w14:textFill>
        </w:rPr>
        <w:t>稳步推进智慧化医疗健康服务</w:t>
      </w:r>
      <w:bookmarkEnd w:id="38"/>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推进卫生健康领域新基建。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深入推进琼海</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数字健康建设，促进全民健康信息联通应用。运用医学人工智能、5G技术、物联网、云计算、区块链、大数据、电子信息等先进技术，提升全市各级各类医疗卫生机构信息化能级。</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完善</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HRP管理平台和</w:t>
      </w:r>
      <w:r>
        <w:rPr>
          <w:rFonts w:hint="eastAsia" w:ascii="仿宋_GB2312" w:hAnsi="仿宋_GB2312" w:eastAsia="仿宋_GB2312" w:cs="仿宋_GB2312"/>
          <w:color w:val="000000" w:themeColor="text1"/>
          <w:sz w:val="32"/>
          <w:szCs w:val="32"/>
          <w:highlight w:val="none"/>
          <w14:textFill>
            <w14:solidFill>
              <w14:schemeClr w14:val="tx1"/>
            </w14:solidFill>
          </w14:textFill>
        </w:rPr>
        <w:t>医共体总院HRP功能</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区域LIS、区域PACS、区域心电诊断中心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等医共体诊疗平台建设。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利用医共体5G远程项目平台，完善总院远程会诊、远程诊疗、分诊诊疗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完善“琼海市微信公众号”“海南智慧医院网络APP”等移动门诊预约平台功能。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成立“琼海市线上患者门诊服务中心”。支持市人民医院开发</w:t>
      </w:r>
      <w:r>
        <w:rPr>
          <w:rFonts w:hint="eastAsia" w:ascii="仿宋_GB2312" w:hAnsi="仿宋_GB2312" w:eastAsia="仿宋_GB2312" w:cs="仿宋_GB2312"/>
          <w:color w:val="000000" w:themeColor="text1"/>
          <w:sz w:val="32"/>
          <w:szCs w:val="32"/>
          <w:highlight w:val="none"/>
          <w14:textFill>
            <w14:solidFill>
              <w14:schemeClr w14:val="tx1"/>
            </w14:solidFill>
          </w14:textFill>
        </w:rPr>
        <w:t>“智能化护理管理软件”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提升</w:t>
      </w:r>
      <w:r>
        <w:rPr>
          <w:rFonts w:hint="eastAsia" w:ascii="仿宋_GB2312" w:hAnsi="仿宋_GB2312" w:eastAsia="仿宋_GB2312" w:cs="仿宋_GB2312"/>
          <w:color w:val="000000" w:themeColor="text1"/>
          <w:sz w:val="32"/>
          <w:szCs w:val="32"/>
          <w:highlight w:val="none"/>
          <w14:textFill>
            <w14:solidFill>
              <w14:schemeClr w14:val="tx1"/>
            </w14:solidFill>
          </w14:textFill>
        </w:rPr>
        <w:t>护理信息化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协助推进“三医联动一张网”建设，建立医疗、医保、医药共用信息平台，实现共享应用和统一监管。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推进乐城先行区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智慧园区建设，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打造全域可感、立体可视、虚实可控的智慧园区管理服务模式</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提升“互联网+医疗健康”服务。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全健康”大数据应用，促进医共体成员单位之间、医疗机构之间、医疗机构与市相关职能部门之间信息实现互通共享。加快推进“互联网+医共体”，推进建立网络就医平台和胎心、超声、眼底、远程心电等医共体网络会诊中心，实现市、镇、村三级网络会诊，保障转诊签约患者诊疗信息的连续性。持续</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推动琼海与空军军医大学第一附属医院西京医院、上海市儿童医院等省外三级医院远程多学科会诊。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借助5G手段加强市、镇、村产前监护网格化体系建设，提升高危孕产妇专案管理信息化水平。</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推广使用“海南省数字疾控平台一期”系统，提升疾控系统监测预警、分析研判和科普宣传信息化水平。助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推进在</w:t>
      </w:r>
      <w:r>
        <w:rPr>
          <w:rFonts w:hint="eastAsia" w:ascii="仿宋_GB2312" w:hAnsi="仿宋_GB2312" w:eastAsia="仿宋_GB2312" w:cs="仿宋_GB2312"/>
          <w:color w:val="000000" w:themeColor="text1"/>
          <w:sz w:val="32"/>
          <w:szCs w:val="32"/>
          <w:highlight w:val="none"/>
          <w14:textFill>
            <w14:solidFill>
              <w14:schemeClr w14:val="tx1"/>
            </w14:solidFill>
          </w14:textFill>
        </w:rPr>
        <w:t>乐城先行区建立海南电子处方中心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支持开展互联网处方药销售，实现处方相关信息统一归集及处方药购买、信息安全认证、医保结算等事项“一网通办”。实现“互联网+护理服务”全市域覆盖，将机构内护理延伸至社区和居家。依托省基层医疗机构信息系统及基于5G物联网的基层医疗卫生机构能力提升工程，提升基层医疗的同质化水平和智慧化程度。吸引和鼓励第三方互联网平台开展全过程的互联网健康管理和提供多样化的健康服务，形成琼海特色的互联网医院品牌。加强职业健康信息化建设，协助构建覆盖省市镇的职业健康管理“一张网”。</w:t>
      </w:r>
    </w:p>
    <w:p>
      <w:pPr>
        <w:keepNext w:val="0"/>
        <w:keepLines w:val="0"/>
        <w:pageBreakBefore w:val="0"/>
        <w:widowControl w:val="0"/>
        <w:kinsoku/>
        <w:wordWrap/>
        <w:overflowPunct/>
        <w:topLinePunct w:val="0"/>
        <w:autoSpaceDE/>
        <w:autoSpaceDN/>
        <w:bidi w:val="0"/>
        <w:adjustRightInd/>
        <w:snapToGrid w:val="0"/>
        <w:spacing w:after="157" w:afterLines="50"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规范“互联网+医疗健康”应用。</w:t>
      </w:r>
      <w:r>
        <w:rPr>
          <w:rFonts w:hint="eastAsia" w:ascii="仿宋_GB2312" w:hAnsi="仿宋_GB2312" w:eastAsia="仿宋_GB2312" w:cs="仿宋_GB2312"/>
          <w:i w:val="0"/>
          <w:caps w:val="0"/>
          <w:color w:val="000000" w:themeColor="text1"/>
          <w:spacing w:val="0"/>
          <w:sz w:val="32"/>
          <w:szCs w:val="32"/>
          <w:highlight w:val="none"/>
          <w:shd w:val="clear" w:fill="auto"/>
          <w:vertAlign w:val="baseline"/>
          <w14:textFill>
            <w14:solidFill>
              <w14:schemeClr w14:val="tx1"/>
            </w14:solidFill>
          </w14:textFill>
        </w:rPr>
        <w:t>落实国家有关“互联网+医疗健康”政策，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执行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互联网医疗设置标准，规范互联网诊疗和互联网医院准入。明确适宜的互联网复诊常见病、慢性病范围与线上复诊期限。制定常见病、慢性病互联网复诊服务规范，明晰互联网医疗服务流程和服务内容。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加强“互联网+监管”，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依托信息化监管平台对社会办医疗机构开展实时在线监管。建立健全个人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医疗</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隐私信息保护制度，强化医疗健康数据安全。</w:t>
      </w:r>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7 智慧健康琼海工程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卫生健康</w:t>
            </w:r>
            <w:r>
              <w:rPr>
                <w:rFonts w:hint="eastAsia" w:ascii="仿宋_GB2312" w:hAnsi="Times New Roman" w:eastAsia="仿宋_GB2312" w:cs="Times New Roman"/>
                <w:b/>
                <w:bCs/>
                <w:color w:val="000000" w:themeColor="text1"/>
                <w:sz w:val="24"/>
                <w:szCs w:val="20"/>
                <w:highlight w:val="none"/>
                <w:vertAlign w:val="baseline"/>
                <w:lang w:val="en-US" w:eastAsia="zh-CN"/>
                <w14:textFill>
                  <w14:solidFill>
                    <w14:schemeClr w14:val="tx1"/>
                  </w14:solidFill>
                </w14:textFill>
              </w:rPr>
              <w:t>智慧化建设</w:t>
            </w: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14:textFill>
                  <w14:solidFill>
                    <w14:schemeClr w14:val="tx1"/>
                  </w14:solidFill>
                </w14:textFill>
              </w:rPr>
              <w:t>依照国家和行业信息化标准，统筹推进电子病历、智慧服务、智慧管理“三位一体”的智慧医院建设和医院信息标准化建设，全面实现二级及以上医院信息化水平升级，市人民医院、市中医院等三级医疗机构实现电子病历分级评价5级及以上水平和医院信息平台互联互通4甲及以上水平，二级综合医疗机构实现电子病历分级评价4级及以上水平和医院信息平台互联互通3甲及以上水平。</w:t>
            </w:r>
          </w:p>
          <w:p>
            <w:pPr>
              <w:adjustRightInd/>
              <w:snapToGrid/>
              <w:spacing w:line="400" w:lineRule="exact"/>
              <w:ind w:firstLine="482" w:firstLineChars="200"/>
              <w:rPr>
                <w:rFonts w:hint="eastAsia" w:ascii="仿宋_GB2312"/>
                <w:color w:val="000000" w:themeColor="text1"/>
                <w:sz w:val="24"/>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数字医疗健康。</w:t>
            </w:r>
            <w:r>
              <w:rPr>
                <w:rFonts w:hint="eastAsia" w:ascii="仿宋_GB2312" w:hAnsi="Times New Roman" w:eastAsia="仿宋_GB2312" w:cs="Times New Roman"/>
                <w:b w:val="0"/>
                <w:bCs w:val="0"/>
                <w:color w:val="000000" w:themeColor="text1"/>
                <w:sz w:val="24"/>
                <w:szCs w:val="20"/>
                <w:highlight w:val="none"/>
                <w:vertAlign w:val="baseline"/>
                <w:lang w:val="en-US" w:eastAsia="zh-CN"/>
                <w14:textFill>
                  <w14:solidFill>
                    <w14:schemeClr w14:val="tx1"/>
                  </w14:solidFill>
                </w14:textFill>
              </w:rPr>
              <w:t>建立健全</w:t>
            </w:r>
            <w:r>
              <w:rPr>
                <w:rFonts w:hint="eastAsia" w:ascii="仿宋_GB2312" w:hAnsi="Times New Roman" w:eastAsia="仿宋_GB2312" w:cs="Times New Roman"/>
                <w:color w:val="000000" w:themeColor="text1"/>
                <w:sz w:val="24"/>
                <w:szCs w:val="20"/>
                <w:highlight w:val="none"/>
                <w14:textFill>
                  <w14:solidFill>
                    <w14:schemeClr w14:val="tx1"/>
                  </w14:solidFill>
                </w14:textFill>
              </w:rPr>
              <w:t>高效统一、管理规范、开放共享、公平普惠的数字健康服务体系</w:t>
            </w:r>
            <w:r>
              <w:rPr>
                <w:rFonts w:hint="eastAsia" w:ascii="仿宋_GB2312" w:hAnsi="Times New Roman" w:eastAsia="仿宋_GB2312" w:cs="Times New Roman"/>
                <w:b w:val="0"/>
                <w:bCs w:val="0"/>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实施“互联网+医疗健康”“互联网+医共体”“互联网+护理服务”“互联网+精准健康科普”“互联网+监管”，</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提升</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数字医疗</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与数字</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健康</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发展水平</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w:t>
            </w:r>
          </w:p>
        </w:tc>
      </w:tr>
    </w:tbl>
    <w:p>
      <w:pPr>
        <w:keepNext w:val="0"/>
        <w:keepLines w:val="0"/>
        <w:pageBreakBefore w:val="0"/>
        <w:numPr>
          <w:ilvl w:val="-1"/>
          <w:numId w:val="0"/>
        </w:numPr>
        <w:kinsoku/>
        <w:wordWrap/>
        <w:overflowPunct/>
        <w:topLinePunct w:val="0"/>
        <w:autoSpaceDE/>
        <w:autoSpaceDN/>
        <w:bidi w:val="0"/>
        <w:adjustRightInd/>
        <w:snapToGrid w:val="0"/>
        <w:spacing w:before="157" w:beforeLines="50" w:line="590" w:lineRule="exact"/>
        <w:ind w:firstLine="622" w:firstLineChars="200"/>
        <w:outlineLvl w:val="1"/>
        <w:rPr>
          <w:rFonts w:hint="eastAsia" w:ascii="楷体" w:hAnsi="楷体" w:eastAsia="楷体" w:cs="楷体"/>
          <w:b/>
          <w:bCs/>
          <w:color w:val="000000" w:themeColor="text1"/>
          <w:spacing w:val="0"/>
          <w:sz w:val="31"/>
          <w:szCs w:val="31"/>
          <w:highlight w:val="none"/>
          <w:vertAlign w:val="baseline"/>
          <w:lang w:val="en-US" w:eastAsia="zh-CN"/>
          <w14:textFill>
            <w14:solidFill>
              <w14:schemeClr w14:val="tx1"/>
            </w14:solidFill>
          </w14:textFill>
        </w:rPr>
      </w:pPr>
      <w:bookmarkStart w:id="39" w:name="_Toc17399"/>
      <w:r>
        <w:rPr>
          <w:rFonts w:hint="eastAsia" w:ascii="楷体" w:hAnsi="楷体" w:eastAsia="楷体" w:cs="楷体"/>
          <w:b/>
          <w:bCs/>
          <w:color w:val="000000" w:themeColor="text1"/>
          <w:spacing w:val="0"/>
          <w:sz w:val="31"/>
          <w:szCs w:val="31"/>
          <w:highlight w:val="none"/>
          <w:vertAlign w:val="baseline"/>
          <w:lang w:val="en-US" w:eastAsia="zh-CN"/>
          <w14:textFill>
            <w14:solidFill>
              <w14:schemeClr w14:val="tx1"/>
            </w14:solidFill>
          </w14:textFill>
        </w:rPr>
        <w:t>（八）高质量发展医疗健康产业</w:t>
      </w:r>
      <w:bookmarkEnd w:id="39"/>
    </w:p>
    <w:p>
      <w:pPr>
        <w:keepNext w:val="0"/>
        <w:keepLines w:val="0"/>
        <w:pageBreakBefore w:val="0"/>
        <w:numPr>
          <w:ilvl w:val="-1"/>
          <w:numId w:val="0"/>
        </w:numPr>
        <w:kinsoku/>
        <w:wordWrap/>
        <w:overflowPunct/>
        <w:topLinePunct w:val="0"/>
        <w:autoSpaceDE/>
        <w:autoSpaceDN/>
        <w:bidi w:val="0"/>
        <w:adjustRightInd/>
        <w:snapToGrid w:val="0"/>
        <w:spacing w:line="590" w:lineRule="exact"/>
        <w:ind w:firstLine="622" w:firstLineChars="200"/>
        <w:outlineLvl w:val="9"/>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Times New Roman" w:eastAsia="仿宋_GB2312" w:cs="仿宋_GB2312"/>
          <w:b/>
          <w:bCs/>
          <w:color w:val="000000" w:themeColor="text1"/>
          <w:spacing w:val="0"/>
          <w:sz w:val="31"/>
          <w:szCs w:val="31"/>
          <w:highlight w:val="none"/>
          <w:vertAlign w:val="baseline"/>
          <w:lang w:eastAsia="zh-CN"/>
          <w14:textFill>
            <w14:solidFill>
              <w14:schemeClr w14:val="tx1"/>
            </w14:solidFill>
          </w14:textFill>
        </w:rPr>
        <w:t>稳步发展医疗健康产业</w:t>
      </w:r>
      <w:r>
        <w:rPr>
          <w:rFonts w:hint="eastAsia" w:ascii="仿宋_GB2312" w:hAnsi="Times New Roman" w:eastAsia="仿宋_GB2312" w:cs="仿宋_GB2312"/>
          <w:color w:val="000000" w:themeColor="text1"/>
          <w:spacing w:val="0"/>
          <w:sz w:val="31"/>
          <w:szCs w:val="31"/>
          <w:highlight w:val="none"/>
          <w:vertAlign w:val="baseli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举全市之力支持乐城先行区打造“三地六中心”</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[19]</w:t>
      </w:r>
      <w:r>
        <w:rPr>
          <w:rFonts w:hint="eastAsia" w:ascii="仿宋_GB2312" w:hAnsi="仿宋_GB2312" w:eastAsia="仿宋_GB2312" w:cs="仿宋_GB2312"/>
          <w:b w:val="0"/>
          <w:bCs w:val="0"/>
          <w:color w:val="000000" w:themeColor="text1"/>
          <w:sz w:val="32"/>
          <w:szCs w:val="32"/>
          <w:highlight w:val="none"/>
          <w:vertAlign w:val="baseli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不断推动乐城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先行区医疗技术、设备和药品与国际先进水平“三同步”。瞄准世界一流，引进行业领先市场主体，做足做好“医+X”文章，大力发展医疗会展、医疗旅游、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健康</w:t>
      </w:r>
      <w:r>
        <w:rPr>
          <w:rFonts w:hint="eastAsia" w:ascii="仿宋_GB2312" w:hAnsi="仿宋_GB2312" w:eastAsia="仿宋_GB2312" w:cs="仿宋_GB2312"/>
          <w:color w:val="000000" w:themeColor="text1"/>
          <w:sz w:val="32"/>
          <w:szCs w:val="32"/>
          <w:highlight w:val="none"/>
          <w14:textFill>
            <w14:solidFill>
              <w14:schemeClr w14:val="tx1"/>
            </w14:solidFill>
          </w14:textFill>
        </w:rPr>
        <w:t>体检、</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中医康养、医药电商等医疗健康产业业态。积极推广特药险，实现琼海与主要客源国家和地区间医疗保险、健康商业保险等互认和支付系统对接，开展跨境医疗结算服务。围绕“医学治疗”“医学美容”“康复疗养”“养生保健”四大医疗旅游关键领域，发展“精准医疗、现代康复、微创美容、健康保健、中医康养”等特色的医疗旅游服务项目。引进国际知名医疗机构、医学美容机构、养生保健机构、保险机构、中介服务机构，创建国家级健康旅游示范基地。促进乐城先行区内的国际先进医疗资源与国内健康需求有效衔接，发挥博鳌超级医院、博鳌中法康复医疗中心等品牌影响力，大力开拓东南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及“一带一路”国家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医疗健康市场，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引导国内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境外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医疗</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消费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和医疗旅游</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回流乐城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先行区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。支持乐城先行区建设药品医疗器械监管科学研究基地，力争新增5-10个药械产品纳入真实世界应用试点品种。助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highlight w:val="none"/>
          <w14:textFill>
            <w14:solidFill>
              <w14:schemeClr w14:val="tx1"/>
            </w14:solidFill>
          </w14:textFill>
        </w:rPr>
        <w:t>在乐城先行区设立国际移植医疗康复诊疗中心，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支持乐城先行区在高端医美、移植康复、特医食品进口等方面塑造新优势，实现医疗健康消费倍增。</w:t>
      </w:r>
      <w:r>
        <w:rPr>
          <w:rFonts w:hint="eastAsia" w:ascii="仿宋_GB2312" w:hAnsi="仿宋_GB2312" w:eastAsia="仿宋_GB2312" w:cs="仿宋_GB2312"/>
          <w:color w:val="000000" w:themeColor="text1"/>
          <w:sz w:val="32"/>
          <w:szCs w:val="32"/>
          <w:highlight w:val="none"/>
          <w14:textFill>
            <w14:solidFill>
              <w14:schemeClr w14:val="tx1"/>
            </w14:solidFill>
          </w14:textFill>
        </w:rPr>
        <w:t>强化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乐城先行区</w:t>
      </w:r>
      <w:r>
        <w:rPr>
          <w:rFonts w:hint="eastAsia" w:ascii="仿宋_GB2312" w:hAnsi="仿宋_GB2312" w:eastAsia="仿宋_GB2312" w:cs="仿宋_GB2312"/>
          <w:color w:val="000000" w:themeColor="text1"/>
          <w:sz w:val="32"/>
          <w:szCs w:val="32"/>
          <w:highlight w:val="none"/>
          <w14:textFill>
            <w14:solidFill>
              <w14:schemeClr w14:val="tx1"/>
            </w14:solidFill>
          </w14:textFill>
        </w:rPr>
        <w:t>与全省生物医药产业的联动发展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。推动乐城先行区打造海南</w:t>
      </w:r>
      <w:r>
        <w:rPr>
          <w:rFonts w:hint="eastAsia" w:ascii="仿宋_GB2312" w:hAnsi="仿宋_GB2312" w:eastAsia="仿宋_GB2312" w:cs="仿宋_GB2312"/>
          <w:color w:val="000000" w:themeColor="text1"/>
          <w:sz w:val="32"/>
          <w:szCs w:val="32"/>
          <w:highlight w:val="none"/>
          <w14:textFill>
            <w14:solidFill>
              <w14:schemeClr w14:val="tx1"/>
            </w14:solidFill>
          </w14:textFill>
        </w:rPr>
        <w:t>离岸创新创业基地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，大力发展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智慧健康产业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。加快构建医教研协同发展格局，引入国内外优质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医学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教育</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和科研</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资源，</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建立国家级医学教育科研交流基地，</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培养优秀医学人才。</w:t>
      </w:r>
    </w:p>
    <w:p>
      <w:pPr>
        <w:numPr>
          <w:ilvl w:val="0"/>
          <w:numId w:val="0"/>
        </w:numPr>
        <w:snapToGrid w:val="0"/>
        <w:spacing w:line="590" w:lineRule="exact"/>
        <w:ind w:firstLine="643" w:firstLineChars="200"/>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强力做好乐城先行区保障服务。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积极服务保障好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先行区“三个转变”</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服务保障好博鳌乐城智慧园区、博鳌乐城智慧医疗平台、博鳌乐樱国际医院、海南树兰博鳌乐城超级医院、博鳌成美国际医学中心（二期）、博鳌研究型医院（一期）、博鳌金域国际医学检验中心等园区重点工程建设；确保四川大学华西医学中心入驻园区后的系列项目、上海交通大学海南国际医学中心、博鳌研究型医院的建设和运营；服务保障好博鳌研究型医院</w:t>
      </w:r>
      <w:r>
        <w:rPr>
          <w:rFonts w:hint="eastAsia" w:ascii="仿宋_GB2312" w:hAnsi="仿宋_GB2312" w:eastAsia="仿宋_GB2312" w:cs="仿宋_GB2312"/>
          <w:color w:val="000000" w:themeColor="text1"/>
          <w:sz w:val="32"/>
          <w:szCs w:val="32"/>
          <w:highlight w:val="none"/>
          <w14:textFill>
            <w14:solidFill>
              <w14:schemeClr w14:val="tx1"/>
            </w14:solidFill>
          </w14:textFill>
        </w:rPr>
        <w:t>加快建设国家区域医疗中心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为“大病不出国”作出贡献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。服务保障好海南自由贸易港国际互联网数据专用通道建成开通。</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紧跟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先行区建设发展需求，做好征地拆迁、项目用地保障、完善配套设施等服务工作。逐步补足乐城先行区右岸城市配套功能，推进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市政项目开发建设，完善康安路、万博街二期、雅寨北路、嘉乐大道等左岸一、二单元交通路网，缩短嘉积镇到乐城先行区距离。推进乐城大桥、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先行区南岸征地拆迁和安置区等项目建设。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落实好</w:t>
      </w:r>
      <w:r>
        <w:rPr>
          <w:rFonts w:hint="eastAsia" w:ascii="仿宋_GB2312" w:hAnsi="仿宋_GB2312" w:eastAsia="仿宋_GB2312" w:cs="仿宋_GB2312"/>
          <w:color w:val="000000" w:themeColor="text1"/>
          <w:sz w:val="32"/>
          <w:szCs w:val="32"/>
          <w:highlight w:val="none"/>
          <w14:textFill>
            <w14:solidFill>
              <w14:schemeClr w14:val="tx1"/>
            </w14:solidFill>
          </w14:textFill>
        </w:rPr>
        <w:t>住房保障、税收优惠、子女落户入学等方面优惠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政策，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推进乐城先行区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建成5-10万人规模的城镇，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打造“医疗健康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spacing w:after="157" w:afterLines="50" w:line="590" w:lineRule="exact"/>
        <w:ind w:firstLine="643" w:firstLineChars="200"/>
        <w:textAlignment w:val="auto"/>
        <w:outlineLvl w:val="9"/>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加强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乐城先行区外溢资源衔接</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充分</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发挥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先行区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辐射引领作用，加强乐城与琼海两地优势互补，实现发展成果共享。</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推进</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产城融合，在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先行区周边镇选址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配合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发展上下游产业，打造“</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健康产业融合发展示范区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推动上海交通大学医学院附属瑞金海南医院</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、四川大学华西乐城医院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与琼海市医疗机构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合作，建立共享平台，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依托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瑞金海南医院创建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“医学检验中心”“药学服务中心”“放射诊疗中心”“输血中心”“病理诊断中心”“电生理诊断中心”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让广大民众共享优质医疗资源，实现“大病不出市”。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充分发挥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color w:val="000000" w:themeColor="text1"/>
          <w:sz w:val="32"/>
          <w:szCs w:val="32"/>
          <w:highlight w:val="none"/>
          <w14:textFill>
            <w14:solidFill>
              <w14:schemeClr w14:val="tx1"/>
            </w14:solidFill>
          </w14:textFill>
        </w:rPr>
        <w:t>先行区品牌效应，结合琼海</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优质</w:t>
      </w:r>
      <w:r>
        <w:rPr>
          <w:rFonts w:hint="eastAsia" w:ascii="仿宋_GB2312" w:hAnsi="仿宋_GB2312" w:eastAsia="仿宋_GB2312" w:cs="仿宋_GB2312"/>
          <w:color w:val="000000" w:themeColor="text1"/>
          <w:sz w:val="32"/>
          <w:szCs w:val="32"/>
          <w:highlight w:val="none"/>
          <w14:textFill>
            <w14:solidFill>
              <w14:schemeClr w14:val="tx1"/>
            </w14:solidFill>
          </w14:textFill>
        </w:rPr>
        <w:t>生态环境和旅游资源，加快引进一批医疗旅游龙头机构，加强医养产品开发和旅游路线设计，拓展康养、气候疗法等医疗旅游新业态，打造医疗旅游产业集群。推动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乐城先行区</w:t>
      </w:r>
      <w:r>
        <w:rPr>
          <w:rFonts w:hint="eastAsia" w:ascii="仿宋_GB2312" w:hAnsi="仿宋_GB2312" w:eastAsia="仿宋_GB2312" w:cs="仿宋_GB2312"/>
          <w:color w:val="000000" w:themeColor="text1"/>
          <w:sz w:val="32"/>
          <w:szCs w:val="32"/>
          <w:highlight w:val="none"/>
          <w14:textFill>
            <w14:solidFill>
              <w14:schemeClr w14:val="tx1"/>
            </w14:solidFill>
          </w14:textFill>
        </w:rPr>
        <w:t>产业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向周边嘉积镇、中原镇等乡镇辐射，有效带动当地就业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14:textFill>
            <w14:solidFill>
              <w14:schemeClr w14:val="tx1"/>
            </w14:solidFill>
          </w14:textFill>
        </w:rPr>
        <w:t>经济发展。</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先行区周边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建设</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美丽乡村集群，拓展“1+X”一站式康养旅游产品，发展“医在乐城，养在乡村”的医养结合模式，丰富“乐城康养、琼海度假”新体验，让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先行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成为琼海引流的“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器”与“扩音器”。</w:t>
      </w:r>
      <w:r>
        <w:rPr>
          <w:rFonts w:hint="eastAsia" w:ascii="仿宋_GB2312" w:hAnsi="仿宋_GB2312" w:eastAsia="仿宋_GB2312" w:cs="仿宋_GB2312"/>
          <w:color w:val="000000" w:themeColor="text1"/>
          <w:sz w:val="32"/>
          <w:szCs w:val="32"/>
          <w:highlight w:val="none"/>
          <w14:textFill>
            <w14:solidFill>
              <w14:schemeClr w14:val="tx1"/>
            </w14:solidFill>
          </w14:textFill>
        </w:rPr>
        <w:t>依托</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乐城先行</w:t>
      </w:r>
      <w:r>
        <w:rPr>
          <w:rFonts w:hint="eastAsia" w:ascii="仿宋_GB2312" w:hAnsi="仿宋_GB2312" w:eastAsia="仿宋_GB2312" w:cs="仿宋_GB2312"/>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14:textFill>
            <w14:solidFill>
              <w14:schemeClr w14:val="tx1"/>
            </w14:solidFill>
          </w14:textFill>
        </w:rPr>
        <w:t>博鳌亚洲论坛</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两块“</w:t>
      </w:r>
      <w:r>
        <w:rPr>
          <w:rFonts w:hint="eastAsia" w:ascii="仿宋_GB2312" w:hAnsi="仿宋_GB2312" w:eastAsia="仿宋_GB2312" w:cs="仿宋_GB2312"/>
          <w:color w:val="000000" w:themeColor="text1"/>
          <w:sz w:val="32"/>
          <w:szCs w:val="32"/>
          <w:highlight w:val="none"/>
          <w14:textFill>
            <w14:solidFill>
              <w14:schemeClr w14:val="tx1"/>
            </w14:solidFill>
          </w14:textFill>
        </w:rPr>
        <w:t>金字招牌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借助其</w:t>
      </w:r>
      <w:r>
        <w:rPr>
          <w:rFonts w:hint="eastAsia" w:ascii="仿宋_GB2312" w:hAnsi="仿宋_GB2312" w:eastAsia="仿宋_GB2312" w:cs="仿宋_GB2312"/>
          <w:color w:val="000000" w:themeColor="text1"/>
          <w:sz w:val="32"/>
          <w:szCs w:val="32"/>
          <w:highlight w:val="none"/>
          <w14:textFill>
            <w14:solidFill>
              <w14:schemeClr w14:val="tx1"/>
            </w14:solidFill>
          </w14:textFill>
        </w:rPr>
        <w:t>优质“朋友圈”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引进更多国际组织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会议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会展产业项目落地，助推琼海打造国际经济文化合作交流中心。</w:t>
      </w:r>
      <w:bookmarkStart w:id="40" w:name="_Toc4070"/>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8 医疗健康产业发展工程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lang w:val="en-US" w:eastAsia="zh-CN"/>
                <w14:textFill>
                  <w14:solidFill>
                    <w14:schemeClr w14:val="tx1"/>
                  </w14:solidFill>
                </w14:textFill>
              </w:rPr>
              <w:t>发展</w:t>
            </w:r>
            <w:r>
              <w:rPr>
                <w:rFonts w:hint="eastAsia" w:ascii="仿宋_GB2312" w:hAnsi="Times New Roman" w:eastAsia="仿宋_GB2312" w:cs="Times New Roman"/>
                <w:b/>
                <w:bCs/>
                <w:color w:val="000000" w:themeColor="text1"/>
                <w:sz w:val="24"/>
                <w:szCs w:val="20"/>
                <w:highlight w:val="none"/>
                <w:lang w:eastAsia="zh-CN"/>
                <w14:textFill>
                  <w14:solidFill>
                    <w14:schemeClr w14:val="tx1"/>
                  </w14:solidFill>
                </w14:textFill>
              </w:rPr>
              <w:t>医疗健康产业。</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支持乐城先行区打造“三地六中心”。</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到2025年，力争实现营业收入达500亿元，税收收入达40亿元，吸引境外就医回流50万人次、不出国诊疗150万人次。重点引进国家卫生健康委、中医药局下属3-5家公立医院特许经营，建设博鳌乐城真实世界研究重点实验室，实现医疗健康产业增加值增速在12%以上。将琼海打造成全球领先的康养中心、康养人才聚集区和世界一流的康养服务区、气候医疗服务区，带动全市乃至全省康养产业高水平发展。</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lang w:val="en-US" w:eastAsia="zh-CN"/>
                <w14:textFill>
                  <w14:solidFill>
                    <w14:schemeClr w14:val="tx1"/>
                  </w14:solidFill>
                </w14:textFill>
              </w:rPr>
              <w:t>加强</w:t>
            </w:r>
            <w:r>
              <w:rPr>
                <w:rFonts w:hint="eastAsia" w:ascii="仿宋_GB2312" w:hAnsi="Times New Roman" w:eastAsia="仿宋_GB2312" w:cs="Times New Roman"/>
                <w:b/>
                <w:bCs/>
                <w:color w:val="000000" w:themeColor="text1"/>
                <w:sz w:val="24"/>
                <w:szCs w:val="20"/>
                <w:highlight w:val="none"/>
                <w14:textFill>
                  <w14:solidFill>
                    <w14:schemeClr w14:val="tx1"/>
                  </w14:solidFill>
                </w14:textFill>
              </w:rPr>
              <w:t>乐城先行区保障服务</w:t>
            </w:r>
            <w:r>
              <w:rPr>
                <w:rFonts w:hint="eastAsia" w:ascii="仿宋_GB2312" w:hAnsi="Times New Roman" w:eastAsia="仿宋_GB2312" w:cs="Times New Roman"/>
                <w:b/>
                <w:bCs/>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14:textFill>
                  <w14:solidFill>
                    <w14:schemeClr w14:val="tx1"/>
                  </w14:solidFill>
                </w14:textFill>
              </w:rPr>
              <w:t>积极配合乐城先行区管理局做好生产生活配套设施规划、建设、运营和管理，促进产城研融合发展。到2023年，乐城先行区右岸07-09单元“五网”基础设施、水系、公园、防洪堤等全部完成，左岸“五网”基础设施满足开发需求，连接两岸的乐城大桥建成通车，增加公交车班次，基本实现琼海市区、中原镇区和乐城先行区公交同城化；招商国际花园等高水平配套的生活小区完成交付，至少新增1-2家兼具商业中心的特色星级酒店、高水平国际学校，实现小学、幼儿园建成招生，推动在乐城先行区左岸、右岸分别建设市属重点公立小学。</w:t>
            </w:r>
          </w:p>
          <w:p>
            <w:pPr>
              <w:spacing w:line="400" w:lineRule="exact"/>
              <w:ind w:firstLine="482" w:firstLineChars="200"/>
              <w:rPr>
                <w:rFonts w:hint="eastAsia"/>
                <w:color w:val="000000" w:themeColor="text1"/>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lang w:val="en-US" w:eastAsia="zh-CN"/>
                <w14:textFill>
                  <w14:solidFill>
                    <w14:schemeClr w14:val="tx1"/>
                  </w14:solidFill>
                </w14:textFill>
              </w:rPr>
              <w:t>加强</w:t>
            </w:r>
            <w:r>
              <w:rPr>
                <w:rFonts w:hint="eastAsia" w:ascii="仿宋_GB2312" w:hAnsi="Times New Roman" w:eastAsia="仿宋_GB2312" w:cs="Times New Roman"/>
                <w:b/>
                <w:bCs/>
                <w:color w:val="000000" w:themeColor="text1"/>
                <w:sz w:val="24"/>
                <w:szCs w:val="20"/>
                <w:highlight w:val="none"/>
                <w14:textFill>
                  <w14:solidFill>
                    <w14:schemeClr w14:val="tx1"/>
                  </w14:solidFill>
                </w14:textFill>
              </w:rPr>
              <w:t>外溢资源衔接</w:t>
            </w:r>
            <w:r>
              <w:rPr>
                <w:rFonts w:hint="eastAsia" w:ascii="仿宋_GB2312" w:hAnsi="Times New Roman" w:eastAsia="仿宋_GB2312" w:cs="Times New Roman"/>
                <w:b/>
                <w:bCs/>
                <w:color w:val="000000" w:themeColor="text1"/>
                <w:sz w:val="24"/>
                <w:szCs w:val="20"/>
                <w:highlight w:val="none"/>
                <w:lang w:val="en-US"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建设产城融合示范区</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，打造“</w:t>
            </w:r>
            <w:r>
              <w:rPr>
                <w:rFonts w:hint="eastAsia" w:ascii="仿宋_GB2312" w:hAnsi="Times New Roman" w:eastAsia="仿宋_GB2312" w:cs="Times New Roman"/>
                <w:b w:val="0"/>
                <w:bCs w:val="0"/>
                <w:color w:val="000000" w:themeColor="text1"/>
                <w:sz w:val="24"/>
                <w:szCs w:val="20"/>
                <w:highlight w:val="none"/>
                <w14:textFill>
                  <w14:solidFill>
                    <w14:schemeClr w14:val="tx1"/>
                  </w14:solidFill>
                </w14:textFill>
              </w:rPr>
              <w:t>健康产业融合发展示范区</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14:textFill>
                  <w14:solidFill>
                    <w14:schemeClr w14:val="tx1"/>
                  </w14:solidFill>
                </w14:textFill>
              </w:rPr>
              <w:t>支持乐城先行区医疗机构与琼海市医疗机构深度合作</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。发展“医在乐城，养在乡村”的医养结合模式。</w:t>
            </w:r>
            <w:r>
              <w:rPr>
                <w:rFonts w:hint="eastAsia" w:ascii="仿宋_GB2312" w:hAnsi="Times New Roman" w:eastAsia="仿宋_GB2312" w:cs="Times New Roman"/>
                <w:b w:val="0"/>
                <w:bCs w:val="0"/>
                <w:color w:val="000000" w:themeColor="text1"/>
                <w:sz w:val="24"/>
                <w:szCs w:val="20"/>
                <w:highlight w:val="none"/>
                <w:lang w:eastAsia="zh-CN"/>
                <w14:textFill>
                  <w14:solidFill>
                    <w14:schemeClr w14:val="tx1"/>
                  </w14:solidFill>
                </w14:textFill>
              </w:rPr>
              <w:t>拓展“1+X”一站式康养旅游产品。</w:t>
            </w:r>
            <w:r>
              <w:rPr>
                <w:rFonts w:hint="eastAsia" w:ascii="仿宋_GB2312" w:hAnsi="Times New Roman" w:eastAsia="仿宋_GB2312" w:cs="Times New Roman"/>
                <w:color w:val="000000" w:themeColor="text1"/>
                <w:sz w:val="24"/>
                <w:szCs w:val="20"/>
                <w:highlight w:val="none"/>
                <w14:textFill>
                  <w14:solidFill>
                    <w14:schemeClr w14:val="tx1"/>
                  </w14:solidFill>
                </w14:textFill>
              </w:rPr>
              <w:t>打造国际经济文化合作交流中心。</w:t>
            </w:r>
          </w:p>
        </w:tc>
      </w:tr>
    </w:tbl>
    <w:p>
      <w:pPr>
        <w:keepNext w:val="0"/>
        <w:keepLines w:val="0"/>
        <w:pageBreakBefore w:val="0"/>
        <w:widowControl w:val="0"/>
        <w:kinsoku/>
        <w:wordWrap/>
        <w:overflowPunct/>
        <w:topLinePunct w:val="0"/>
        <w:autoSpaceDE/>
        <w:autoSpaceDN/>
        <w:bidi w:val="0"/>
        <w:adjustRightInd/>
        <w:snapToGrid w:val="0"/>
        <w:spacing w:before="157" w:beforeLines="50"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41" w:name="_Toc8474"/>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（九）构建现代化卫生健康治理体系</w:t>
      </w:r>
      <w:bookmarkEnd w:id="41"/>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深化紧密型医共体建设。</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积极撷取三明医改成功经验，充分发挥医共体工作专班作用，深入推进全国医共</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体试点市建设，将市人民医院、市中医院、市妇幼保健院和全市18家卫生院（社区卫生服务中心）以及所有的村卫生室、农垦移交医院，打造成群众共享健康红利的“紧密型医共体”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推动城乡基本医疗卫生服务均等化</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。推动市</w:t>
      </w:r>
      <w:r>
        <w:rPr>
          <w:rFonts w:hint="eastAsia" w:ascii="仿宋_GB2312" w:hAnsi="仿宋_GB2312" w:eastAsia="仿宋_GB2312" w:cs="仿宋_GB2312"/>
          <w:color w:val="000000" w:themeColor="text1"/>
          <w:sz w:val="32"/>
          <w:szCs w:val="32"/>
          <w:highlight w:val="none"/>
          <w14:textFill>
            <w14:solidFill>
              <w14:schemeClr w14:val="tx1"/>
            </w14:solidFill>
          </w14:textFill>
        </w:rPr>
        <w:t>疾病预防控制中心</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和专业卫生机构服务医共体建设，鼓励民营医疗机构自愿加入医共体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不断扩大医共体覆盖面。完善医共体组织管理体制、运行机制及分级诊疗制度，推进建立办医、管医和行医三个权责清单，稳步实行牵头医院党委领导下的院长负责制，增强医共体自主权，深入实行“五不变”</w:t>
      </w:r>
      <w:r>
        <w:rPr>
          <w:rFonts w:hint="eastAsia" w:ascii="仿宋_GB2312" w:hAnsi="仿宋_GB2312" w:eastAsia="仿宋_GB2312" w:cs="仿宋_GB2312"/>
          <w:color w:val="000000" w:themeColor="text1"/>
          <w:kern w:val="2"/>
          <w:sz w:val="32"/>
          <w:szCs w:val="32"/>
          <w:highlight w:val="none"/>
          <w:vertAlign w:val="superscript"/>
          <w:lang w:val="en-US" w:eastAsia="zh-CN" w:bidi="ar-SA"/>
          <w14:textFill>
            <w14:solidFill>
              <w14:schemeClr w14:val="tx1"/>
            </w14:solidFill>
          </w14:textFill>
        </w:rPr>
        <w:t>[21]</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六统一”管理。强化医共体绩效考核，建立健全统一的绩效考核和分配办法。加强医共体成员单位医疗服务能力建设，建立人员、技术、服务合理流动机制，促进优质医疗资源下沉镇村。做好家庭签约医生服务。推进</w:t>
      </w:r>
      <w:r>
        <w:rPr>
          <w:rFonts w:hint="eastAsia" w:ascii="仿宋_GB2312" w:hAnsi="仿宋_GB2312" w:eastAsia="仿宋_GB2312" w:cs="仿宋_GB2312"/>
          <w:bCs/>
          <w:sz w:val="32"/>
          <w:szCs w:val="32"/>
        </w:rPr>
        <w:t>建立医共体延伸处方</w:t>
      </w:r>
      <w:r>
        <w:rPr>
          <w:rFonts w:hint="eastAsia" w:ascii="仿宋_GB2312" w:hAnsi="仿宋_GB2312" w:eastAsia="仿宋_GB2312" w:cs="仿宋_GB2312"/>
          <w:bCs/>
          <w:sz w:val="32"/>
          <w:szCs w:val="32"/>
          <w:lang w:val="en-US" w:eastAsia="zh-CN"/>
        </w:rPr>
        <w:t>或共享药房</w:t>
      </w:r>
      <w:r>
        <w:rPr>
          <w:rFonts w:hint="eastAsia" w:ascii="仿宋_GB2312" w:hAnsi="仿宋_GB2312" w:eastAsia="仿宋_GB2312" w:cs="仿宋_GB2312"/>
          <w:bCs/>
          <w:sz w:val="32"/>
          <w:szCs w:val="32"/>
        </w:rPr>
        <w:t>机制，允许医共体内成员单位可以按照医共体总院等级使用药品。</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加强紧密型医共体建设监测工作。</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深化“医疗、医保、医药”协同联动。</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以医药为切入点，以医保为基础，以医疗为落脚点，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深入推进“三医联动”改革。探索推进医疗保障和医药服务高质量协同发展，常态化制度化开展药品耗材集中带量采购。鼓励医共体加强内部绩效评价与医保支付改革的有效衔接，通过精细成本管控腾出调价空间，促进完善价格形成机制。推进在医共体内推行区域总额预算管理下以DIP付费为主的多元复合式支付方式改革，加强监督考核，结余留用、合理超支分担。对基层医疗机构门诊实行按人头支付，用好城乡医保门诊限额报销政策。</w:t>
      </w:r>
    </w:p>
    <w:p>
      <w:pPr>
        <w:keepNext w:val="0"/>
        <w:keepLines w:val="0"/>
        <w:pageBreakBefore w:val="0"/>
        <w:widowControl/>
        <w:kinsoku/>
        <w:wordWrap/>
        <w:overflowPunct/>
        <w:topLinePunct w:val="0"/>
        <w:autoSpaceDE/>
        <w:autoSpaceDN/>
        <w:bidi w:val="0"/>
        <w:adjustRightInd/>
        <w:snapToGrid w:val="0"/>
        <w:spacing w:beforeLines="0" w:line="590" w:lineRule="exact"/>
        <w:ind w:firstLine="643" w:firstLineChars="200"/>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深化</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公立医院改革。</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贯彻</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落实国家《公立医院高质量发展促进行动（2021-2025年）》。围绕公立医院去行政化改革，推进公立医院政事分开、管办分开，补齐公立医院运行机制、管理体制、制度建设等方面短板，激活医院发展潜力，确保公立医院公益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大力推进</w:t>
      </w:r>
      <w:r>
        <w:rPr>
          <w:rFonts w:hint="eastAsia" w:ascii="仿宋_GB2312" w:hAnsi="仿宋_GB2312" w:eastAsia="仿宋_GB2312" w:cs="仿宋_GB2312"/>
          <w:color w:val="000000" w:themeColor="text1"/>
          <w:sz w:val="32"/>
          <w:szCs w:val="32"/>
          <w:highlight w:val="none"/>
          <w14:textFill>
            <w14:solidFill>
              <w14:schemeClr w14:val="tx1"/>
            </w14:solidFill>
          </w14:textFill>
        </w:rPr>
        <w:t>市人民医院、市中医院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等公立医院建立健全</w:t>
      </w:r>
      <w:r>
        <w:rPr>
          <w:rFonts w:hint="eastAsia" w:ascii="仿宋_GB2312" w:hAnsi="仿宋_GB2312" w:eastAsia="仿宋_GB2312" w:cs="仿宋_GB2312"/>
          <w:color w:val="000000" w:themeColor="text1"/>
          <w:sz w:val="32"/>
          <w:szCs w:val="32"/>
          <w:highlight w:val="none"/>
          <w14:textFill>
            <w14:solidFill>
              <w14:schemeClr w14:val="tx1"/>
            </w14:solidFill>
          </w14:textFill>
        </w:rPr>
        <w:t>现代医院管理制度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，持续</w:t>
      </w:r>
      <w:r>
        <w:rPr>
          <w:rFonts w:hint="eastAsia" w:ascii="仿宋_GB2312" w:hAnsi="仿宋_GB2312" w:eastAsia="仿宋_GB2312" w:cs="仿宋_GB2312"/>
          <w:color w:val="000000" w:themeColor="text1"/>
          <w:sz w:val="32"/>
          <w:szCs w:val="32"/>
          <w:highlight w:val="none"/>
          <w14:textFill>
            <w14:solidFill>
              <w14:schemeClr w14:val="tx1"/>
            </w14:solidFill>
          </w14:textFill>
        </w:rPr>
        <w:t>提升院长（书记）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深入推进公立医院绩效考核</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改革，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公立医院特许经营、医药分开改革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方面</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突破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推进</w:t>
      </w:r>
      <w:r>
        <w:rPr>
          <w:rFonts w:hint="eastAsia" w:ascii="仿宋_GB2312" w:hAnsi="仿宋_GB2312" w:eastAsia="仿宋_GB2312" w:cs="仿宋_GB2312"/>
          <w:color w:val="000000" w:themeColor="text1"/>
          <w:sz w:val="32"/>
          <w:szCs w:val="32"/>
          <w:highlight w:val="none"/>
          <w14:textFill>
            <w14:solidFill>
              <w14:schemeClr w14:val="tx1"/>
            </w14:solidFill>
          </w14:textFill>
        </w:rPr>
        <w:t>公立医院后勤“一站式”服务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Autospacing="0" w:line="590" w:lineRule="exact"/>
        <w:ind w:firstLine="643" w:firstLineChars="200"/>
        <w:textAlignment w:val="baseline"/>
        <w:outlineLvl w:val="9"/>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持续</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优化营商环境。</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推进落实卫生健康领域法治化、制度化、规范化建设。全面落实卫生健康领域权力清单、责任清单和负面清单制度，推进“一网通办”政务服务，实现政务服务事项“应上尽上”。深化“放管服”改革，减少审批环节，持续深化“证照分离”改革，重点简化对康复、老年病、儿童、护理等紧缺型医疗机构的准入、医保定点等审批手续。落实公平竞争审查制度，杜绝行业保护和行政垄断行为。</w:t>
      </w:r>
    </w:p>
    <w:p>
      <w:pPr>
        <w:keepNext w:val="0"/>
        <w:keepLines w:val="0"/>
        <w:pageBreakBefore w:val="0"/>
        <w:widowControl w:val="0"/>
        <w:kinsoku/>
        <w:wordWrap/>
        <w:overflowPunct/>
        <w:topLinePunct w:val="0"/>
        <w:autoSpaceDE/>
        <w:autoSpaceDN/>
        <w:bidi w:val="0"/>
        <w:adjustRightInd/>
        <w:snapToGrid w:val="0"/>
        <w:spacing w:before="0" w:beforeLines="0" w:line="590" w:lineRule="exact"/>
        <w:ind w:firstLine="643"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推进综合监管制度现代化。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持续完善卫健牵头、</w:t>
      </w:r>
      <w:r>
        <w:rPr>
          <w:rFonts w:hint="eastAsia" w:ascii="仿宋_GB2312" w:hAnsi="仿宋_GB2312" w:eastAsia="仿宋_GB2312" w:cs="仿宋_GB2312"/>
          <w:b w:val="0"/>
          <w:bCs w:val="0"/>
          <w:i w:val="0"/>
          <w:caps w:val="0"/>
          <w:color w:val="000000" w:themeColor="text1"/>
          <w:spacing w:val="0"/>
          <w:sz w:val="32"/>
          <w:szCs w:val="32"/>
          <w:highlight w:val="none"/>
          <w:shd w:val="clear" w:fill="auto"/>
          <w14:textFill>
            <w14:solidFill>
              <w14:schemeClr w14:val="tx1"/>
            </w14:solidFill>
          </w14:textFill>
        </w:rPr>
        <w:t>发展改革、教育、公安、民政、司法、财政、人力资源社会保障、生态环境、住建、</w:t>
      </w:r>
      <w:r>
        <w:rPr>
          <w:rFonts w:hint="eastAsia" w:ascii="仿宋_GB2312" w:hAnsi="仿宋_GB2312" w:eastAsia="仿宋_GB2312" w:cs="仿宋_GB2312"/>
          <w:b w:val="0"/>
          <w:bCs w:val="0"/>
          <w:i w:val="0"/>
          <w:caps w:val="0"/>
          <w:color w:val="000000" w:themeColor="text1"/>
          <w:spacing w:val="0"/>
          <w:sz w:val="32"/>
          <w:szCs w:val="32"/>
          <w:highlight w:val="none"/>
          <w:shd w:val="clear" w:fill="auto"/>
          <w:lang w:eastAsia="zh-CN"/>
          <w14:textFill>
            <w14:solidFill>
              <w14:schemeClr w14:val="tx1"/>
            </w14:solidFill>
          </w14:textFill>
        </w:rPr>
        <w:t>水务</w:t>
      </w:r>
      <w:r>
        <w:rPr>
          <w:rFonts w:hint="eastAsia" w:ascii="仿宋_GB2312" w:hAnsi="仿宋_GB2312" w:eastAsia="仿宋_GB2312" w:cs="仿宋_GB2312"/>
          <w:b w:val="0"/>
          <w:bCs w:val="0"/>
          <w:i w:val="0"/>
          <w:caps w:val="0"/>
          <w:color w:val="000000" w:themeColor="text1"/>
          <w:spacing w:val="0"/>
          <w:sz w:val="32"/>
          <w:szCs w:val="32"/>
          <w:highlight w:val="none"/>
          <w:shd w:val="clear" w:fill="auto"/>
          <w14:textFill>
            <w14:solidFill>
              <w14:schemeClr w14:val="tx1"/>
            </w14:solidFill>
          </w14:textFill>
        </w:rPr>
        <w:t>、商务、人民银行、审计、国资、</w:t>
      </w:r>
      <w:r>
        <w:rPr>
          <w:rFonts w:hint="eastAsia" w:ascii="仿宋_GB2312" w:hAnsi="仿宋_GB2312" w:eastAsia="仿宋_GB2312" w:cs="仿宋_GB2312"/>
          <w:b w:val="0"/>
          <w:bCs w:val="0"/>
          <w:i w:val="0"/>
          <w:caps w:val="0"/>
          <w:color w:val="000000" w:themeColor="text1"/>
          <w:spacing w:val="0"/>
          <w:sz w:val="32"/>
          <w:szCs w:val="32"/>
          <w:highlight w:val="none"/>
          <w:shd w:val="clear"/>
          <w:lang w:eastAsia="zh-CN"/>
          <w14:textFill>
            <w14:solidFill>
              <w14:schemeClr w14:val="tx1"/>
            </w14:solidFill>
          </w14:textFill>
        </w:rPr>
        <w:t>机场</w:t>
      </w:r>
      <w:r>
        <w:rPr>
          <w:rFonts w:hint="eastAsia" w:ascii="仿宋_GB2312" w:hAnsi="仿宋_GB2312" w:eastAsia="仿宋_GB2312" w:cs="仿宋_GB2312"/>
          <w:b w:val="0"/>
          <w:bCs w:val="0"/>
          <w:i w:val="0"/>
          <w:caps w:val="0"/>
          <w:color w:val="000000" w:themeColor="text1"/>
          <w:spacing w:val="0"/>
          <w:sz w:val="32"/>
          <w:szCs w:val="32"/>
          <w:highlight w:val="none"/>
          <w:shd w:val="clear" w:fill="auto"/>
          <w14:textFill>
            <w14:solidFill>
              <w14:schemeClr w14:val="tx1"/>
            </w14:solidFill>
          </w14:textFill>
        </w:rPr>
        <w:t>海关、税务、市场监管、医疗保障、银行保险监管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等多部门联合综合监管机制，努力构建机构自治、行业自律、政府监管、社会监督相结合的多元化综合监管治理格局。实施医疗卫生综合监管能力提升工程，建设行业监管队伍和综合执法队伍紧密协作、信息共享、一键联动机制，积极引入智慧监管，搭建全员、全时、全程监管平台，完善综合信用评价和联合惩戒体系。同时，针对健康产业出现的新技术、新设备、新业态和新模式，健全全链条、全流程包容、审慎、有效的监管机制。</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加强</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市场秩序</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全面净化医疗市场环境，坚决整肃医疗卫生领域不正之风。严厉打击欺诈骗取医保基金行为，深入清理群众身边的医疗行业乱象。规范医院电子处方管理。对健康服务业新业态、新模式、新技术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进行</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鼓励引导，采取包容审慎</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又有效</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的监管方式。定期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对监管队伍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开展卫生健康法律法规和医疗行业管理政策培训，提高医疗监管能力。加强医疗美容行业监管。</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实施食品安全检验检测能力达标工程，完善重大活动食品安全保障监督机制，提升食源性疾病调查溯源能力，为琼海打造“国际旅游会展目的地”提供食品安全保障。</w:t>
      </w:r>
    </w:p>
    <w:p>
      <w:pPr>
        <w:keepNext w:val="0"/>
        <w:keepLines w:val="0"/>
        <w:pageBreakBefore w:val="0"/>
        <w:widowControl w:val="0"/>
        <w:kinsoku/>
        <w:wordWrap/>
        <w:overflowPunct/>
        <w:topLinePunct w:val="0"/>
        <w:autoSpaceDE/>
        <w:autoSpaceDN/>
        <w:bidi w:val="0"/>
        <w:adjustRightInd/>
        <w:snapToGrid w:val="0"/>
        <w:spacing w:after="157" w:afterLines="50"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打造安全发展环境。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加强“平安医院”建设。加强安全生产、消防安全和保密安全工作。加强医院物防设施、技防系统建设，推进医院智慧安防，打造一批智慧安防样板医院。加强安保队伍建设，遵循“就高不就低”原则，按照不低于在岗医务人员总数的3％或者20张病床1名保安或日均门诊量3‰的标准配备医院安保员，有条件的医院可以在此基础上增加安保员数量。</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引导理性就医行为，</w:t>
      </w:r>
      <w:r>
        <w:rPr>
          <w:rFonts w:hint="eastAsia" w:ascii="仿宋_GB2312" w:hAnsi="仿宋_GB2312" w:eastAsia="仿宋_GB2312" w:cs="仿宋_GB2312"/>
          <w:color w:val="000000" w:themeColor="text1"/>
          <w:sz w:val="32"/>
          <w:szCs w:val="32"/>
          <w:highlight w:val="none"/>
          <w14:textFill>
            <w14:solidFill>
              <w14:schemeClr w14:val="tx1"/>
            </w14:solidFill>
          </w14:textFill>
        </w:rPr>
        <w:t>构建和谐医患关系。</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积极解决卫生健康领域历史遗留问题。</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提高医务人员安全防范意识和应对突发事件能力，多元化解医疗纠纷。依法严厉打击医闹、暴力伤医等涉医违法犯罪行为，坚决保护医务人员安全。</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加强患者隐私保护。</w:t>
      </w:r>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default" w:ascii="仿宋_GB2312"/>
                <w:b/>
                <w:color w:val="000000" w:themeColor="text1"/>
                <w:sz w:val="24"/>
                <w:highlight w:val="none"/>
                <w:lang w:val="en-US"/>
                <w14:textFill>
                  <w14:solidFill>
                    <w14:schemeClr w14:val="tx1"/>
                  </w14:solidFill>
                </w14:textFill>
              </w:rPr>
            </w:pPr>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9 现代化卫生健康治理工程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b w:val="0"/>
                <w:bCs w:val="0"/>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紧密型医共体建设。</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开展全国医共体试点市建设；扩大紧密型医共体覆盖面；</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推进</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优质医疗资源下沉镇村；</w:t>
            </w:r>
            <w:r>
              <w:rPr>
                <w:rFonts w:hint="eastAsia" w:ascii="仿宋_GB2312" w:hAnsi="Times New Roman" w:eastAsia="仿宋_GB2312" w:cs="Times New Roman"/>
                <w:color w:val="000000" w:themeColor="text1"/>
                <w:sz w:val="24"/>
                <w:szCs w:val="20"/>
                <w:highlight w:val="none"/>
                <w14:textFill>
                  <w14:solidFill>
                    <w14:schemeClr w14:val="tx1"/>
                  </w14:solidFill>
                </w14:textFill>
              </w:rPr>
              <w:t>优化分级诊疗</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；深化</w:t>
            </w:r>
            <w:r>
              <w:rPr>
                <w:rFonts w:hint="eastAsia" w:ascii="仿宋_GB2312" w:hAnsi="Times New Roman" w:eastAsia="仿宋_GB2312" w:cs="Times New Roman"/>
                <w:color w:val="000000" w:themeColor="text1"/>
                <w:sz w:val="24"/>
                <w:szCs w:val="20"/>
                <w:highlight w:val="none"/>
                <w14:textFill>
                  <w14:solidFill>
                    <w14:schemeClr w14:val="tx1"/>
                  </w14:solidFill>
                </w14:textFill>
              </w:rPr>
              <w:t>“三医联动”。</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优化营商环境。</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深化卫生健康领域“证照分离”改革，推进“一网通办”政务服务；扩大全流程“不见面”</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在线</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审批事项；搭建乐城先行区极简审批2.0一体化平台；推进卫生健康信用体系建设；构建“亲”“清”政商关系。</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加强卫生健康监管。</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全面净化医疗市场环境；实施食品安全检验检测能力达标工程。</w:t>
            </w:r>
          </w:p>
          <w:p>
            <w:pPr>
              <w:adjustRightInd/>
              <w:snapToGrid/>
              <w:spacing w:line="400" w:lineRule="exact"/>
              <w:ind w:firstLine="482" w:firstLineChars="200"/>
              <w:rPr>
                <w:rFonts w:hint="eastAsia" w:ascii="仿宋_GB2312"/>
                <w:color w:val="000000" w:themeColor="text1"/>
                <w:sz w:val="24"/>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打造安全发展环境。</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创建“平安医院”，打造智慧安防样板医院。</w:t>
            </w:r>
          </w:p>
        </w:tc>
      </w:tr>
    </w:tbl>
    <w:p>
      <w:pPr>
        <w:keepNext w:val="0"/>
        <w:keepLines w:val="0"/>
        <w:pageBreakBefore w:val="0"/>
        <w:widowControl w:val="0"/>
        <w:kinsoku/>
        <w:wordWrap/>
        <w:overflowPunct/>
        <w:topLinePunct w:val="0"/>
        <w:autoSpaceDE/>
        <w:autoSpaceDN/>
        <w:bidi w:val="0"/>
        <w:adjustRightInd/>
        <w:snapToGrid w:val="0"/>
        <w:spacing w:before="157" w:beforeLines="50"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42" w:name="_Toc21726"/>
      <w:r>
        <w:rPr>
          <w:rFonts w:hint="eastAsia" w:ascii="楷体" w:hAnsi="楷体" w:eastAsia="楷体" w:cs="楷体"/>
          <w:b/>
          <w:bCs/>
          <w:color w:val="000000" w:themeColor="text1"/>
          <w:sz w:val="32"/>
          <w:szCs w:val="32"/>
          <w:highlight w:val="none"/>
          <w:lang w:val="en-US" w:eastAsia="zh-CN"/>
          <w14:textFill>
            <w14:solidFill>
              <w14:schemeClr w14:val="tx1"/>
            </w14:solidFill>
          </w14:textFill>
        </w:rPr>
        <w:t>（十）强化卫生健康人才队伍</w:t>
      </w:r>
      <w:bookmarkEnd w:id="40"/>
      <w:r>
        <w:rPr>
          <w:rFonts w:hint="eastAsia" w:ascii="楷体" w:hAnsi="楷体" w:eastAsia="楷体" w:cs="楷体"/>
          <w:b/>
          <w:bCs/>
          <w:color w:val="000000" w:themeColor="text1"/>
          <w:sz w:val="32"/>
          <w:szCs w:val="32"/>
          <w:highlight w:val="none"/>
          <w:lang w:val="en-US" w:eastAsia="zh-CN"/>
          <w14:textFill>
            <w14:solidFill>
              <w14:schemeClr w14:val="tx1"/>
            </w14:solidFill>
          </w14:textFill>
        </w:rPr>
        <w:t>支撑</w:t>
      </w:r>
      <w:bookmarkEnd w:id="42"/>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深化人事和薪酬制度改革。</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施医疗卫生专业技术人才“市属镇用、镇属村用”制度，推动全市医疗卫生机构人员编制由卫生健康行政部门统一管理，人员由医共体统一招聘和使用。各级医疗机构可根据需要，在专业性较强的科室按需设置D类（拔尖）以上层次人才特聘岗位，不占编制，实施聘期管理，可实施年薪制。实行全员岗位管理，打破单位、科室、身份限制，实现合理轮岗、有序流动。破除人才流动机制障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建立健全市级以上卫生健康领域人才每年定期服务基层的制度，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推动市级公立医院人才下沉至镇卫生院，镇卫生院人才下沉至村卫生室服务。落实“两个允许”</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[22]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要求，实施基层医疗卫生机构“公益一类财政保障，公益二类事业单位管理”模式，</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探索实施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基层医疗卫生机构主要负责人选聘制、年薪制和岗位责任制。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实行基层卫生人才乡镇工作补贴等制度</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村医支持计划，落实好在岗乡村医生养老和退出政策，适当提高离岗乡村医生生活补助标准，为乡村医生购买医责险，提高乡村医生岗位补贴，稳定村医队伍。合理核定基层医疗卫生机构绩效工资总量和水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在绩效分配上优先向关键和紧缺岗位、高风险和高强度岗位、高层次人才、业务骨干和作出突出贡献的医务人员倾斜。允许医共体自主进行绩效工资分配。</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围绕“放管服”改革需要，有序推进医疗卫生单位自主评聘改革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建立实施医疗卫生下沉人才双重绩效奖励和职称评聘优先制度，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职称评定向全科医生和一线骨干倾斜</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完善人才评价机制，全面推行“定向评价、定向使用”评价管理制度。</w:t>
      </w:r>
    </w:p>
    <w:p>
      <w:pPr>
        <w:snapToGrid w:val="0"/>
        <w:spacing w:line="590" w:lineRule="exact"/>
        <w:ind w:firstLine="643" w:firstLineChars="200"/>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优化</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医疗人才培养方式。</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鼓励本地医院与海南省第三卫生学校、海南医学院等市内外医学类院校合作，提升医院医疗、教学、科研等发展水平。支持海南省第三卫生学校扩大办学规模及水平，量身为乐城先行区培养医养结合、药学等各类人才。加大与发达地区的医疗合作和人才交流，健全医疗机构之间、重点专科之间的对口帮扶、托管等合作模式。依托空军军医大学第一附属医院西京医院、上海交通大学医学院附属瑞金医院、上海市儿童医院、海南省妇幼保健院等省内外优等医院，定期遴选优秀医疗卫生专业技术人员、管理人员参加中短期进修培训。</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推广使用省级整合型医学教育革新学习平台，线下与线上</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学习</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相结合，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面提升各级各类卫生健康人员的职业素质和岗位能力。按各类基层医疗卫生机构（除村卫生室外）的卫生技术人员数占比不低于90%，每万人口全科医生数不少于4名的标准，配齐配强基层医疗卫生机构卫生技术人员和全科医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到2025年，每千人口基层卫生人员达到3.5人以上，每千人口基层执业（助理）医师达到1.2人以上，每万人口拥有4名合格的全科医生，每所村卫生室至少有1名乡村医生执业，推动乡村医生向执业（助理）医师转变，使执业（助理）医师占比达50%以上。</w:t>
      </w:r>
    </w:p>
    <w:p>
      <w:pPr>
        <w:snapToGrid w:val="0"/>
        <w:spacing w:line="590" w:lineRule="exact"/>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推动“全健康”人才培养。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公共卫生及防疫人才的系统化培训，加强养老、托育领域医疗卫生人才培养。以提高岗位胜任能力为核心，加强专科医生培养。重点加快全科、儿科、产科、精神科和心理健康、感染（含传染）、急诊、康复、护理等急需紧缺专业人才培养。实施农村卫生人才订单定向培养计划，促进在岗乡村医生能力和学历提升。依托国家中医药特色人才培养工程（岐黄工程）、国家中医药高层次人才培养项目、海南省中医药传承与创新人才工程，加强中医人才培养</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推进中医院</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引进博士学历人员1-2名，遴选国家或省级名老中医1-2名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完善医疗健康产业人才培养</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政策，壮大智慧医疗、健康管理、特需医疗人才队伍。</w:t>
      </w:r>
      <w:r>
        <w:rPr>
          <w:rFonts w:hint="eastAsia" w:ascii="仿宋_GB2312" w:hAnsi="仿宋_GB2312" w:eastAsia="仿宋_GB2312" w:cs="仿宋_GB2312"/>
          <w:b w:val="0"/>
          <w:bCs w:val="0"/>
          <w:color w:val="000000" w:themeColor="text1"/>
          <w:sz w:val="32"/>
          <w:szCs w:val="32"/>
          <w:highlight w:val="none"/>
          <w:shd w:val="clear" w:fill="auto"/>
          <w:lang w:eastAsia="zh-CN"/>
          <w14:textFill>
            <w14:solidFill>
              <w14:schemeClr w14:val="tx1"/>
            </w14:solidFill>
          </w14:textFill>
        </w:rPr>
        <w:t>推动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乐城</w:t>
      </w:r>
      <w:r>
        <w:rPr>
          <w:rFonts w:hint="eastAsia" w:ascii="仿宋_GB2312" w:hAnsi="仿宋_GB2312" w:eastAsia="仿宋_GB2312" w:cs="仿宋_GB2312"/>
          <w:b w:val="0"/>
          <w:bCs w:val="0"/>
          <w:color w:val="000000" w:themeColor="text1"/>
          <w:sz w:val="32"/>
          <w:szCs w:val="32"/>
          <w:highlight w:val="none"/>
          <w:shd w:val="clear" w:fill="auto"/>
          <w:lang w:eastAsia="zh-CN"/>
          <w14:textFill>
            <w14:solidFill>
              <w14:schemeClr w14:val="tx1"/>
            </w14:solidFill>
          </w14:textFill>
        </w:rPr>
        <w:t>先行区建设</w:t>
      </w:r>
      <w:r>
        <w:rPr>
          <w:rFonts w:hint="eastAsia" w:ascii="仿宋_GB2312" w:hAnsi="仿宋_GB2312" w:eastAsia="仿宋_GB2312" w:cs="仿宋_GB2312"/>
          <w:color w:val="000000" w:themeColor="text1"/>
          <w:sz w:val="32"/>
          <w:szCs w:val="32"/>
          <w:highlight w:val="none"/>
          <w:shd w:val="clear" w:fill="auto"/>
          <w:lang w:val="en-US" w:eastAsia="zh-CN"/>
          <w14:textFill>
            <w14:solidFill>
              <w14:schemeClr w14:val="tx1"/>
            </w14:solidFill>
          </w14:textFill>
        </w:rPr>
        <w:t>省级卫生健康人才培训学校或培训基地，</w:t>
      </w:r>
      <w:r>
        <w:rPr>
          <w:rFonts w:hint="eastAsia" w:ascii="仿宋_GB2312" w:hAnsi="仿宋_GB2312" w:eastAsia="仿宋_GB2312" w:cs="仿宋_GB2312"/>
          <w:b w:val="0"/>
          <w:bCs w:val="0"/>
          <w:color w:val="000000" w:themeColor="text1"/>
          <w:sz w:val="32"/>
          <w:szCs w:val="32"/>
          <w:highlight w:val="none"/>
          <w:shd w:val="clear" w:fill="auto"/>
          <w:lang w:eastAsia="zh-CN"/>
          <w14:textFill>
            <w14:solidFill>
              <w14:schemeClr w14:val="tx1"/>
            </w14:solidFill>
          </w14:textFill>
        </w:rPr>
        <w:t>加强健</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康管理师、疾病管理师、营养师等类型人才培养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积极</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卫生健康领域</w:t>
      </w:r>
      <w:r>
        <w:rPr>
          <w:rFonts w:hint="eastAsia" w:ascii="仿宋_GB2312" w:hAnsi="仿宋_GB2312" w:eastAsia="仿宋_GB2312" w:cs="仿宋_GB2312"/>
          <w:color w:val="000000" w:themeColor="text1"/>
          <w:sz w:val="32"/>
          <w:szCs w:val="32"/>
          <w:highlight w:val="none"/>
          <w14:textFill>
            <w14:solidFill>
              <w14:schemeClr w14:val="tx1"/>
            </w14:solidFill>
          </w14:textFill>
        </w:rPr>
        <w:t>职业技能鉴定与培训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加强基层护理队伍建设和护理辅助人员培养，推进医疗机构科学合理配备护士，满足临床护理需求，到2025年，逐步使公立医院医护比总体达到1∶2，镇卫生院医护比达到1:1.0，社区卫生服务中心医护比达到1:1.2，全市每千人口注册护士数达到3.6人以上。</w:t>
      </w:r>
    </w:p>
    <w:p>
      <w:pPr>
        <w:snapToGrid w:val="0"/>
        <w:spacing w:line="590" w:lineRule="exact"/>
        <w:ind w:firstLine="643" w:firstLineChars="200"/>
        <w:rPr>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加强“全健康”人才引进。</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用好用足自贸港人才引进政策，</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实施卫生健康人才“万泉工程”，围绕建设五大东部区域医疗卫生中心目标，大力引进培养重点学科带头人和优秀专科团队。</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建立高层次和急需紧缺人才引进机制，编制医疗卫生高层次人才和急需紧缺人才指导名录，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落实</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14:textFill>
            <w14:solidFill>
              <w14:schemeClr w14:val="tx1"/>
            </w14:solidFill>
          </w14:textFill>
        </w:rPr>
        <w:t>琼海市引进人才及其家属落户实施细则(试行)</w:t>
      </w:r>
      <w:r>
        <w:rPr>
          <w:rFonts w:hint="eastAsia" w:ascii="仿宋_GB2312" w:hAnsi="仿宋_GB2312" w:eastAsia="仿宋_GB2312" w:cs="仿宋_GB2312"/>
          <w:b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color w:val="000000" w:themeColor="text1"/>
          <w:sz w:val="32"/>
          <w:szCs w:val="32"/>
          <w:highlight w:val="none"/>
          <w:lang w:val="en-US" w:eastAsia="zh-CN"/>
          <w14:textFill>
            <w14:solidFill>
              <w14:schemeClr w14:val="tx1"/>
            </w14:solidFill>
          </w14:textFill>
        </w:rPr>
        <w:t>等人才政策，</w:t>
      </w:r>
      <w:r>
        <w:rPr>
          <w:rFonts w:hint="eastAsia" w:ascii="仿宋_GB2312" w:hAnsi="仿宋_GB2312" w:eastAsia="仿宋_GB2312" w:cs="仿宋_GB2312"/>
          <w:color w:val="000000" w:themeColor="text1"/>
          <w:sz w:val="32"/>
          <w:szCs w:val="32"/>
          <w:highlight w:val="none"/>
          <w14:textFill>
            <w14:solidFill>
              <w14:schemeClr w14:val="tx1"/>
            </w14:solidFill>
          </w14:textFill>
        </w:rPr>
        <w:t>在制定岗位设置、专项资金、人才用房等具有吸引力的激励政策的基础上，用人单位可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立足</w:t>
      </w:r>
      <w:r>
        <w:rPr>
          <w:rFonts w:hint="eastAsia" w:ascii="仿宋_GB2312" w:hAnsi="仿宋_GB2312" w:eastAsia="仿宋_GB2312" w:cs="仿宋_GB2312"/>
          <w:color w:val="000000" w:themeColor="text1"/>
          <w:sz w:val="32"/>
          <w:szCs w:val="32"/>
          <w:highlight w:val="none"/>
          <w14:textFill>
            <w14:solidFill>
              <w14:schemeClr w14:val="tx1"/>
            </w14:solidFill>
          </w14:textFill>
        </w:rPr>
        <w:t>实际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灵活提出招聘计划，对急需高层次人才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可以开启“绿色通道”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“一事一议”突破岗位总量、最高等级和结构比例的限制。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实施“好院长好医生”“妇幼双百”</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“银发精英”</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“京医老专家”</w:t>
      </w:r>
      <w:r>
        <w:rPr>
          <w:rFonts w:hint="eastAsia" w:ascii="仿宋_GB2312" w:hAnsi="仿宋_GB2312" w:eastAsia="仿宋_GB2312" w:cs="仿宋_GB2312"/>
          <w:b w:val="0"/>
          <w:bCs w:val="0"/>
          <w:color w:val="000000" w:themeColor="text1"/>
          <w:sz w:val="32"/>
          <w:szCs w:val="32"/>
          <w:highlight w:val="none"/>
          <w:vertAlign w:val="superscript"/>
          <w:lang w:val="en-US" w:eastAsia="zh-CN"/>
          <w14:textFill>
            <w14:solidFill>
              <w14:schemeClr w14:val="tx1"/>
            </w14:solidFill>
          </w14:textFill>
        </w:rPr>
        <w:t>[25]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“公共卫生人才招聘</w:t>
      </w:r>
      <w:bookmarkStart w:id="64" w:name="_GoBack"/>
      <w:bookmarkEnd w:id="64"/>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等人才专项，引进高层次专业技术人员。积极引进基层执业（助理）医师、全科、儿科、精神科、公共卫生人才等方面的紧缺型人才。鼓励医疗机构开展面向外籍人员的招聘工作。采用顾问指导、短期兼职、退休返聘、“候鸟”服务、对口支援等多种方式使用人才。</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实施基层医疗卫生机构专项招聘计划，招聘对象重点向全科、中医、公共卫生、儿科、妇科和医技等基层急需紧缺专业倾斜。大力推荐优秀人才参</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医学“重点人才”“青年人才”、省级名中医等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称号</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评定。</w:t>
      </w:r>
    </w:p>
    <w:p>
      <w:pPr>
        <w:keepNext w:val="0"/>
        <w:keepLines w:val="0"/>
        <w:pageBreakBefore w:val="0"/>
        <w:widowControl w:val="0"/>
        <w:numPr>
          <w:ilvl w:val="-1"/>
          <w:numId w:val="0"/>
        </w:numPr>
        <w:kinsoku/>
        <w:wordWrap/>
        <w:overflowPunct/>
        <w:topLinePunct w:val="0"/>
        <w:autoSpaceDE/>
        <w:autoSpaceDN/>
        <w:bidi w:val="0"/>
        <w:adjustRightInd/>
        <w:snapToGrid w:val="0"/>
        <w:spacing w:after="157" w:afterLines="50" w:line="590" w:lineRule="exact"/>
        <w:ind w:firstLine="643" w:firstLineChars="200"/>
        <w:outlineLvl w:val="9"/>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加强对卫生健康人才的关爱。</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营造有利于医务、疾控人员工作的良好环境，减轻工作负荷。加强医务、疾控人员心理援助，落实好学习、工作、休息和带薪休假制度，维护身心健康。鼓励公立医院通过设立青年学习基金等多种方式，关心年轻医务人员成长。建立健全医务、疾控人员在突发公共卫生事件期间的薪酬待遇制度，做好家属保障工作，做好因公殉职医务人员的烈士评定和褒扬工作，全面落实抚恤优待。建立医务人员职业荣誉制度，增强职业荣誉感。</w:t>
      </w:r>
      <w:bookmarkStart w:id="43" w:name="_Toc3164"/>
    </w:p>
    <w:tbl>
      <w:tblPr>
        <w:tblStyle w:val="14"/>
        <w:tblW w:w="88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891" w:type="dxa"/>
            <w:shd w:val="clear" w:color="auto" w:fill="E7E6E6"/>
            <w:noWrap w:val="0"/>
            <w:vAlign w:val="center"/>
          </w:tcPr>
          <w:p>
            <w:pPr>
              <w:adjustRightInd/>
              <w:snapToGrid/>
              <w:spacing w:line="240" w:lineRule="auto"/>
              <w:jc w:val="center"/>
              <w:rPr>
                <w:rFonts w:hint="eastAsia" w:ascii="仿宋_GB2312"/>
                <w:b/>
                <w:color w:val="000000" w:themeColor="text1"/>
                <w:sz w:val="24"/>
                <w:highlight w:val="none"/>
                <w14:textFill>
                  <w14:solidFill>
                    <w14:schemeClr w14:val="tx1"/>
                  </w14:solidFill>
                </w14:textFill>
              </w:rPr>
            </w:pPr>
            <w:r>
              <w:rPr>
                <w:rFonts w:hint="eastAsia" w:ascii="仿宋_GB2312" w:hAnsi="Times New Roman" w:eastAsia="仿宋_GB2312" w:cs="Times New Roman"/>
                <w:b/>
                <w:color w:val="000000" w:themeColor="text1"/>
                <w:sz w:val="24"/>
                <w:szCs w:val="20"/>
                <w:highlight w:val="none"/>
                <w14:textFill>
                  <w14:solidFill>
                    <w14:schemeClr w14:val="tx1"/>
                  </w14:solidFill>
                </w14:textFill>
              </w:rPr>
              <w:t>专栏</w:t>
            </w:r>
            <w:r>
              <w:rPr>
                <w:rFonts w:hint="eastAsia" w:ascii="仿宋_GB2312" w:hAnsi="Times New Roman" w:eastAsia="仿宋_GB2312" w:cs="Times New Roman"/>
                <w:b/>
                <w:color w:val="000000" w:themeColor="text1"/>
                <w:sz w:val="24"/>
                <w:szCs w:val="20"/>
                <w:highlight w:val="none"/>
                <w:lang w:val="en-US" w:eastAsia="zh-CN"/>
                <w14:textFill>
                  <w14:solidFill>
                    <w14:schemeClr w14:val="tx1"/>
                  </w14:solidFill>
                </w14:textFill>
              </w:rPr>
              <w:t>10 卫生健康人才“万泉工程”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1" w:type="dxa"/>
            <w:noWrap w:val="0"/>
            <w:vAlign w:val="top"/>
          </w:tcPr>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人才制度。</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实施医疗卫生专业技术人才“市属镇用、镇属村用”制度；落实“两个允许”要求；</w:t>
            </w:r>
            <w:r>
              <w:rPr>
                <w:rFonts w:hint="eastAsia" w:ascii="仿宋_GB2312" w:hAnsi="Times New Roman" w:eastAsia="仿宋_GB2312" w:cs="Times New Roman"/>
                <w:color w:val="000000" w:themeColor="text1"/>
                <w:sz w:val="24"/>
                <w:szCs w:val="20"/>
                <w:highlight w:val="none"/>
                <w14:textFill>
                  <w14:solidFill>
                    <w14:schemeClr w14:val="tx1"/>
                  </w14:solidFill>
                </w14:textFill>
              </w:rPr>
              <w:t>实施引才、育才、留才、用才工程</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w:t>
            </w:r>
            <w:r>
              <w:rPr>
                <w:rFonts w:hint="eastAsia" w:ascii="仿宋_GB2312" w:hAnsi="Times New Roman" w:eastAsia="仿宋_GB2312" w:cs="Times New Roman"/>
                <w:color w:val="000000" w:themeColor="text1"/>
                <w:sz w:val="24"/>
                <w:szCs w:val="20"/>
                <w:highlight w:val="none"/>
                <w14:textFill>
                  <w14:solidFill>
                    <w14:schemeClr w14:val="tx1"/>
                  </w14:solidFill>
                </w14:textFill>
              </w:rPr>
              <w:t>统筹平衡与</w:t>
            </w:r>
            <w:r>
              <w:rPr>
                <w:rFonts w:hint="eastAsia" w:ascii="仿宋_GB2312" w:hAnsi="Times New Roman" w:eastAsia="仿宋_GB2312" w:cs="Times New Roman"/>
                <w:color w:val="000000" w:themeColor="text1"/>
                <w:sz w:val="24"/>
                <w:szCs w:val="20"/>
                <w:highlight w:val="none"/>
                <w:lang w:val="en-US" w:eastAsia="zh-CN"/>
                <w14:textFill>
                  <w14:solidFill>
                    <w14:schemeClr w14:val="tx1"/>
                  </w14:solidFill>
                </w14:textFill>
              </w:rPr>
              <w:t>市</w:t>
            </w:r>
            <w:r>
              <w:rPr>
                <w:rFonts w:hint="eastAsia" w:ascii="仿宋_GB2312" w:hAnsi="Times New Roman" w:eastAsia="仿宋_GB2312" w:cs="Times New Roman"/>
                <w:color w:val="000000" w:themeColor="text1"/>
                <w:sz w:val="24"/>
                <w:szCs w:val="20"/>
                <w:highlight w:val="none"/>
                <w14:textFill>
                  <w14:solidFill>
                    <w14:schemeClr w14:val="tx1"/>
                  </w14:solidFill>
                </w14:textFill>
              </w:rPr>
              <w:t>级公立医院绩效工资水平的关系，合理核定基层医疗卫生机构绩效工资总量和水平</w:t>
            </w:r>
            <w:r>
              <w:rPr>
                <w:rFonts w:hint="eastAsia" w:ascii="仿宋_GB2312" w:hAnsi="Times New Roman" w:eastAsia="仿宋_GB2312" w:cs="Times New Roman"/>
                <w:color w:val="000000" w:themeColor="text1"/>
                <w:sz w:val="24"/>
                <w:szCs w:val="20"/>
                <w:highlight w:val="none"/>
                <w:lang w:eastAsia="zh-CN"/>
                <w14:textFill>
                  <w14:solidFill>
                    <w14:schemeClr w14:val="tx1"/>
                  </w14:solidFill>
                </w14:textFill>
              </w:rPr>
              <w:t>。</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人才培养。</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引进1所国际合作医学院；实施“精英人才”培养工程、护士岗位培训工程、全科医生培养计划；推进市疾控中心建设省级公共卫生实训示范基地；</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支持鼓励</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优秀卫生健康专业人才、管理人才参</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加</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省市</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内</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外</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专业机构进修</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、培训。</w:t>
            </w:r>
          </w:p>
          <w:p>
            <w:pPr>
              <w:adjustRightInd/>
              <w:snapToGrid/>
              <w:spacing w:line="400" w:lineRule="exact"/>
              <w:ind w:firstLine="482" w:firstLineChars="200"/>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人才引进。</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实施卓越人才引进计划，引进培养重点学科带头人和优秀专科团队；实施</w:t>
            </w:r>
            <w:r>
              <w:rPr>
                <w:rFonts w:hint="eastAsia" w:ascii="仿宋_GB2312" w:hAnsi="Times New Roman" w:eastAsia="仿宋_GB2312" w:cs="Times New Roman"/>
                <w:color w:val="000000" w:themeColor="text1"/>
                <w:sz w:val="24"/>
                <w:szCs w:val="20"/>
                <w:highlight w:val="none"/>
                <w:vertAlign w:val="baseline"/>
                <w:lang w:val="en-US" w:eastAsia="zh-CN"/>
                <w14:textFill>
                  <w14:solidFill>
                    <w14:schemeClr w14:val="tx1"/>
                  </w14:solidFill>
                </w14:textFill>
              </w:rPr>
              <w:t>好</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人才专项、基层医疗卫生机构专项招聘计划、“强卫人才”计划、医疗健康产业人才集聚项目。</w:t>
            </w:r>
          </w:p>
          <w:p>
            <w:pPr>
              <w:adjustRightInd/>
              <w:snapToGrid/>
              <w:spacing w:line="400" w:lineRule="exact"/>
              <w:ind w:firstLine="482" w:firstLineChars="200"/>
              <w:rPr>
                <w:rFonts w:hint="eastAsia" w:ascii="仿宋_GB2312"/>
                <w:color w:val="000000" w:themeColor="text1"/>
                <w:sz w:val="24"/>
                <w:highlight w:val="none"/>
                <w14:textFill>
                  <w14:solidFill>
                    <w14:schemeClr w14:val="tx1"/>
                  </w14:solidFill>
                </w14:textFill>
              </w:rPr>
            </w:pPr>
            <w:r>
              <w:rPr>
                <w:rFonts w:hint="eastAsia" w:ascii="仿宋_GB2312" w:hAnsi="Times New Roman" w:eastAsia="仿宋_GB2312" w:cs="Times New Roman"/>
                <w:b/>
                <w:bCs/>
                <w:color w:val="000000" w:themeColor="text1"/>
                <w:sz w:val="24"/>
                <w:szCs w:val="20"/>
                <w:highlight w:val="none"/>
                <w:vertAlign w:val="baseline"/>
                <w:lang w:eastAsia="zh-CN"/>
                <w14:textFill>
                  <w14:solidFill>
                    <w14:schemeClr w14:val="tx1"/>
                  </w14:solidFill>
                </w14:textFill>
              </w:rPr>
              <w:t>人才关爱。</w:t>
            </w:r>
            <w:r>
              <w:rPr>
                <w:rFonts w:hint="eastAsia" w:ascii="仿宋_GB2312" w:hAnsi="Times New Roman" w:eastAsia="仿宋_GB2312" w:cs="Times New Roman"/>
                <w:color w:val="000000" w:themeColor="text1"/>
                <w:sz w:val="24"/>
                <w:szCs w:val="20"/>
                <w:highlight w:val="none"/>
                <w:vertAlign w:val="baseline"/>
                <w:lang w:eastAsia="zh-CN"/>
                <w14:textFill>
                  <w14:solidFill>
                    <w14:schemeClr w14:val="tx1"/>
                  </w14:solidFill>
                </w14:textFill>
              </w:rPr>
              <w:t>改善工作环境和条件，减轻工作负荷；实施心理干预和疏导；建立职业荣誉制度；推进基层医务人员安居房工程。</w:t>
            </w:r>
          </w:p>
        </w:tc>
      </w:tr>
      <w:bookmarkEnd w:id="43"/>
    </w:tbl>
    <w:p>
      <w:pPr>
        <w:keepNext w:val="0"/>
        <w:keepLines w:val="0"/>
        <w:pageBreakBefore w:val="0"/>
        <w:widowControl w:val="0"/>
        <w:kinsoku/>
        <w:wordWrap/>
        <w:overflowPunct/>
        <w:topLinePunct w:val="0"/>
        <w:autoSpaceDE/>
        <w:autoSpaceDN/>
        <w:bidi w:val="0"/>
        <w:adjustRightInd/>
        <w:snapToGrid w:val="0"/>
        <w:spacing w:before="157" w:beforeLines="50" w:line="590" w:lineRule="exact"/>
        <w:ind w:firstLine="640" w:firstLineChars="200"/>
        <w:textAlignment w:val="auto"/>
        <w:outlineLvl w:val="0"/>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bookmarkStart w:id="44" w:name="_Toc29407"/>
      <w:bookmarkStart w:id="45" w:name="_Toc16824"/>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五、保障措施</w:t>
      </w:r>
      <w:bookmarkEnd w:id="44"/>
      <w:bookmarkEnd w:id="45"/>
    </w:p>
    <w:p>
      <w:pPr>
        <w:keepNext w:val="0"/>
        <w:keepLines w:val="0"/>
        <w:pageBreakBefore w:val="0"/>
        <w:widowControl w:val="0"/>
        <w:numPr>
          <w:ilvl w:val="-1"/>
          <w:numId w:val="0"/>
        </w:numPr>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pPr>
      <w:bookmarkStart w:id="46" w:name="_Toc26030"/>
      <w:bookmarkStart w:id="47" w:name="_Toc8599"/>
      <w:r>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t>（一）加强党的领导</w:t>
      </w:r>
      <w:bookmarkEnd w:id="46"/>
      <w:bookmarkEnd w:id="47"/>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面加强卫生健康系统党的建设，把党的领导落实到改革发展各领域各方面各环节。坚持党建与业务深度融合，充分发挥公立医院党委把方向、管大局、作决策、促改革、保落实的领导作用，建立健全议事决策制度。始终践行党的群众路线，改进工作作风，积极创新服务保障人民群众健康的工作机制和方式方法。坚定不移推进全面从严治党，持续从严落实中央八项规定精神，全面落实党风廉政建设主体责任和监督责任，构建卫生健康系统风清气正的政治生态。</w:t>
      </w:r>
    </w:p>
    <w:p>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pPr>
      <w:bookmarkStart w:id="48" w:name="_Toc29038"/>
      <w:bookmarkStart w:id="49" w:name="_Toc19673"/>
      <w:r>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t>（二）优化运行机制</w:t>
      </w:r>
      <w:bookmarkEnd w:id="48"/>
      <w:bookmarkEnd w:id="49"/>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完善党委领导、政府主导、卫生健康委牵头、其他部门配合、社会参与的体制机制，</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推动落实“把健康融入所有政策”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，全面提升卫生健康科学决策和现代治理水平。</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加快制定</w:t>
      </w:r>
      <w:r>
        <w:rPr>
          <w:rFonts w:hint="eastAsia" w:ascii="仿宋_GB2312" w:hAnsi="仿宋_GB2312" w:eastAsia="仿宋_GB2312" w:cs="仿宋_GB2312"/>
          <w:color w:val="000000" w:themeColor="text1"/>
          <w:sz w:val="32"/>
          <w:szCs w:val="32"/>
          <w:highlight w:val="none"/>
          <w14:textFill>
            <w14:solidFill>
              <w14:schemeClr w14:val="tx1"/>
            </w14:solidFill>
          </w14:textFill>
        </w:rPr>
        <w:t>健康影响评价评估的管理办法、实施计划、技术路线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，逐步建立</w:t>
      </w:r>
      <w:r>
        <w:rPr>
          <w:rFonts w:hint="eastAsia" w:ascii="仿宋_GB2312" w:hAnsi="仿宋_GB2312" w:eastAsia="仿宋_GB2312" w:cs="仿宋_GB2312"/>
          <w:color w:val="000000" w:themeColor="text1"/>
          <w:sz w:val="32"/>
          <w:szCs w:val="32"/>
          <w:highlight w:val="none"/>
          <w14:textFill>
            <w14:solidFill>
              <w14:schemeClr w14:val="tx1"/>
            </w14:solidFill>
          </w14:textFill>
        </w:rPr>
        <w:t>健康影响评价评估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机制</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，推动各部门各系统评估经济社会发展、重大工程项目及公共政策实施对健</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康的影响，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把全生命周期管理理念贯穿城市规划、建设、管理全过程各环节。</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对标新时代发展和自贸港建设要求，聚焦医疗卫生体制改革、卫生健康人才引育、智慧医疗服务发展、医疗卫生对外交流合作、医疗健康产业开放突破及国际医疗能力建设等领域，勇于探索、大胆创新、先行先试，形成一批引领全省乃至全国制度创新的标杆案例。</w:t>
      </w:r>
    </w:p>
    <w:p>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pPr>
      <w:bookmarkStart w:id="50" w:name="_Toc19011"/>
      <w:bookmarkStart w:id="51" w:name="_Toc434"/>
      <w:r>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t>（三）完善投入机制</w:t>
      </w:r>
      <w:bookmarkEnd w:id="50"/>
      <w:bookmarkEnd w:id="51"/>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强化政府对基本医疗服务、基本公共卫生服务的投入责任，完善各类公立医疗卫生健康机构的财政补偿政策，健全政府购买服务机制，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鼓励医疗机构通过政府购买服务方式推动卫生健康服务事项落实。</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推广运用PPP模式，引导社会资本参与发展卫生健康事业和产业。落实好各项卫生健康领域投入政策，强化发展各要素保障。调整和完善政府卫生健康发展投入结构，加大对资源弱项短板投入，着重向体系建设、硬件建设、能力建设、人才队伍建设和镇村医疗卫生机构等方面倾斜。</w:t>
      </w:r>
    </w:p>
    <w:p>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pPr>
      <w:bookmarkStart w:id="52" w:name="_Toc9251"/>
      <w:bookmarkStart w:id="53" w:name="_Toc9995"/>
      <w:r>
        <w:rPr>
          <w:rFonts w:hint="eastAsia" w:ascii="楷体" w:hAnsi="楷体" w:eastAsia="楷体" w:cs="楷体"/>
          <w:b/>
          <w:bCs/>
          <w:color w:val="000000" w:themeColor="text1"/>
          <w:kern w:val="2"/>
          <w:sz w:val="32"/>
          <w:szCs w:val="32"/>
          <w:highlight w:val="none"/>
          <w:lang w:val="en-US" w:eastAsia="zh-CN" w:bidi="ar-SA"/>
          <w14:textFill>
            <w14:solidFill>
              <w14:schemeClr w14:val="tx1"/>
            </w14:solidFill>
          </w14:textFill>
        </w:rPr>
        <w:t>（四）注重宣传引导</w:t>
      </w:r>
      <w:bookmarkEnd w:id="52"/>
      <w:bookmarkEnd w:id="53"/>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充分发挥新时代新媒体作用，及时宣传卫生健康相关的法律法规、政策动态和面临的形势等。广泛开展“健康琼海”主题宣传和教育培训，引导公众树立尊重医生就是尊重生命的理念，增强社会对卫生健康工作和医务工作者的理解认同和正确认知，形成全社会关心支持卫生健康发展的良好社会氛围。加强卫生健康发展成果宣传，加大医疗卫生事业和医务人员正面和典型宣传。加强舆论引导和网络舆情监测，积极回应社会关切。加强卫生健康文化建设，将居民健康素养水平提升和健康生活方式普及与城乡基层治理有机结合，全面提升群众个人和家庭的健康意识和健康责任意识，主动践行健康文明生产生活方式。</w:t>
      </w:r>
    </w:p>
    <w:p>
      <w:pPr>
        <w:keepNext w:val="0"/>
        <w:keepLines w:val="0"/>
        <w:pageBreakBefore w:val="0"/>
        <w:widowControl/>
        <w:numPr>
          <w:ilvl w:val="0"/>
          <w:numId w:val="0"/>
        </w:numPr>
        <w:kinsoku/>
        <w:wordWrap/>
        <w:overflowPunct/>
        <w:topLinePunct w:val="0"/>
        <w:autoSpaceDE/>
        <w:autoSpaceDN/>
        <w:bidi w:val="0"/>
        <w:adjustRightInd/>
        <w:snapToGrid w:val="0"/>
        <w:spacing w:line="590" w:lineRule="exact"/>
        <w:ind w:firstLine="643" w:firstLineChars="200"/>
        <w:textAlignment w:val="auto"/>
        <w:outlineLvl w:val="1"/>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bookmarkStart w:id="54" w:name="_Toc8840"/>
      <w:bookmarkStart w:id="55" w:name="_Toc28950"/>
      <w:r>
        <w:rPr>
          <w:rFonts w:hint="eastAsia" w:ascii="楷体" w:hAnsi="楷体" w:eastAsia="楷体" w:cs="楷体"/>
          <w:b/>
          <w:bCs/>
          <w:color w:val="000000" w:themeColor="text1"/>
          <w:sz w:val="32"/>
          <w:szCs w:val="32"/>
          <w:highlight w:val="none"/>
          <w:lang w:val="en-US" w:eastAsia="zh-CN"/>
          <w14:textFill>
            <w14:solidFill>
              <w14:schemeClr w14:val="tx1"/>
            </w14:solidFill>
          </w14:textFill>
        </w:rPr>
        <w:t>（五）加强监测评价</w:t>
      </w:r>
      <w:bookmarkEnd w:id="54"/>
      <w:bookmarkEnd w:id="55"/>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围绕规划核心目标与重点任务、重大项目，相关部门牵头制定并落实实施方案。</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加强对各级各类医疗卫生机构的经常性指导，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加大对健康琼海建设任务落实情况监督检查，确保国家、省的重大决策部署得到有效落实。组织开展规划实施情况年度监测、中期和终期评估，及时发现规划实施过程中存在的问题，认真研究制定解决方案，依法对目标任务进行必要调整。鼓励公众积极参与规划的实施和监督。强化问责机制，激励担当作为，确保规划顺利有效实施，如期实现规划目标。</w:t>
      </w:r>
    </w:p>
    <w:p>
      <w:pPr>
        <w:keepNext w:val="0"/>
        <w:keepLines w:val="0"/>
        <w:pageBreakBefore w:val="0"/>
        <w:widowControl/>
        <w:kinsoku/>
        <w:wordWrap/>
        <w:overflowPunct/>
        <w:topLinePunct w:val="0"/>
        <w:autoSpaceDE/>
        <w:autoSpaceDN/>
        <w:bidi w:val="0"/>
        <w:adjustRightInd/>
        <w:snapToGrid w:val="0"/>
        <w:spacing w:line="59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附录：名词解释</w:t>
      </w: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bookmarkStart w:id="56" w:name="_Toc25512"/>
      <w:bookmarkStart w:id="57" w:name="_Toc6465"/>
      <w:bookmarkStart w:id="58" w:name="_Toc22538"/>
      <w:bookmarkStart w:id="59" w:name="_Toc18360"/>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pPr>
        <w:spacing w:line="560" w:lineRule="exact"/>
        <w:outlineLvl w:val="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附录</w:t>
      </w:r>
      <w:bookmarkEnd w:id="56"/>
      <w:bookmarkEnd w:id="57"/>
      <w:bookmarkEnd w:id="58"/>
      <w:bookmarkEnd w:id="59"/>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jc w:val="center"/>
        <w:outlineLvl w:val="0"/>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pPr>
      <w:bookmarkStart w:id="60" w:name="_Toc25034"/>
      <w:bookmarkStart w:id="61" w:name="_Toc31418"/>
      <w:bookmarkStart w:id="62" w:name="_Toc32242"/>
      <w:bookmarkStart w:id="63" w:name="_Toc25326"/>
      <w:r>
        <w:rPr>
          <w:rFonts w:hint="eastAsia" w:asciiTheme="majorEastAsia" w:hAnsiTheme="majorEastAsia" w:eastAsiaTheme="majorEastAsia" w:cstheme="majorEastAsia"/>
          <w:b/>
          <w:bCs/>
          <w:color w:val="000000" w:themeColor="text1"/>
          <w:sz w:val="32"/>
          <w:szCs w:val="32"/>
          <w:highlight w:val="none"/>
          <w:lang w:val="en-US" w:eastAsia="zh-CN"/>
          <w14:textFill>
            <w14:solidFill>
              <w14:schemeClr w14:val="tx1"/>
            </w14:solidFill>
          </w14:textFill>
        </w:rPr>
        <w:t>名词解释</w:t>
      </w:r>
      <w:bookmarkEnd w:id="60"/>
      <w:bookmarkEnd w:id="61"/>
      <w:bookmarkEnd w:id="62"/>
      <w:bookmarkEnd w:id="63"/>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w:t>
      </w:r>
      <w:r>
        <w:rPr>
          <w:rFonts w:hint="default" w:ascii="仿宋_GB2312" w:hAnsi="仿宋_GB2312" w:eastAsia="仿宋_GB2312" w:cs="仿宋_GB2312"/>
          <w:b/>
          <w:bCs/>
          <w:color w:val="000000" w:themeColor="text1"/>
          <w:sz w:val="28"/>
          <w:szCs w:val="28"/>
          <w:highlight w:val="none"/>
          <w:lang w:val="en-US" w:eastAsia="zh-CN"/>
          <w14:textFill>
            <w14:solidFill>
              <w14:schemeClr w14:val="tx1"/>
            </w14:solidFill>
          </w14:textFill>
        </w:rPr>
        <w:t>“7+3”</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项目:</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提升七个能力建设、做好三个保障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。即</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提升发热门诊收治能力建设、提升可转换传染病区收治能力建设、提升可转换ICU收治能力建设、提升实验室能力建设、提升传染病检测能力建设、提升医疗废弃物处置能力建设、提升急救能力建设；做好重大疫情救治保障、应急医疗物资保障、应急医疗资源启用预案保障。</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“三个一批”行动计划</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按照“大病集中救治一批、慢病签约服务管理一批、重病兜底保障一批”的要求，组织对患有大病和长期慢性病的贫困人口实行分类分批救治</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numPr>
          <w:ilvl w:val="-1"/>
          <w:numId w:val="0"/>
        </w:numPr>
        <w:spacing w:line="560" w:lineRule="exact"/>
        <w:ind w:left="0" w:leftChars="0" w:firstLine="562" w:firstLineChars="200"/>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[3]</w:t>
      </w:r>
      <w:r>
        <w:rPr>
          <w:rFonts w:hint="default" w:ascii="仿宋_GB2312" w:hAnsi="仿宋_GB2312" w:eastAsia="仿宋_GB2312" w:cs="仿宋_GB2312"/>
          <w:b/>
          <w:bCs/>
          <w:color w:val="000000" w:themeColor="text1"/>
          <w:sz w:val="28"/>
          <w:szCs w:val="28"/>
          <w:highlight w:val="none"/>
          <w:lang w:val="en-US" w:eastAsia="zh-CN"/>
          <w14:textFill>
            <w14:solidFill>
              <w14:schemeClr w14:val="tx1"/>
            </w14:solidFill>
          </w14:textFill>
        </w:rPr>
        <w:t>两证一批复</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指申请单位或个人向乐城先行区管理局提交申请材料，管理局审批同意后于1个工作日内提交到省卫生健康委审批办，省卫生健康委于1个工作日内审核材料，并核发医疗机构设置批准书、医疗机构执业登记许可证及甲类大型医用设备配置许可批复（注：目前省卫生健康委</w:t>
      </w:r>
      <w:r>
        <w:rPr>
          <w:rFonts w:hint="eastAsia" w:ascii="仿宋_GB2312" w:hAnsi="仿宋_GB2312" w:eastAsia="仿宋_GB2312" w:cs="仿宋_GB2312"/>
          <w:color w:val="000000" w:themeColor="text1"/>
          <w:sz w:val="28"/>
          <w:szCs w:val="28"/>
          <w:highlight w:val="none"/>
          <w14:textFill>
            <w14:solidFill>
              <w14:schemeClr w14:val="tx1"/>
            </w14:solidFill>
          </w14:textFill>
        </w:rPr>
        <w:t>已将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该</w:t>
      </w:r>
      <w:r>
        <w:rPr>
          <w:rFonts w:hint="eastAsia" w:ascii="仿宋_GB2312" w:hAnsi="仿宋_GB2312" w:eastAsia="仿宋_GB2312" w:cs="仿宋_GB2312"/>
          <w:color w:val="000000" w:themeColor="text1"/>
          <w:sz w:val="28"/>
          <w:szCs w:val="28"/>
          <w:highlight w:val="none"/>
          <w14:textFill>
            <w14:solidFill>
              <w14:schemeClr w14:val="tx1"/>
            </w14:solidFill>
          </w14:textFill>
        </w:rPr>
        <w:t>权限下放</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至</w:t>
      </w:r>
      <w:r>
        <w:rPr>
          <w:rFonts w:hint="eastAsia" w:ascii="仿宋_GB2312" w:hAnsi="仿宋_GB2312" w:eastAsia="仿宋_GB2312" w:cs="仿宋_GB2312"/>
          <w:color w:val="000000" w:themeColor="text1"/>
          <w:sz w:val="28"/>
          <w:szCs w:val="28"/>
          <w:highlight w:val="none"/>
          <w14:textFill>
            <w14:solidFill>
              <w14:schemeClr w14:val="tx1"/>
            </w14:solidFill>
          </w14:textFill>
        </w:rPr>
        <w:t>乐城管理局审批</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[4]六统一：</w:t>
      </w:r>
      <w:r>
        <w:rPr>
          <w:rFonts w:hint="eastAsia" w:ascii="仿宋_GB2312" w:hAnsi="仿宋_GB2312" w:eastAsia="仿宋_GB2312" w:cs="仿宋_GB2312"/>
          <w:color w:val="000000" w:themeColor="text1"/>
          <w:sz w:val="28"/>
          <w:szCs w:val="28"/>
          <w:highlight w:val="none"/>
          <w14:textFill>
            <w14:solidFill>
              <w14:schemeClr w14:val="tx1"/>
            </w14:solidFill>
          </w14:textFill>
        </w:rPr>
        <w:t>对成员单位</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实行行政、人员、财务、质量、药械、信息六统一管理。</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[5]三极一带一区：</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三极”是指由海口、澄迈、文昌、定安、屯昌等市县组成的海口经济圈，由三亚、陵水、乐东、保亭等市县组成的三亚经济圈，由儋州洋浦一体化融合发展组成的儋洋经济圈；“一带”是指由海口、文昌、琼海、万宁、陵水、三亚、乐东、东方、昌江、儋州、临高、澄迈等临海市县组成的滨海城市带；“一区”是指由五指山、保亭、琼中、白沙等中部市县组成的中部生态保育区。</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全健康</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地区、国家和全球多学科的协同合作，以实现人类、动物和环境的最佳健康状况。</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[7]“一本三基四梁八柱”：</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即“一本”：坚持以习近平总书记关于海南工作的系列重要讲话和指示批示为根本遵循；“三基”：以《中共中央、国务院关于支持海南全面深化改革开放的指导意见》《海南自由贸易港建设总体方案》《中华人民共和国海南自由贸易港法》为制度基石；“四梁”：以全面深化改革开放试验区、国家生态文明试验区、国际旅游消费中心、国家重大战略服务保障区为目标定位；“八柱”：以政策环境、法治环境、营商环境、生态环境、经济发展体系、社会治理体系、风险防控体系、组织领导体系为稳固支撑。</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[8]四大体系：</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国际化公共卫生体系、整合化医疗卫生服务体系、特色化健康产业体系和现代化卫生健康治理体系。</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[9]正确把握五种关系：</w:t>
      </w:r>
      <w:r>
        <w:rPr>
          <w:rFonts w:hint="eastAsia" w:ascii="仿宋_GB2312" w:hAnsi="仿宋_GB2312" w:eastAsia="仿宋_GB2312" w:cs="仿宋_GB2312"/>
          <w:color w:val="000000" w:themeColor="text1"/>
          <w:sz w:val="28"/>
          <w:szCs w:val="28"/>
          <w:highlight w:val="none"/>
          <w14:textFill>
            <w14:solidFill>
              <w14:schemeClr w14:val="tx1"/>
            </w14:solidFill>
          </w14:textFill>
        </w:rPr>
        <w:t>正确把握整体推进和重点突破的关系；正确把握总体谋划和久久为功的关系；正确把握破除旧动能和培育新动能的关系；正确把握维护公平与讲求效率的关系；正确把握政府与市场的关系；正确把握改革、发展和稳定的关系；正确把握尽力而为与量力而行的关系</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[10]三医联动:</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卫生体制改革、医保体制改革与药品流通体制改革联动，即医疗、医保、医药改革联动。</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[11]三减三健：</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减盐、减油、减糖，健康口腔、健康体重、健康骨骼。</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[12]“健康海南”18个专项行动：</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健康知识普及行动，合理膳食行动，全民健身行动，控烟行动，心理健康促进行动，健康环境促进行动，妇幼健康促进行动，中小学健康促进行动，职业健康保护行动，老年健康促进行动，心脑血管病防治行动，癌症防治行动，慢性呼吸系统疾病防治行动，糖尿病防治行动，传染病防控行动，健康产业促进行动，医疗服务能力提升行动，中医药健康促进行动。</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[13]母婴安全五项制度：</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妊娠风险筛查与评估、高危孕产妇专案管理、危急重症救治、孕产妇死亡个案报告和约谈通报制度。</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[14]三无流浪:</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无户籍、无亲友、无居住地流浪人员。</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[15]“2+3”健康服务包防治项目:</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“2（高血压、糖尿病）+3（肝炎、肺结核、重性精神疾病）”健康服务包防治项目。</w:t>
      </w:r>
    </w:p>
    <w:p>
      <w:pPr>
        <w:numPr>
          <w:ilvl w:val="-1"/>
          <w:numId w:val="0"/>
        </w:numPr>
        <w:spacing w:line="560" w:lineRule="exact"/>
        <w:ind w:left="0" w:leftChars="0" w:firstLine="562" w:firstLineChars="200"/>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[16]公共卫生防控救治7大能力：</w:t>
      </w:r>
      <w:r>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t>发热门诊、可转换病区、可转换ICU、生物安全实验室、传染病检测、医疗废弃物处理、急诊急救等能力。</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[17]市级医院五大救治中心：</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胸痛中心、卒中中心、创伤中心、危重孕产妇救治中心、危重儿童和新生儿救治中心。</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[18]</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临床服务五大中心</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肿瘤防治中心、慢病管理中心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微创介入中心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麻醉疼痛诊疗中心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重症监护中心。</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[19]三地六中心：</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国际医疗旅游目的地、尖端医学技术研发和转化基地、国家级新的医疗机构集聚地；特色明显、技术先进的临床医学中心，中医特色医疗康复中心，国际标准的健康体检中心，国际著名医疗机构在中国的展示窗口和后续治疗中心，罕见病临床医学中心，国际医学交流中心。</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[20]“三个转变”：</w:t>
      </w:r>
      <w:r>
        <w:rPr>
          <w:rFonts w:hint="eastAsia" w:ascii="仿宋_GB2312" w:hAnsi="仿宋_GB2312" w:eastAsia="仿宋_GB2312" w:cs="仿宋_GB2312"/>
          <w:color w:val="000000" w:themeColor="text1"/>
          <w:sz w:val="28"/>
          <w:szCs w:val="28"/>
          <w:highlight w:val="none"/>
          <w14:textFill>
            <w14:solidFill>
              <w14:schemeClr w14:val="tx1"/>
            </w14:solidFill>
          </w14:textFill>
        </w:rPr>
        <w:t>从硬件能力形成向核心能力形成转变，聚焦“医”这个核心，引进优质医院和医生</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从建设模式形成向盈利模式形成转变，推动可持续高质量发展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从政策优势向医药联动优势转变，打造产业创新发展高地</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numPr>
          <w:ilvl w:val="-1"/>
          <w:numId w:val="0"/>
        </w:numPr>
        <w:spacing w:line="560" w:lineRule="exact"/>
        <w:ind w:left="0" w:leftChars="0" w:firstLine="562" w:firstLineChars="200"/>
        <w:rPr>
          <w:highlight w:val="none"/>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[21]五不变：</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对各成员单位法人资格、机构性质、人员身份、投入保障和资产权属保持不变。</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[22]两个允许：</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允许医疗卫生机构突破现行事业单位工资调控水平，允许医疗服务收入扣除成本并按规定提取各项基金后主要用于人员奖励。</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[23]“妇幼双百”项目：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从2017年起面向全国公开招聘儿科、妇产科医生各100名，通过实施人才引进，推动解决我省妇幼卫生服务资源短缺问题。</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[24]“银发精英”项目：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聚焦“候鸟型”人才，吸引退休高层次医疗卫生人才来琼服务。</w:t>
      </w:r>
    </w:p>
    <w:p>
      <w:pPr>
        <w:numPr>
          <w:ilvl w:val="-1"/>
          <w:numId w:val="0"/>
        </w:numPr>
        <w:spacing w:line="560" w:lineRule="exact"/>
        <w:ind w:left="0" w:leftChars="0" w:firstLine="562"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[25]“京医老专家”项目：</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加强京琼两地医疗卫生帮扶合作，由国家卫生健康委每年组织退休名医和老专家到我省开展门诊、查房、手术、科研教学等医疗支援活动。</w:t>
      </w:r>
    </w:p>
    <w:p>
      <w:pP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p>
    <w:p>
      <w:pPr>
        <w:numPr>
          <w:ilvl w:val="-1"/>
          <w:numId w:val="0"/>
        </w:numPr>
        <w:spacing w:line="560" w:lineRule="exact"/>
        <w:ind w:left="0" w:leftChars="0"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p>
    <w:p>
      <w:pPr>
        <w:numPr>
          <w:ilvl w:val="-1"/>
          <w:numId w:val="0"/>
        </w:numPr>
        <w:spacing w:line="560" w:lineRule="exact"/>
        <w:ind w:left="0" w:leftChars="0"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p>
    <w:p>
      <w:pPr>
        <w:rPr>
          <w:color w:val="000000" w:themeColor="text1"/>
          <w:highlight w:val="none"/>
          <w14:textFill>
            <w14:solidFill>
              <w14:schemeClr w14:val="tx1"/>
            </w14:solidFill>
          </w14:textFill>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eastAsia" w:ascii="仿宋_GB2312" w:hAnsi="Calibri" w:eastAsia="仿宋_GB2312" w:cs="Times New Roman"/>
        <w:sz w:val="21"/>
        <w:szCs w:val="21"/>
        <w:lang w:eastAsia="zh-CN"/>
      </w:rPr>
    </w:pPr>
    <w:r>
      <w:rPr>
        <w:rFonts w:hint="eastAsia" w:ascii="仿宋_GB2312" w:hAnsi="Calibri" w:eastAsia="仿宋_GB2312" w:cs="Times New Roman"/>
        <w:sz w:val="21"/>
        <w:szCs w:val="21"/>
      </w:rPr>
      <w:t>琼海市“十四五”卫生健康发展规划</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MzZjNjdhOTM0MjRhM2E2MWQwYzUxOTk2YzcxNzIifQ=="/>
  </w:docVars>
  <w:rsids>
    <w:rsidRoot w:val="00172A27"/>
    <w:rsid w:val="00067B73"/>
    <w:rsid w:val="001E24C4"/>
    <w:rsid w:val="00384C85"/>
    <w:rsid w:val="003C5C9D"/>
    <w:rsid w:val="00427EEC"/>
    <w:rsid w:val="00495740"/>
    <w:rsid w:val="004F7285"/>
    <w:rsid w:val="005D272D"/>
    <w:rsid w:val="005F5DC6"/>
    <w:rsid w:val="00683AF6"/>
    <w:rsid w:val="00833E5F"/>
    <w:rsid w:val="008B4BB8"/>
    <w:rsid w:val="008F3397"/>
    <w:rsid w:val="009377BF"/>
    <w:rsid w:val="00A01EEA"/>
    <w:rsid w:val="00A46474"/>
    <w:rsid w:val="00A864CF"/>
    <w:rsid w:val="00A96B1E"/>
    <w:rsid w:val="00B164AA"/>
    <w:rsid w:val="00CA0CD7"/>
    <w:rsid w:val="00E070E3"/>
    <w:rsid w:val="00E50D22"/>
    <w:rsid w:val="00EA6425"/>
    <w:rsid w:val="00F20DD0"/>
    <w:rsid w:val="00F82B80"/>
    <w:rsid w:val="00FA78BC"/>
    <w:rsid w:val="010C0A0C"/>
    <w:rsid w:val="01160992"/>
    <w:rsid w:val="011A5956"/>
    <w:rsid w:val="011C68E3"/>
    <w:rsid w:val="011E1DB1"/>
    <w:rsid w:val="012077DB"/>
    <w:rsid w:val="01213882"/>
    <w:rsid w:val="012D06B3"/>
    <w:rsid w:val="014334FE"/>
    <w:rsid w:val="01576CB1"/>
    <w:rsid w:val="01594BED"/>
    <w:rsid w:val="015E5599"/>
    <w:rsid w:val="01642F28"/>
    <w:rsid w:val="01717D2B"/>
    <w:rsid w:val="0172324B"/>
    <w:rsid w:val="017839F9"/>
    <w:rsid w:val="017D3FEC"/>
    <w:rsid w:val="01832E15"/>
    <w:rsid w:val="018637F6"/>
    <w:rsid w:val="018B7DC0"/>
    <w:rsid w:val="01A151A5"/>
    <w:rsid w:val="01AA1967"/>
    <w:rsid w:val="01AF7488"/>
    <w:rsid w:val="01B2381A"/>
    <w:rsid w:val="01B8581E"/>
    <w:rsid w:val="01BC3A17"/>
    <w:rsid w:val="01EB7F5B"/>
    <w:rsid w:val="02022A39"/>
    <w:rsid w:val="0204304A"/>
    <w:rsid w:val="02164F60"/>
    <w:rsid w:val="02267515"/>
    <w:rsid w:val="023F71E7"/>
    <w:rsid w:val="02451A3A"/>
    <w:rsid w:val="02477856"/>
    <w:rsid w:val="024D2C06"/>
    <w:rsid w:val="024E4D3C"/>
    <w:rsid w:val="02521BAE"/>
    <w:rsid w:val="02541647"/>
    <w:rsid w:val="02721A02"/>
    <w:rsid w:val="0279738C"/>
    <w:rsid w:val="027E06F4"/>
    <w:rsid w:val="02804724"/>
    <w:rsid w:val="02907E5B"/>
    <w:rsid w:val="02942976"/>
    <w:rsid w:val="02BB440C"/>
    <w:rsid w:val="02DB0459"/>
    <w:rsid w:val="02F9524F"/>
    <w:rsid w:val="03004E02"/>
    <w:rsid w:val="030604C9"/>
    <w:rsid w:val="030E6DD7"/>
    <w:rsid w:val="03151325"/>
    <w:rsid w:val="03153868"/>
    <w:rsid w:val="031811E2"/>
    <w:rsid w:val="03195159"/>
    <w:rsid w:val="03384072"/>
    <w:rsid w:val="033E7526"/>
    <w:rsid w:val="03485661"/>
    <w:rsid w:val="03556EE2"/>
    <w:rsid w:val="036477F1"/>
    <w:rsid w:val="0367393E"/>
    <w:rsid w:val="0389121A"/>
    <w:rsid w:val="039758E7"/>
    <w:rsid w:val="039C04F6"/>
    <w:rsid w:val="03A220DD"/>
    <w:rsid w:val="03A60C26"/>
    <w:rsid w:val="03B404DF"/>
    <w:rsid w:val="03B96901"/>
    <w:rsid w:val="03BA424E"/>
    <w:rsid w:val="03BF4D74"/>
    <w:rsid w:val="03C2192B"/>
    <w:rsid w:val="03DE2ED0"/>
    <w:rsid w:val="03E17B49"/>
    <w:rsid w:val="03F5226E"/>
    <w:rsid w:val="04126E65"/>
    <w:rsid w:val="041825C7"/>
    <w:rsid w:val="0422003D"/>
    <w:rsid w:val="042A6155"/>
    <w:rsid w:val="0440626D"/>
    <w:rsid w:val="044B31C6"/>
    <w:rsid w:val="04604065"/>
    <w:rsid w:val="04607366"/>
    <w:rsid w:val="0466469E"/>
    <w:rsid w:val="04827F19"/>
    <w:rsid w:val="048E0182"/>
    <w:rsid w:val="049C2D01"/>
    <w:rsid w:val="04C42335"/>
    <w:rsid w:val="04CB4BDD"/>
    <w:rsid w:val="04D0260C"/>
    <w:rsid w:val="04E02D9E"/>
    <w:rsid w:val="04E97D1A"/>
    <w:rsid w:val="0520621B"/>
    <w:rsid w:val="05297133"/>
    <w:rsid w:val="053235C7"/>
    <w:rsid w:val="05324742"/>
    <w:rsid w:val="05446EA0"/>
    <w:rsid w:val="054A51C9"/>
    <w:rsid w:val="055E2FDE"/>
    <w:rsid w:val="05602B68"/>
    <w:rsid w:val="05633BD8"/>
    <w:rsid w:val="05660798"/>
    <w:rsid w:val="05715C3B"/>
    <w:rsid w:val="05825BA9"/>
    <w:rsid w:val="05841CDA"/>
    <w:rsid w:val="058F525E"/>
    <w:rsid w:val="059F077A"/>
    <w:rsid w:val="05A20D6E"/>
    <w:rsid w:val="05A720EE"/>
    <w:rsid w:val="05AF05FA"/>
    <w:rsid w:val="05B677E8"/>
    <w:rsid w:val="05BD314C"/>
    <w:rsid w:val="05BF51A0"/>
    <w:rsid w:val="05D33970"/>
    <w:rsid w:val="05D8675E"/>
    <w:rsid w:val="05E75E62"/>
    <w:rsid w:val="05E80908"/>
    <w:rsid w:val="05ED544B"/>
    <w:rsid w:val="05EE511B"/>
    <w:rsid w:val="05F249C4"/>
    <w:rsid w:val="06024EB4"/>
    <w:rsid w:val="060C7EE0"/>
    <w:rsid w:val="06172DA3"/>
    <w:rsid w:val="06281577"/>
    <w:rsid w:val="062B6C8A"/>
    <w:rsid w:val="062C3BA7"/>
    <w:rsid w:val="063E72FB"/>
    <w:rsid w:val="065F6C6F"/>
    <w:rsid w:val="066F4C1B"/>
    <w:rsid w:val="06712EF1"/>
    <w:rsid w:val="06732B48"/>
    <w:rsid w:val="067E5471"/>
    <w:rsid w:val="06816217"/>
    <w:rsid w:val="06884782"/>
    <w:rsid w:val="068E2970"/>
    <w:rsid w:val="068F48D6"/>
    <w:rsid w:val="06927ACF"/>
    <w:rsid w:val="06B546E1"/>
    <w:rsid w:val="06B97C3A"/>
    <w:rsid w:val="06C02773"/>
    <w:rsid w:val="06C04C2B"/>
    <w:rsid w:val="06D53969"/>
    <w:rsid w:val="06D7513E"/>
    <w:rsid w:val="06E938A9"/>
    <w:rsid w:val="06F4287B"/>
    <w:rsid w:val="06F42E09"/>
    <w:rsid w:val="070223CA"/>
    <w:rsid w:val="070776D3"/>
    <w:rsid w:val="070A3F31"/>
    <w:rsid w:val="07103340"/>
    <w:rsid w:val="071C11F5"/>
    <w:rsid w:val="071C5FAD"/>
    <w:rsid w:val="072D6A43"/>
    <w:rsid w:val="072E66EF"/>
    <w:rsid w:val="07397B77"/>
    <w:rsid w:val="07400A75"/>
    <w:rsid w:val="074A1E8C"/>
    <w:rsid w:val="074B606A"/>
    <w:rsid w:val="07567D99"/>
    <w:rsid w:val="075F07AF"/>
    <w:rsid w:val="07637054"/>
    <w:rsid w:val="077022D0"/>
    <w:rsid w:val="077E0BEA"/>
    <w:rsid w:val="079654A6"/>
    <w:rsid w:val="079F6CEE"/>
    <w:rsid w:val="07BC2207"/>
    <w:rsid w:val="07C03E2B"/>
    <w:rsid w:val="07DA53D9"/>
    <w:rsid w:val="07DF38AE"/>
    <w:rsid w:val="07E52DF9"/>
    <w:rsid w:val="07E93900"/>
    <w:rsid w:val="07F46CBF"/>
    <w:rsid w:val="07FD1373"/>
    <w:rsid w:val="08100D1C"/>
    <w:rsid w:val="082861B5"/>
    <w:rsid w:val="08401CD2"/>
    <w:rsid w:val="084B567C"/>
    <w:rsid w:val="08536ADA"/>
    <w:rsid w:val="085D4A47"/>
    <w:rsid w:val="085E17C5"/>
    <w:rsid w:val="08621BA9"/>
    <w:rsid w:val="087566B7"/>
    <w:rsid w:val="08911D7E"/>
    <w:rsid w:val="089325A9"/>
    <w:rsid w:val="08977C55"/>
    <w:rsid w:val="08A9066C"/>
    <w:rsid w:val="08B26BFD"/>
    <w:rsid w:val="08B5207F"/>
    <w:rsid w:val="08C41699"/>
    <w:rsid w:val="08C5610E"/>
    <w:rsid w:val="08EE4A4B"/>
    <w:rsid w:val="08EF01A4"/>
    <w:rsid w:val="08FF4514"/>
    <w:rsid w:val="0908760D"/>
    <w:rsid w:val="09095327"/>
    <w:rsid w:val="090A76DB"/>
    <w:rsid w:val="090F3D7E"/>
    <w:rsid w:val="092477E8"/>
    <w:rsid w:val="092C3C03"/>
    <w:rsid w:val="092F68CB"/>
    <w:rsid w:val="093615AB"/>
    <w:rsid w:val="093C4F52"/>
    <w:rsid w:val="09450DE6"/>
    <w:rsid w:val="0948146C"/>
    <w:rsid w:val="095D58D4"/>
    <w:rsid w:val="096974FC"/>
    <w:rsid w:val="09797CA0"/>
    <w:rsid w:val="097D2D40"/>
    <w:rsid w:val="09907CA6"/>
    <w:rsid w:val="09AD0B01"/>
    <w:rsid w:val="09B45A35"/>
    <w:rsid w:val="09B61ECE"/>
    <w:rsid w:val="09CD613C"/>
    <w:rsid w:val="09E31D1A"/>
    <w:rsid w:val="09EC3F27"/>
    <w:rsid w:val="09F33947"/>
    <w:rsid w:val="09F640F6"/>
    <w:rsid w:val="09FB64A0"/>
    <w:rsid w:val="0A01499C"/>
    <w:rsid w:val="0A022207"/>
    <w:rsid w:val="0A1C74E4"/>
    <w:rsid w:val="0A234D69"/>
    <w:rsid w:val="0A286904"/>
    <w:rsid w:val="0A3D70BB"/>
    <w:rsid w:val="0A4018E4"/>
    <w:rsid w:val="0A435899"/>
    <w:rsid w:val="0A475979"/>
    <w:rsid w:val="0A496EEB"/>
    <w:rsid w:val="0A566450"/>
    <w:rsid w:val="0A5B7536"/>
    <w:rsid w:val="0A7708D5"/>
    <w:rsid w:val="0A816384"/>
    <w:rsid w:val="0A950D44"/>
    <w:rsid w:val="0A957312"/>
    <w:rsid w:val="0A9E7BA1"/>
    <w:rsid w:val="0AA4547A"/>
    <w:rsid w:val="0AB051A3"/>
    <w:rsid w:val="0ABC45BD"/>
    <w:rsid w:val="0AC453DC"/>
    <w:rsid w:val="0AC724E6"/>
    <w:rsid w:val="0ACE7F9F"/>
    <w:rsid w:val="0AE72C5A"/>
    <w:rsid w:val="0AEC4B9D"/>
    <w:rsid w:val="0AF0205D"/>
    <w:rsid w:val="0AFB3DBB"/>
    <w:rsid w:val="0B0A4F9C"/>
    <w:rsid w:val="0B1167F9"/>
    <w:rsid w:val="0B1932AB"/>
    <w:rsid w:val="0B254598"/>
    <w:rsid w:val="0B3417DF"/>
    <w:rsid w:val="0B400B42"/>
    <w:rsid w:val="0B4718A1"/>
    <w:rsid w:val="0B4768B2"/>
    <w:rsid w:val="0B4A750B"/>
    <w:rsid w:val="0B5131D0"/>
    <w:rsid w:val="0B5E328F"/>
    <w:rsid w:val="0B612579"/>
    <w:rsid w:val="0B6355EB"/>
    <w:rsid w:val="0B7871E7"/>
    <w:rsid w:val="0B840E65"/>
    <w:rsid w:val="0B8B058E"/>
    <w:rsid w:val="0B8C010C"/>
    <w:rsid w:val="0B995336"/>
    <w:rsid w:val="0B99549D"/>
    <w:rsid w:val="0BAD2D39"/>
    <w:rsid w:val="0BCB1F00"/>
    <w:rsid w:val="0BCC3E6E"/>
    <w:rsid w:val="0BD24D95"/>
    <w:rsid w:val="0BE32FDC"/>
    <w:rsid w:val="0BE509CC"/>
    <w:rsid w:val="0BED76A5"/>
    <w:rsid w:val="0BF526B4"/>
    <w:rsid w:val="0BF91253"/>
    <w:rsid w:val="0BFC2927"/>
    <w:rsid w:val="0C145EB6"/>
    <w:rsid w:val="0C190766"/>
    <w:rsid w:val="0C2054B3"/>
    <w:rsid w:val="0C265FF3"/>
    <w:rsid w:val="0C4C1E7D"/>
    <w:rsid w:val="0C546444"/>
    <w:rsid w:val="0C577514"/>
    <w:rsid w:val="0C6F2D7E"/>
    <w:rsid w:val="0C700CDA"/>
    <w:rsid w:val="0C70502E"/>
    <w:rsid w:val="0C7235A6"/>
    <w:rsid w:val="0C8B7FC1"/>
    <w:rsid w:val="0C8D6A73"/>
    <w:rsid w:val="0CA57B4C"/>
    <w:rsid w:val="0CBE2143"/>
    <w:rsid w:val="0CD71DD2"/>
    <w:rsid w:val="0CDC3E1A"/>
    <w:rsid w:val="0CE673AA"/>
    <w:rsid w:val="0D0F49A6"/>
    <w:rsid w:val="0D0F6CF8"/>
    <w:rsid w:val="0D174921"/>
    <w:rsid w:val="0D185A68"/>
    <w:rsid w:val="0D285592"/>
    <w:rsid w:val="0D2E59E6"/>
    <w:rsid w:val="0D314C3C"/>
    <w:rsid w:val="0D4F7BA9"/>
    <w:rsid w:val="0D5E75EF"/>
    <w:rsid w:val="0D6309FA"/>
    <w:rsid w:val="0D660DAB"/>
    <w:rsid w:val="0D683543"/>
    <w:rsid w:val="0D713E92"/>
    <w:rsid w:val="0D72153F"/>
    <w:rsid w:val="0D771F9F"/>
    <w:rsid w:val="0D7E2C3C"/>
    <w:rsid w:val="0D8D37D2"/>
    <w:rsid w:val="0DA24266"/>
    <w:rsid w:val="0DA36253"/>
    <w:rsid w:val="0DA44A34"/>
    <w:rsid w:val="0DAA352B"/>
    <w:rsid w:val="0DAC1CE4"/>
    <w:rsid w:val="0DB948A6"/>
    <w:rsid w:val="0DC53667"/>
    <w:rsid w:val="0DEC0A6A"/>
    <w:rsid w:val="0DEF0AC2"/>
    <w:rsid w:val="0E203CA0"/>
    <w:rsid w:val="0E2710BA"/>
    <w:rsid w:val="0E415413"/>
    <w:rsid w:val="0E43308A"/>
    <w:rsid w:val="0E47023A"/>
    <w:rsid w:val="0E636B8E"/>
    <w:rsid w:val="0E6A57DA"/>
    <w:rsid w:val="0E716BBA"/>
    <w:rsid w:val="0E7721E8"/>
    <w:rsid w:val="0E776376"/>
    <w:rsid w:val="0E7D5F5B"/>
    <w:rsid w:val="0E8F4C66"/>
    <w:rsid w:val="0E9237AA"/>
    <w:rsid w:val="0E9C702D"/>
    <w:rsid w:val="0EB04D89"/>
    <w:rsid w:val="0EC203DE"/>
    <w:rsid w:val="0EC437C6"/>
    <w:rsid w:val="0EC902B7"/>
    <w:rsid w:val="0EEC3208"/>
    <w:rsid w:val="0EEE6484"/>
    <w:rsid w:val="0EF102B8"/>
    <w:rsid w:val="0EF46F88"/>
    <w:rsid w:val="0F144695"/>
    <w:rsid w:val="0F1E5984"/>
    <w:rsid w:val="0F230FBD"/>
    <w:rsid w:val="0F270DE0"/>
    <w:rsid w:val="0F2C2A9E"/>
    <w:rsid w:val="0F511F67"/>
    <w:rsid w:val="0F530E2D"/>
    <w:rsid w:val="0F5B6C84"/>
    <w:rsid w:val="0F677CDE"/>
    <w:rsid w:val="0F702F52"/>
    <w:rsid w:val="0F87712B"/>
    <w:rsid w:val="0F8B425B"/>
    <w:rsid w:val="0F8E1EE0"/>
    <w:rsid w:val="0F965B2A"/>
    <w:rsid w:val="0FBD432D"/>
    <w:rsid w:val="0FCF04DE"/>
    <w:rsid w:val="0FD21EC0"/>
    <w:rsid w:val="0FDA4614"/>
    <w:rsid w:val="0FDE335E"/>
    <w:rsid w:val="0FE82228"/>
    <w:rsid w:val="0FF60D73"/>
    <w:rsid w:val="0FF83AD8"/>
    <w:rsid w:val="10061ACB"/>
    <w:rsid w:val="100B7B8E"/>
    <w:rsid w:val="10277968"/>
    <w:rsid w:val="102F52B0"/>
    <w:rsid w:val="10506A49"/>
    <w:rsid w:val="10523E3D"/>
    <w:rsid w:val="106D1A74"/>
    <w:rsid w:val="108F512C"/>
    <w:rsid w:val="10940019"/>
    <w:rsid w:val="10A26BBF"/>
    <w:rsid w:val="10A87811"/>
    <w:rsid w:val="10B60F71"/>
    <w:rsid w:val="10BD1DF0"/>
    <w:rsid w:val="10BE2376"/>
    <w:rsid w:val="10C64CB8"/>
    <w:rsid w:val="10C96DB5"/>
    <w:rsid w:val="10D60F27"/>
    <w:rsid w:val="10DB6A9C"/>
    <w:rsid w:val="10E162E4"/>
    <w:rsid w:val="10E4374B"/>
    <w:rsid w:val="10EC7C57"/>
    <w:rsid w:val="10EE2FD0"/>
    <w:rsid w:val="110D1B36"/>
    <w:rsid w:val="111B2C9B"/>
    <w:rsid w:val="112744DD"/>
    <w:rsid w:val="112E2B13"/>
    <w:rsid w:val="113A4795"/>
    <w:rsid w:val="11595818"/>
    <w:rsid w:val="115F2579"/>
    <w:rsid w:val="115F447B"/>
    <w:rsid w:val="11641850"/>
    <w:rsid w:val="11653064"/>
    <w:rsid w:val="116946CE"/>
    <w:rsid w:val="116957A4"/>
    <w:rsid w:val="116E0848"/>
    <w:rsid w:val="117A210F"/>
    <w:rsid w:val="117E201A"/>
    <w:rsid w:val="1181118B"/>
    <w:rsid w:val="11846057"/>
    <w:rsid w:val="11B47C78"/>
    <w:rsid w:val="11BC1755"/>
    <w:rsid w:val="11BE0501"/>
    <w:rsid w:val="11C0480B"/>
    <w:rsid w:val="11C931FF"/>
    <w:rsid w:val="11D861DF"/>
    <w:rsid w:val="11E0743D"/>
    <w:rsid w:val="11F869BE"/>
    <w:rsid w:val="122A2440"/>
    <w:rsid w:val="12357FE7"/>
    <w:rsid w:val="123F098C"/>
    <w:rsid w:val="124832D0"/>
    <w:rsid w:val="1248554D"/>
    <w:rsid w:val="124D660D"/>
    <w:rsid w:val="124F4886"/>
    <w:rsid w:val="124F7DED"/>
    <w:rsid w:val="125366A2"/>
    <w:rsid w:val="12572844"/>
    <w:rsid w:val="125A3098"/>
    <w:rsid w:val="125C3C12"/>
    <w:rsid w:val="1269359E"/>
    <w:rsid w:val="127D3560"/>
    <w:rsid w:val="1295276B"/>
    <w:rsid w:val="12961964"/>
    <w:rsid w:val="129A5D0D"/>
    <w:rsid w:val="12A46E8C"/>
    <w:rsid w:val="12AC50B1"/>
    <w:rsid w:val="12AF1D90"/>
    <w:rsid w:val="12B9028A"/>
    <w:rsid w:val="12C20D76"/>
    <w:rsid w:val="12C624DB"/>
    <w:rsid w:val="12C71FBA"/>
    <w:rsid w:val="12C9255D"/>
    <w:rsid w:val="12CD56D4"/>
    <w:rsid w:val="12D66772"/>
    <w:rsid w:val="12EF75D8"/>
    <w:rsid w:val="12F02942"/>
    <w:rsid w:val="12F708E7"/>
    <w:rsid w:val="12F92E99"/>
    <w:rsid w:val="130257F4"/>
    <w:rsid w:val="131C6139"/>
    <w:rsid w:val="131D25CC"/>
    <w:rsid w:val="134B251F"/>
    <w:rsid w:val="135658CB"/>
    <w:rsid w:val="135A7E3C"/>
    <w:rsid w:val="13646ECC"/>
    <w:rsid w:val="13677D45"/>
    <w:rsid w:val="13726D9D"/>
    <w:rsid w:val="138021B6"/>
    <w:rsid w:val="1380746D"/>
    <w:rsid w:val="138158B9"/>
    <w:rsid w:val="13830E61"/>
    <w:rsid w:val="13855EF2"/>
    <w:rsid w:val="139B2013"/>
    <w:rsid w:val="13A34A24"/>
    <w:rsid w:val="13A720E7"/>
    <w:rsid w:val="13A9410D"/>
    <w:rsid w:val="13AC63C6"/>
    <w:rsid w:val="13B008F1"/>
    <w:rsid w:val="13B27162"/>
    <w:rsid w:val="13B3177C"/>
    <w:rsid w:val="13B72CDE"/>
    <w:rsid w:val="13BF622F"/>
    <w:rsid w:val="13E85C58"/>
    <w:rsid w:val="13E93373"/>
    <w:rsid w:val="13F43213"/>
    <w:rsid w:val="143029C9"/>
    <w:rsid w:val="14316BE2"/>
    <w:rsid w:val="14321061"/>
    <w:rsid w:val="14360EFE"/>
    <w:rsid w:val="143C1F6E"/>
    <w:rsid w:val="14564653"/>
    <w:rsid w:val="145C211E"/>
    <w:rsid w:val="1465545D"/>
    <w:rsid w:val="146D7F04"/>
    <w:rsid w:val="146E0D72"/>
    <w:rsid w:val="148A3128"/>
    <w:rsid w:val="148E5D94"/>
    <w:rsid w:val="14904B06"/>
    <w:rsid w:val="14A0220A"/>
    <w:rsid w:val="14D05063"/>
    <w:rsid w:val="14D829F7"/>
    <w:rsid w:val="14F12ED8"/>
    <w:rsid w:val="14FB1A18"/>
    <w:rsid w:val="151F7246"/>
    <w:rsid w:val="152F0FED"/>
    <w:rsid w:val="15325473"/>
    <w:rsid w:val="155D5412"/>
    <w:rsid w:val="15695F7E"/>
    <w:rsid w:val="1573287E"/>
    <w:rsid w:val="15792A40"/>
    <w:rsid w:val="158333E4"/>
    <w:rsid w:val="1594503C"/>
    <w:rsid w:val="15AA6B9F"/>
    <w:rsid w:val="15AD5D5D"/>
    <w:rsid w:val="15B7743E"/>
    <w:rsid w:val="15C60E8C"/>
    <w:rsid w:val="15C61065"/>
    <w:rsid w:val="15C763D8"/>
    <w:rsid w:val="15D460EF"/>
    <w:rsid w:val="15DC100B"/>
    <w:rsid w:val="15E07EB1"/>
    <w:rsid w:val="15E14423"/>
    <w:rsid w:val="15E16935"/>
    <w:rsid w:val="15E77A83"/>
    <w:rsid w:val="15E90E85"/>
    <w:rsid w:val="15F377A7"/>
    <w:rsid w:val="15FF4DE1"/>
    <w:rsid w:val="16003084"/>
    <w:rsid w:val="160422E6"/>
    <w:rsid w:val="16082700"/>
    <w:rsid w:val="16091607"/>
    <w:rsid w:val="16120784"/>
    <w:rsid w:val="16121E7A"/>
    <w:rsid w:val="161F3A58"/>
    <w:rsid w:val="1627775B"/>
    <w:rsid w:val="163729FA"/>
    <w:rsid w:val="163D7204"/>
    <w:rsid w:val="16525BE9"/>
    <w:rsid w:val="165B35B2"/>
    <w:rsid w:val="16664C4C"/>
    <w:rsid w:val="166A0943"/>
    <w:rsid w:val="166F6D71"/>
    <w:rsid w:val="16897A0C"/>
    <w:rsid w:val="16897E1B"/>
    <w:rsid w:val="16915AEE"/>
    <w:rsid w:val="16B06531"/>
    <w:rsid w:val="16B60087"/>
    <w:rsid w:val="16BA31FD"/>
    <w:rsid w:val="16BE3473"/>
    <w:rsid w:val="16C63FA6"/>
    <w:rsid w:val="16DC399D"/>
    <w:rsid w:val="17003ECA"/>
    <w:rsid w:val="170812BC"/>
    <w:rsid w:val="171479A4"/>
    <w:rsid w:val="171806D2"/>
    <w:rsid w:val="17201C93"/>
    <w:rsid w:val="172403F8"/>
    <w:rsid w:val="172A0E98"/>
    <w:rsid w:val="1754043F"/>
    <w:rsid w:val="175A35EA"/>
    <w:rsid w:val="175E422C"/>
    <w:rsid w:val="176F692C"/>
    <w:rsid w:val="1770438F"/>
    <w:rsid w:val="17795930"/>
    <w:rsid w:val="177B66A0"/>
    <w:rsid w:val="177C7679"/>
    <w:rsid w:val="1786049E"/>
    <w:rsid w:val="17961895"/>
    <w:rsid w:val="17A60DFF"/>
    <w:rsid w:val="17B439A4"/>
    <w:rsid w:val="17DB3E91"/>
    <w:rsid w:val="17DD4A9F"/>
    <w:rsid w:val="17E15C79"/>
    <w:rsid w:val="17E304DE"/>
    <w:rsid w:val="17FE5FF5"/>
    <w:rsid w:val="181F3949"/>
    <w:rsid w:val="18292D3A"/>
    <w:rsid w:val="18351215"/>
    <w:rsid w:val="183D378D"/>
    <w:rsid w:val="18416BC1"/>
    <w:rsid w:val="18441988"/>
    <w:rsid w:val="18454273"/>
    <w:rsid w:val="184D7474"/>
    <w:rsid w:val="185C198D"/>
    <w:rsid w:val="18623A10"/>
    <w:rsid w:val="186662F2"/>
    <w:rsid w:val="187100D7"/>
    <w:rsid w:val="187F1BCD"/>
    <w:rsid w:val="187F46D4"/>
    <w:rsid w:val="18804E12"/>
    <w:rsid w:val="18845038"/>
    <w:rsid w:val="189266BC"/>
    <w:rsid w:val="18991F74"/>
    <w:rsid w:val="18AE2166"/>
    <w:rsid w:val="18B1157B"/>
    <w:rsid w:val="18BF3968"/>
    <w:rsid w:val="18CF09ED"/>
    <w:rsid w:val="18D37DA4"/>
    <w:rsid w:val="18D51213"/>
    <w:rsid w:val="18DA4E1A"/>
    <w:rsid w:val="18E21BD9"/>
    <w:rsid w:val="18E45FED"/>
    <w:rsid w:val="18E52585"/>
    <w:rsid w:val="18F0484B"/>
    <w:rsid w:val="18F5158E"/>
    <w:rsid w:val="18FD4DE3"/>
    <w:rsid w:val="19097F03"/>
    <w:rsid w:val="191627D9"/>
    <w:rsid w:val="192754BB"/>
    <w:rsid w:val="19437638"/>
    <w:rsid w:val="19466973"/>
    <w:rsid w:val="19571BA8"/>
    <w:rsid w:val="19685D39"/>
    <w:rsid w:val="199611E2"/>
    <w:rsid w:val="19BB619B"/>
    <w:rsid w:val="19D33E83"/>
    <w:rsid w:val="19D50053"/>
    <w:rsid w:val="19E57483"/>
    <w:rsid w:val="19EA14C0"/>
    <w:rsid w:val="19F10D52"/>
    <w:rsid w:val="1A19692C"/>
    <w:rsid w:val="1A201F6E"/>
    <w:rsid w:val="1A293BF7"/>
    <w:rsid w:val="1A3C25C5"/>
    <w:rsid w:val="1A6255B7"/>
    <w:rsid w:val="1A6D3379"/>
    <w:rsid w:val="1A7F68BE"/>
    <w:rsid w:val="1A872550"/>
    <w:rsid w:val="1A9B3984"/>
    <w:rsid w:val="1ABB1D39"/>
    <w:rsid w:val="1ABF5C5D"/>
    <w:rsid w:val="1AC70C9A"/>
    <w:rsid w:val="1ADA4D76"/>
    <w:rsid w:val="1AE8352D"/>
    <w:rsid w:val="1AF25533"/>
    <w:rsid w:val="1AF7054A"/>
    <w:rsid w:val="1B161B64"/>
    <w:rsid w:val="1B2177C0"/>
    <w:rsid w:val="1B230EC2"/>
    <w:rsid w:val="1B261C0E"/>
    <w:rsid w:val="1B2953ED"/>
    <w:rsid w:val="1B3601AB"/>
    <w:rsid w:val="1B3C74D4"/>
    <w:rsid w:val="1B3F6FF3"/>
    <w:rsid w:val="1B422063"/>
    <w:rsid w:val="1B4F0DB4"/>
    <w:rsid w:val="1B55617C"/>
    <w:rsid w:val="1B5C11D5"/>
    <w:rsid w:val="1B612E2B"/>
    <w:rsid w:val="1B651395"/>
    <w:rsid w:val="1B67322D"/>
    <w:rsid w:val="1B6A1014"/>
    <w:rsid w:val="1B6B3083"/>
    <w:rsid w:val="1B8B68C3"/>
    <w:rsid w:val="1B993FCE"/>
    <w:rsid w:val="1BA16794"/>
    <w:rsid w:val="1BA731FE"/>
    <w:rsid w:val="1BC70A61"/>
    <w:rsid w:val="1BCA0F72"/>
    <w:rsid w:val="1BCA62B3"/>
    <w:rsid w:val="1BCA78DB"/>
    <w:rsid w:val="1BEA11DD"/>
    <w:rsid w:val="1BEA5960"/>
    <w:rsid w:val="1C0A6D72"/>
    <w:rsid w:val="1C2B4473"/>
    <w:rsid w:val="1C390A64"/>
    <w:rsid w:val="1C465D71"/>
    <w:rsid w:val="1C494B68"/>
    <w:rsid w:val="1C50397C"/>
    <w:rsid w:val="1C5D4DB6"/>
    <w:rsid w:val="1C6E6CED"/>
    <w:rsid w:val="1C721194"/>
    <w:rsid w:val="1C7C079E"/>
    <w:rsid w:val="1C83650E"/>
    <w:rsid w:val="1C9D566A"/>
    <w:rsid w:val="1CA93A9B"/>
    <w:rsid w:val="1CBD69C8"/>
    <w:rsid w:val="1CDB3D51"/>
    <w:rsid w:val="1CE86D54"/>
    <w:rsid w:val="1CEF3E38"/>
    <w:rsid w:val="1CF37723"/>
    <w:rsid w:val="1CF55C16"/>
    <w:rsid w:val="1CF8662B"/>
    <w:rsid w:val="1CFD4906"/>
    <w:rsid w:val="1CFE39FE"/>
    <w:rsid w:val="1D02309A"/>
    <w:rsid w:val="1D034E9F"/>
    <w:rsid w:val="1D137208"/>
    <w:rsid w:val="1D172675"/>
    <w:rsid w:val="1D173F96"/>
    <w:rsid w:val="1D233574"/>
    <w:rsid w:val="1D2C5AC8"/>
    <w:rsid w:val="1D356EAE"/>
    <w:rsid w:val="1D8538AF"/>
    <w:rsid w:val="1D8A2023"/>
    <w:rsid w:val="1DA00C15"/>
    <w:rsid w:val="1DA0488D"/>
    <w:rsid w:val="1DA67D5E"/>
    <w:rsid w:val="1DA86DC0"/>
    <w:rsid w:val="1DAB3FE8"/>
    <w:rsid w:val="1DAD69F9"/>
    <w:rsid w:val="1DB21DE7"/>
    <w:rsid w:val="1DB2654D"/>
    <w:rsid w:val="1DB768C9"/>
    <w:rsid w:val="1DBD76AE"/>
    <w:rsid w:val="1DBF40C2"/>
    <w:rsid w:val="1DC27652"/>
    <w:rsid w:val="1DC723F0"/>
    <w:rsid w:val="1DCB5678"/>
    <w:rsid w:val="1DCC4A65"/>
    <w:rsid w:val="1DE1698B"/>
    <w:rsid w:val="1DE2197F"/>
    <w:rsid w:val="1DE253C4"/>
    <w:rsid w:val="1DE9642A"/>
    <w:rsid w:val="1DFE7628"/>
    <w:rsid w:val="1E00713F"/>
    <w:rsid w:val="1E027DBF"/>
    <w:rsid w:val="1E0C28B5"/>
    <w:rsid w:val="1E154B50"/>
    <w:rsid w:val="1E1E6B7A"/>
    <w:rsid w:val="1E2069F1"/>
    <w:rsid w:val="1E222221"/>
    <w:rsid w:val="1E2D7BB0"/>
    <w:rsid w:val="1E357891"/>
    <w:rsid w:val="1E3A08CA"/>
    <w:rsid w:val="1E452EC6"/>
    <w:rsid w:val="1E49571E"/>
    <w:rsid w:val="1E5C30AA"/>
    <w:rsid w:val="1E7A2138"/>
    <w:rsid w:val="1E7B625B"/>
    <w:rsid w:val="1E837ECD"/>
    <w:rsid w:val="1E856667"/>
    <w:rsid w:val="1E8601C2"/>
    <w:rsid w:val="1E87070D"/>
    <w:rsid w:val="1E90414F"/>
    <w:rsid w:val="1EA34280"/>
    <w:rsid w:val="1EA816DE"/>
    <w:rsid w:val="1EBB68E1"/>
    <w:rsid w:val="1EC41621"/>
    <w:rsid w:val="1EC41FC5"/>
    <w:rsid w:val="1EC53641"/>
    <w:rsid w:val="1EC9029F"/>
    <w:rsid w:val="1EE0573F"/>
    <w:rsid w:val="1EFD5113"/>
    <w:rsid w:val="1F002E6C"/>
    <w:rsid w:val="1F033FFB"/>
    <w:rsid w:val="1F0559A3"/>
    <w:rsid w:val="1F065DFC"/>
    <w:rsid w:val="1F0E0FAD"/>
    <w:rsid w:val="1F2928EB"/>
    <w:rsid w:val="1F4B41AE"/>
    <w:rsid w:val="1F5354AA"/>
    <w:rsid w:val="1F5B6322"/>
    <w:rsid w:val="1F620DD6"/>
    <w:rsid w:val="1F645F37"/>
    <w:rsid w:val="1F6E64C0"/>
    <w:rsid w:val="1F713F27"/>
    <w:rsid w:val="1F726F24"/>
    <w:rsid w:val="1F871565"/>
    <w:rsid w:val="1F9A773F"/>
    <w:rsid w:val="1FA97840"/>
    <w:rsid w:val="1FC12550"/>
    <w:rsid w:val="1FD84E18"/>
    <w:rsid w:val="1FDD15E4"/>
    <w:rsid w:val="1FEA636A"/>
    <w:rsid w:val="20132B63"/>
    <w:rsid w:val="2021795D"/>
    <w:rsid w:val="202A0FBC"/>
    <w:rsid w:val="20405E72"/>
    <w:rsid w:val="204600D2"/>
    <w:rsid w:val="2048319C"/>
    <w:rsid w:val="205A0F65"/>
    <w:rsid w:val="205A240A"/>
    <w:rsid w:val="205C392A"/>
    <w:rsid w:val="205E2AA0"/>
    <w:rsid w:val="20621434"/>
    <w:rsid w:val="20741DDC"/>
    <w:rsid w:val="207C3613"/>
    <w:rsid w:val="207C4356"/>
    <w:rsid w:val="20AF5256"/>
    <w:rsid w:val="20B83E7A"/>
    <w:rsid w:val="20BF586C"/>
    <w:rsid w:val="20C0135E"/>
    <w:rsid w:val="20C96CEF"/>
    <w:rsid w:val="20CA3B7E"/>
    <w:rsid w:val="20CC6B3E"/>
    <w:rsid w:val="20DF7B39"/>
    <w:rsid w:val="20EA78C5"/>
    <w:rsid w:val="20F52745"/>
    <w:rsid w:val="20F56EA6"/>
    <w:rsid w:val="20F856D6"/>
    <w:rsid w:val="210B7CB6"/>
    <w:rsid w:val="21164497"/>
    <w:rsid w:val="211D1ADF"/>
    <w:rsid w:val="21371CE6"/>
    <w:rsid w:val="21407BC2"/>
    <w:rsid w:val="214B1AD5"/>
    <w:rsid w:val="21524AC7"/>
    <w:rsid w:val="2159622D"/>
    <w:rsid w:val="21616C04"/>
    <w:rsid w:val="216758DB"/>
    <w:rsid w:val="216761CE"/>
    <w:rsid w:val="217541B8"/>
    <w:rsid w:val="219A40A4"/>
    <w:rsid w:val="219B0E42"/>
    <w:rsid w:val="21A83067"/>
    <w:rsid w:val="21A94C3E"/>
    <w:rsid w:val="21B055C2"/>
    <w:rsid w:val="21CA3891"/>
    <w:rsid w:val="22004D41"/>
    <w:rsid w:val="220277A5"/>
    <w:rsid w:val="22123047"/>
    <w:rsid w:val="22194C20"/>
    <w:rsid w:val="221C7B69"/>
    <w:rsid w:val="221F0FFC"/>
    <w:rsid w:val="22211541"/>
    <w:rsid w:val="222A3C54"/>
    <w:rsid w:val="223A0C3F"/>
    <w:rsid w:val="223B7E96"/>
    <w:rsid w:val="223D5253"/>
    <w:rsid w:val="22450F2F"/>
    <w:rsid w:val="22544B45"/>
    <w:rsid w:val="225865FF"/>
    <w:rsid w:val="226A5758"/>
    <w:rsid w:val="228131BE"/>
    <w:rsid w:val="229077DD"/>
    <w:rsid w:val="229801E9"/>
    <w:rsid w:val="22A014B5"/>
    <w:rsid w:val="22A26688"/>
    <w:rsid w:val="22A30422"/>
    <w:rsid w:val="22AE25AC"/>
    <w:rsid w:val="22C23FEE"/>
    <w:rsid w:val="22C46F25"/>
    <w:rsid w:val="22CF2B26"/>
    <w:rsid w:val="22D275D2"/>
    <w:rsid w:val="22D36287"/>
    <w:rsid w:val="22DF6675"/>
    <w:rsid w:val="22EA1308"/>
    <w:rsid w:val="22EC5F5D"/>
    <w:rsid w:val="22F54967"/>
    <w:rsid w:val="23060AB9"/>
    <w:rsid w:val="23127C1C"/>
    <w:rsid w:val="231413DB"/>
    <w:rsid w:val="2330206F"/>
    <w:rsid w:val="234021CE"/>
    <w:rsid w:val="234F5C9F"/>
    <w:rsid w:val="23581EAD"/>
    <w:rsid w:val="23693775"/>
    <w:rsid w:val="238823E2"/>
    <w:rsid w:val="238F2214"/>
    <w:rsid w:val="23A222F6"/>
    <w:rsid w:val="23A97B0D"/>
    <w:rsid w:val="23AF4A56"/>
    <w:rsid w:val="23B3749F"/>
    <w:rsid w:val="23B91DD5"/>
    <w:rsid w:val="23C04012"/>
    <w:rsid w:val="23C91097"/>
    <w:rsid w:val="23CE024B"/>
    <w:rsid w:val="23D064CA"/>
    <w:rsid w:val="23DA797F"/>
    <w:rsid w:val="23DB770A"/>
    <w:rsid w:val="23E01A88"/>
    <w:rsid w:val="23EE301B"/>
    <w:rsid w:val="23FD2B81"/>
    <w:rsid w:val="241235B0"/>
    <w:rsid w:val="24187E62"/>
    <w:rsid w:val="24252E50"/>
    <w:rsid w:val="2434631A"/>
    <w:rsid w:val="24374641"/>
    <w:rsid w:val="243D1AB0"/>
    <w:rsid w:val="2465505B"/>
    <w:rsid w:val="246A2035"/>
    <w:rsid w:val="246B1823"/>
    <w:rsid w:val="246C0733"/>
    <w:rsid w:val="247F56AE"/>
    <w:rsid w:val="248A7F25"/>
    <w:rsid w:val="24982D5A"/>
    <w:rsid w:val="249B200E"/>
    <w:rsid w:val="24A10C0D"/>
    <w:rsid w:val="24A97118"/>
    <w:rsid w:val="24AE3E97"/>
    <w:rsid w:val="24C0338C"/>
    <w:rsid w:val="24DE3413"/>
    <w:rsid w:val="24E45C5E"/>
    <w:rsid w:val="24EB0620"/>
    <w:rsid w:val="24EB37DC"/>
    <w:rsid w:val="24EE2960"/>
    <w:rsid w:val="24F56367"/>
    <w:rsid w:val="25062E39"/>
    <w:rsid w:val="25297CCD"/>
    <w:rsid w:val="25306A68"/>
    <w:rsid w:val="2532591F"/>
    <w:rsid w:val="253720A6"/>
    <w:rsid w:val="25390DD6"/>
    <w:rsid w:val="25423134"/>
    <w:rsid w:val="254C2988"/>
    <w:rsid w:val="25574F07"/>
    <w:rsid w:val="255B786F"/>
    <w:rsid w:val="255C52EB"/>
    <w:rsid w:val="25663C84"/>
    <w:rsid w:val="257A3B79"/>
    <w:rsid w:val="257E4917"/>
    <w:rsid w:val="25801CA3"/>
    <w:rsid w:val="258F6AA5"/>
    <w:rsid w:val="25940A6D"/>
    <w:rsid w:val="25A211B7"/>
    <w:rsid w:val="25A97E27"/>
    <w:rsid w:val="25BA5806"/>
    <w:rsid w:val="25CE3489"/>
    <w:rsid w:val="25D2504A"/>
    <w:rsid w:val="25D44881"/>
    <w:rsid w:val="25E7787B"/>
    <w:rsid w:val="25ED7E67"/>
    <w:rsid w:val="25F02CCD"/>
    <w:rsid w:val="25F32A66"/>
    <w:rsid w:val="25FC29C2"/>
    <w:rsid w:val="260D3B68"/>
    <w:rsid w:val="261E707F"/>
    <w:rsid w:val="262275D1"/>
    <w:rsid w:val="2625419D"/>
    <w:rsid w:val="26297D72"/>
    <w:rsid w:val="263C6CF4"/>
    <w:rsid w:val="26447BB7"/>
    <w:rsid w:val="26474DE6"/>
    <w:rsid w:val="26576572"/>
    <w:rsid w:val="26576ACE"/>
    <w:rsid w:val="2660460B"/>
    <w:rsid w:val="266F04C0"/>
    <w:rsid w:val="26722306"/>
    <w:rsid w:val="268E08EC"/>
    <w:rsid w:val="269A538A"/>
    <w:rsid w:val="269F2E49"/>
    <w:rsid w:val="26B83C8C"/>
    <w:rsid w:val="26BC0139"/>
    <w:rsid w:val="26C92321"/>
    <w:rsid w:val="26D2437F"/>
    <w:rsid w:val="26DF2B80"/>
    <w:rsid w:val="26EB7A0B"/>
    <w:rsid w:val="270269B2"/>
    <w:rsid w:val="270C5DD5"/>
    <w:rsid w:val="271B6EF4"/>
    <w:rsid w:val="2721779D"/>
    <w:rsid w:val="2723181B"/>
    <w:rsid w:val="27244697"/>
    <w:rsid w:val="2728219B"/>
    <w:rsid w:val="27366131"/>
    <w:rsid w:val="273D1B18"/>
    <w:rsid w:val="273E5339"/>
    <w:rsid w:val="27541FA7"/>
    <w:rsid w:val="27656417"/>
    <w:rsid w:val="27810A19"/>
    <w:rsid w:val="278966DA"/>
    <w:rsid w:val="278E0E64"/>
    <w:rsid w:val="27A35CC3"/>
    <w:rsid w:val="27BA0FC7"/>
    <w:rsid w:val="27BF7395"/>
    <w:rsid w:val="27C56814"/>
    <w:rsid w:val="27D23B6E"/>
    <w:rsid w:val="27D25DD2"/>
    <w:rsid w:val="27DB517F"/>
    <w:rsid w:val="27E56B08"/>
    <w:rsid w:val="27EF4007"/>
    <w:rsid w:val="27FD617C"/>
    <w:rsid w:val="28125F54"/>
    <w:rsid w:val="282558E7"/>
    <w:rsid w:val="28256DF5"/>
    <w:rsid w:val="28351C05"/>
    <w:rsid w:val="28372A03"/>
    <w:rsid w:val="283B7737"/>
    <w:rsid w:val="283C25D5"/>
    <w:rsid w:val="28406481"/>
    <w:rsid w:val="284F5485"/>
    <w:rsid w:val="28565A7B"/>
    <w:rsid w:val="285B53EB"/>
    <w:rsid w:val="28665F47"/>
    <w:rsid w:val="287225D8"/>
    <w:rsid w:val="287476E0"/>
    <w:rsid w:val="2875185B"/>
    <w:rsid w:val="28821951"/>
    <w:rsid w:val="2883506B"/>
    <w:rsid w:val="288C0DA8"/>
    <w:rsid w:val="288F2B79"/>
    <w:rsid w:val="28973630"/>
    <w:rsid w:val="289B39D7"/>
    <w:rsid w:val="28A97382"/>
    <w:rsid w:val="28B46921"/>
    <w:rsid w:val="28BE22F4"/>
    <w:rsid w:val="28D0391B"/>
    <w:rsid w:val="28E444C2"/>
    <w:rsid w:val="28FE54B6"/>
    <w:rsid w:val="28FE7540"/>
    <w:rsid w:val="29014A0C"/>
    <w:rsid w:val="29080E26"/>
    <w:rsid w:val="290C140C"/>
    <w:rsid w:val="291A0D09"/>
    <w:rsid w:val="292444B5"/>
    <w:rsid w:val="2936586D"/>
    <w:rsid w:val="29423CCB"/>
    <w:rsid w:val="2952184F"/>
    <w:rsid w:val="295A64F5"/>
    <w:rsid w:val="29603FF4"/>
    <w:rsid w:val="296779B5"/>
    <w:rsid w:val="29792F7D"/>
    <w:rsid w:val="29814609"/>
    <w:rsid w:val="29815287"/>
    <w:rsid w:val="29821CD0"/>
    <w:rsid w:val="29891CEE"/>
    <w:rsid w:val="29934166"/>
    <w:rsid w:val="299B0119"/>
    <w:rsid w:val="299F3433"/>
    <w:rsid w:val="29A201AF"/>
    <w:rsid w:val="29A213E4"/>
    <w:rsid w:val="29C121C9"/>
    <w:rsid w:val="29C17C51"/>
    <w:rsid w:val="29C86295"/>
    <w:rsid w:val="29CD33E4"/>
    <w:rsid w:val="29CE17DB"/>
    <w:rsid w:val="29D21131"/>
    <w:rsid w:val="29DA0CBB"/>
    <w:rsid w:val="29E1691E"/>
    <w:rsid w:val="29E30EB9"/>
    <w:rsid w:val="29E53AF2"/>
    <w:rsid w:val="2A095722"/>
    <w:rsid w:val="2A2201DB"/>
    <w:rsid w:val="2A2E179A"/>
    <w:rsid w:val="2A3D0354"/>
    <w:rsid w:val="2A51052D"/>
    <w:rsid w:val="2A574938"/>
    <w:rsid w:val="2A67798E"/>
    <w:rsid w:val="2A6841A7"/>
    <w:rsid w:val="2A6D158C"/>
    <w:rsid w:val="2A78188B"/>
    <w:rsid w:val="2A7F525C"/>
    <w:rsid w:val="2A883E38"/>
    <w:rsid w:val="2AA44C13"/>
    <w:rsid w:val="2AA64A8C"/>
    <w:rsid w:val="2AAA1165"/>
    <w:rsid w:val="2AAE3E17"/>
    <w:rsid w:val="2AC85686"/>
    <w:rsid w:val="2AD53739"/>
    <w:rsid w:val="2AD7653C"/>
    <w:rsid w:val="2AFC167C"/>
    <w:rsid w:val="2B033371"/>
    <w:rsid w:val="2B0344A9"/>
    <w:rsid w:val="2B2647E4"/>
    <w:rsid w:val="2B286D17"/>
    <w:rsid w:val="2B3218B2"/>
    <w:rsid w:val="2B5A7522"/>
    <w:rsid w:val="2B6726C8"/>
    <w:rsid w:val="2B704471"/>
    <w:rsid w:val="2B7D5063"/>
    <w:rsid w:val="2B87708D"/>
    <w:rsid w:val="2B88097A"/>
    <w:rsid w:val="2B891EB8"/>
    <w:rsid w:val="2B8C5294"/>
    <w:rsid w:val="2B8D031F"/>
    <w:rsid w:val="2B8E397A"/>
    <w:rsid w:val="2BA02260"/>
    <w:rsid w:val="2BA06AD7"/>
    <w:rsid w:val="2BA17C47"/>
    <w:rsid w:val="2BBF3890"/>
    <w:rsid w:val="2BC14D09"/>
    <w:rsid w:val="2BC52993"/>
    <w:rsid w:val="2BCB27FE"/>
    <w:rsid w:val="2BF2726A"/>
    <w:rsid w:val="2BF54A38"/>
    <w:rsid w:val="2C0E3469"/>
    <w:rsid w:val="2C293C72"/>
    <w:rsid w:val="2C294D6B"/>
    <w:rsid w:val="2C3A43B6"/>
    <w:rsid w:val="2C3C731C"/>
    <w:rsid w:val="2C5243FF"/>
    <w:rsid w:val="2C576226"/>
    <w:rsid w:val="2C58624D"/>
    <w:rsid w:val="2C62530D"/>
    <w:rsid w:val="2C646A7C"/>
    <w:rsid w:val="2C7345F8"/>
    <w:rsid w:val="2C7423B2"/>
    <w:rsid w:val="2C8013D2"/>
    <w:rsid w:val="2C8938FB"/>
    <w:rsid w:val="2C951411"/>
    <w:rsid w:val="2CBE7784"/>
    <w:rsid w:val="2CCC0E0A"/>
    <w:rsid w:val="2CDD1FB0"/>
    <w:rsid w:val="2CE37585"/>
    <w:rsid w:val="2CF10E14"/>
    <w:rsid w:val="2D040879"/>
    <w:rsid w:val="2D0F4FDB"/>
    <w:rsid w:val="2D184B58"/>
    <w:rsid w:val="2D220185"/>
    <w:rsid w:val="2D240B7B"/>
    <w:rsid w:val="2D354167"/>
    <w:rsid w:val="2D360531"/>
    <w:rsid w:val="2D39272C"/>
    <w:rsid w:val="2D511BC6"/>
    <w:rsid w:val="2D52220A"/>
    <w:rsid w:val="2D5D4BF6"/>
    <w:rsid w:val="2D6773ED"/>
    <w:rsid w:val="2D6B7D56"/>
    <w:rsid w:val="2D6D0FC2"/>
    <w:rsid w:val="2D745A75"/>
    <w:rsid w:val="2D776A7D"/>
    <w:rsid w:val="2D7D0B35"/>
    <w:rsid w:val="2D806CDF"/>
    <w:rsid w:val="2D83200B"/>
    <w:rsid w:val="2D8B3959"/>
    <w:rsid w:val="2D8C5FD6"/>
    <w:rsid w:val="2D9D22D5"/>
    <w:rsid w:val="2DA17397"/>
    <w:rsid w:val="2DA231EF"/>
    <w:rsid w:val="2DA73E27"/>
    <w:rsid w:val="2DA91B7E"/>
    <w:rsid w:val="2DBB4193"/>
    <w:rsid w:val="2DCA31F1"/>
    <w:rsid w:val="2DCC2277"/>
    <w:rsid w:val="2DD5159F"/>
    <w:rsid w:val="2DE611DC"/>
    <w:rsid w:val="2DED1A5D"/>
    <w:rsid w:val="2DF67BAA"/>
    <w:rsid w:val="2DF84038"/>
    <w:rsid w:val="2DF96CC8"/>
    <w:rsid w:val="2E195AC5"/>
    <w:rsid w:val="2E261412"/>
    <w:rsid w:val="2E29008A"/>
    <w:rsid w:val="2E2C7709"/>
    <w:rsid w:val="2E375BBE"/>
    <w:rsid w:val="2E3E4DD6"/>
    <w:rsid w:val="2E43649A"/>
    <w:rsid w:val="2E4C787D"/>
    <w:rsid w:val="2E546FEF"/>
    <w:rsid w:val="2E622E77"/>
    <w:rsid w:val="2E625EEE"/>
    <w:rsid w:val="2E650181"/>
    <w:rsid w:val="2E694B9C"/>
    <w:rsid w:val="2E6E0B85"/>
    <w:rsid w:val="2E792882"/>
    <w:rsid w:val="2E7A3DEB"/>
    <w:rsid w:val="2E7D3296"/>
    <w:rsid w:val="2E82215A"/>
    <w:rsid w:val="2E8C71E7"/>
    <w:rsid w:val="2E8D57C7"/>
    <w:rsid w:val="2E8F0941"/>
    <w:rsid w:val="2E924EC0"/>
    <w:rsid w:val="2E9F7925"/>
    <w:rsid w:val="2EB92D5F"/>
    <w:rsid w:val="2EC03906"/>
    <w:rsid w:val="2ECA043D"/>
    <w:rsid w:val="2ECB7847"/>
    <w:rsid w:val="2ECC7C8B"/>
    <w:rsid w:val="2EDC035A"/>
    <w:rsid w:val="2EE144CD"/>
    <w:rsid w:val="2EE65ADD"/>
    <w:rsid w:val="2EF574A9"/>
    <w:rsid w:val="2EFE1ED6"/>
    <w:rsid w:val="2F106892"/>
    <w:rsid w:val="2F16217E"/>
    <w:rsid w:val="2F177D48"/>
    <w:rsid w:val="2F257F18"/>
    <w:rsid w:val="2F274F0B"/>
    <w:rsid w:val="2F3A1C0A"/>
    <w:rsid w:val="2F3E3723"/>
    <w:rsid w:val="2F44046A"/>
    <w:rsid w:val="2F451050"/>
    <w:rsid w:val="2F553A17"/>
    <w:rsid w:val="2F5E74DF"/>
    <w:rsid w:val="2F6A37D7"/>
    <w:rsid w:val="2F6F0BB6"/>
    <w:rsid w:val="2F7B0118"/>
    <w:rsid w:val="2F906DC9"/>
    <w:rsid w:val="2F986BEF"/>
    <w:rsid w:val="2FA0612B"/>
    <w:rsid w:val="2FA25948"/>
    <w:rsid w:val="2FA83AAA"/>
    <w:rsid w:val="2FBB5AC9"/>
    <w:rsid w:val="2FC36AFD"/>
    <w:rsid w:val="2FCD1924"/>
    <w:rsid w:val="2FD07623"/>
    <w:rsid w:val="2FF3270A"/>
    <w:rsid w:val="30073ABF"/>
    <w:rsid w:val="300A2B4D"/>
    <w:rsid w:val="300B6C4A"/>
    <w:rsid w:val="30132997"/>
    <w:rsid w:val="301916B7"/>
    <w:rsid w:val="301A497A"/>
    <w:rsid w:val="30204ADC"/>
    <w:rsid w:val="302967B8"/>
    <w:rsid w:val="30324D94"/>
    <w:rsid w:val="30350218"/>
    <w:rsid w:val="30372367"/>
    <w:rsid w:val="30374C09"/>
    <w:rsid w:val="30381EAC"/>
    <w:rsid w:val="305108BD"/>
    <w:rsid w:val="305D458D"/>
    <w:rsid w:val="305E3A99"/>
    <w:rsid w:val="306955AF"/>
    <w:rsid w:val="30745A2D"/>
    <w:rsid w:val="30756AD7"/>
    <w:rsid w:val="307A7E21"/>
    <w:rsid w:val="307C7D33"/>
    <w:rsid w:val="307F392C"/>
    <w:rsid w:val="308027A3"/>
    <w:rsid w:val="30912608"/>
    <w:rsid w:val="309863CD"/>
    <w:rsid w:val="30A7714A"/>
    <w:rsid w:val="30B20797"/>
    <w:rsid w:val="30C0788A"/>
    <w:rsid w:val="30C25FB1"/>
    <w:rsid w:val="30C76149"/>
    <w:rsid w:val="30C870A4"/>
    <w:rsid w:val="30ED6B49"/>
    <w:rsid w:val="30F47820"/>
    <w:rsid w:val="30F80A16"/>
    <w:rsid w:val="30F92913"/>
    <w:rsid w:val="30F969DF"/>
    <w:rsid w:val="3103406D"/>
    <w:rsid w:val="310E6D0E"/>
    <w:rsid w:val="31153BAE"/>
    <w:rsid w:val="311B11CE"/>
    <w:rsid w:val="31211993"/>
    <w:rsid w:val="31217C70"/>
    <w:rsid w:val="312F3232"/>
    <w:rsid w:val="313B0D27"/>
    <w:rsid w:val="31410897"/>
    <w:rsid w:val="31424559"/>
    <w:rsid w:val="31453937"/>
    <w:rsid w:val="31574C55"/>
    <w:rsid w:val="315A76F1"/>
    <w:rsid w:val="31631D94"/>
    <w:rsid w:val="31785B55"/>
    <w:rsid w:val="3179048C"/>
    <w:rsid w:val="317C4467"/>
    <w:rsid w:val="317F3AC5"/>
    <w:rsid w:val="31AF63B3"/>
    <w:rsid w:val="31B34F78"/>
    <w:rsid w:val="31BF4676"/>
    <w:rsid w:val="31CB380D"/>
    <w:rsid w:val="31CD0009"/>
    <w:rsid w:val="31D04096"/>
    <w:rsid w:val="31D72383"/>
    <w:rsid w:val="31DA771B"/>
    <w:rsid w:val="31E7182E"/>
    <w:rsid w:val="31E73270"/>
    <w:rsid w:val="31F44B2E"/>
    <w:rsid w:val="320247E3"/>
    <w:rsid w:val="323576BE"/>
    <w:rsid w:val="32444176"/>
    <w:rsid w:val="3246555A"/>
    <w:rsid w:val="324F4E90"/>
    <w:rsid w:val="3259192E"/>
    <w:rsid w:val="32630111"/>
    <w:rsid w:val="3268346A"/>
    <w:rsid w:val="326A524D"/>
    <w:rsid w:val="327037D3"/>
    <w:rsid w:val="32785B10"/>
    <w:rsid w:val="328067BC"/>
    <w:rsid w:val="32A36669"/>
    <w:rsid w:val="32A92DC6"/>
    <w:rsid w:val="32BD0BF4"/>
    <w:rsid w:val="32CF4709"/>
    <w:rsid w:val="32E453A8"/>
    <w:rsid w:val="32FE12D8"/>
    <w:rsid w:val="33012636"/>
    <w:rsid w:val="33093414"/>
    <w:rsid w:val="33097E92"/>
    <w:rsid w:val="330D58AD"/>
    <w:rsid w:val="331F5501"/>
    <w:rsid w:val="33337EAB"/>
    <w:rsid w:val="333F2B85"/>
    <w:rsid w:val="333F69D5"/>
    <w:rsid w:val="335552B2"/>
    <w:rsid w:val="33556953"/>
    <w:rsid w:val="336209C8"/>
    <w:rsid w:val="33756490"/>
    <w:rsid w:val="3384074F"/>
    <w:rsid w:val="338C0E5E"/>
    <w:rsid w:val="33916B14"/>
    <w:rsid w:val="339718A3"/>
    <w:rsid w:val="339F2767"/>
    <w:rsid w:val="33A60D51"/>
    <w:rsid w:val="33BA3CE5"/>
    <w:rsid w:val="33C11B84"/>
    <w:rsid w:val="33C67717"/>
    <w:rsid w:val="33C870B5"/>
    <w:rsid w:val="33D202D9"/>
    <w:rsid w:val="33EB5604"/>
    <w:rsid w:val="33F228B1"/>
    <w:rsid w:val="33F672EA"/>
    <w:rsid w:val="34005932"/>
    <w:rsid w:val="34053077"/>
    <w:rsid w:val="34102850"/>
    <w:rsid w:val="342212C7"/>
    <w:rsid w:val="34395353"/>
    <w:rsid w:val="34592464"/>
    <w:rsid w:val="345E7CFD"/>
    <w:rsid w:val="345F612E"/>
    <w:rsid w:val="3473610F"/>
    <w:rsid w:val="348A3884"/>
    <w:rsid w:val="349C43AC"/>
    <w:rsid w:val="349D0859"/>
    <w:rsid w:val="34AE28AA"/>
    <w:rsid w:val="34B51847"/>
    <w:rsid w:val="34BC3248"/>
    <w:rsid w:val="34CA4861"/>
    <w:rsid w:val="34CE7266"/>
    <w:rsid w:val="34CF2F8B"/>
    <w:rsid w:val="34E014A7"/>
    <w:rsid w:val="34E0572C"/>
    <w:rsid w:val="34E05A0B"/>
    <w:rsid w:val="34EE67A5"/>
    <w:rsid w:val="34F97BD5"/>
    <w:rsid w:val="35146B05"/>
    <w:rsid w:val="35193D67"/>
    <w:rsid w:val="351B5866"/>
    <w:rsid w:val="352510FC"/>
    <w:rsid w:val="353173C7"/>
    <w:rsid w:val="35353D27"/>
    <w:rsid w:val="35391027"/>
    <w:rsid w:val="35432B22"/>
    <w:rsid w:val="354A4B32"/>
    <w:rsid w:val="3561632E"/>
    <w:rsid w:val="358F4259"/>
    <w:rsid w:val="359071B3"/>
    <w:rsid w:val="359A5A26"/>
    <w:rsid w:val="35AA112E"/>
    <w:rsid w:val="35AD4C5F"/>
    <w:rsid w:val="35AD5353"/>
    <w:rsid w:val="35B47BCD"/>
    <w:rsid w:val="35C34250"/>
    <w:rsid w:val="35C75A89"/>
    <w:rsid w:val="35C7687F"/>
    <w:rsid w:val="35C94340"/>
    <w:rsid w:val="35CF498E"/>
    <w:rsid w:val="35D75F44"/>
    <w:rsid w:val="35D8544C"/>
    <w:rsid w:val="35DA0647"/>
    <w:rsid w:val="35EC1C84"/>
    <w:rsid w:val="35F46AA0"/>
    <w:rsid w:val="360311CD"/>
    <w:rsid w:val="36084D21"/>
    <w:rsid w:val="360B2D1E"/>
    <w:rsid w:val="36255A92"/>
    <w:rsid w:val="36403110"/>
    <w:rsid w:val="364176F5"/>
    <w:rsid w:val="364D1252"/>
    <w:rsid w:val="364E3E24"/>
    <w:rsid w:val="36571F26"/>
    <w:rsid w:val="36615B1C"/>
    <w:rsid w:val="36641806"/>
    <w:rsid w:val="366E0D5B"/>
    <w:rsid w:val="367A6E37"/>
    <w:rsid w:val="368A7893"/>
    <w:rsid w:val="368C6FAA"/>
    <w:rsid w:val="368F4F9C"/>
    <w:rsid w:val="3694583E"/>
    <w:rsid w:val="36964876"/>
    <w:rsid w:val="36A53460"/>
    <w:rsid w:val="36B22A9A"/>
    <w:rsid w:val="36B52F0C"/>
    <w:rsid w:val="36B6750E"/>
    <w:rsid w:val="36BC4E0D"/>
    <w:rsid w:val="36C83926"/>
    <w:rsid w:val="36D62149"/>
    <w:rsid w:val="36D845C5"/>
    <w:rsid w:val="36E070DF"/>
    <w:rsid w:val="36F07090"/>
    <w:rsid w:val="36F6667F"/>
    <w:rsid w:val="371234AD"/>
    <w:rsid w:val="371512CD"/>
    <w:rsid w:val="371C1512"/>
    <w:rsid w:val="37341FCE"/>
    <w:rsid w:val="37396DE5"/>
    <w:rsid w:val="373C7C0D"/>
    <w:rsid w:val="373F085D"/>
    <w:rsid w:val="37422FE1"/>
    <w:rsid w:val="37437816"/>
    <w:rsid w:val="374756E6"/>
    <w:rsid w:val="374C1BCF"/>
    <w:rsid w:val="37553C64"/>
    <w:rsid w:val="375A202A"/>
    <w:rsid w:val="375C710A"/>
    <w:rsid w:val="375D2704"/>
    <w:rsid w:val="37633083"/>
    <w:rsid w:val="376B0755"/>
    <w:rsid w:val="37745AF8"/>
    <w:rsid w:val="37866962"/>
    <w:rsid w:val="378A3A43"/>
    <w:rsid w:val="37927B8C"/>
    <w:rsid w:val="379D18AD"/>
    <w:rsid w:val="37A42247"/>
    <w:rsid w:val="37AE3762"/>
    <w:rsid w:val="37B733CA"/>
    <w:rsid w:val="37C17298"/>
    <w:rsid w:val="37CB31C4"/>
    <w:rsid w:val="37D26C62"/>
    <w:rsid w:val="37DC0F3B"/>
    <w:rsid w:val="37E478B3"/>
    <w:rsid w:val="37F3303B"/>
    <w:rsid w:val="37F74EFA"/>
    <w:rsid w:val="37FA01FD"/>
    <w:rsid w:val="38070D82"/>
    <w:rsid w:val="38106E9D"/>
    <w:rsid w:val="3811053E"/>
    <w:rsid w:val="381E5F95"/>
    <w:rsid w:val="38323339"/>
    <w:rsid w:val="383B0E0C"/>
    <w:rsid w:val="38433B7F"/>
    <w:rsid w:val="3846316A"/>
    <w:rsid w:val="38492BD8"/>
    <w:rsid w:val="384E7E96"/>
    <w:rsid w:val="385A18E7"/>
    <w:rsid w:val="385D425B"/>
    <w:rsid w:val="38636D74"/>
    <w:rsid w:val="387F3796"/>
    <w:rsid w:val="3882194D"/>
    <w:rsid w:val="389F771F"/>
    <w:rsid w:val="38A66F7B"/>
    <w:rsid w:val="38BC56ED"/>
    <w:rsid w:val="38BD0653"/>
    <w:rsid w:val="38BE2A96"/>
    <w:rsid w:val="38C5276A"/>
    <w:rsid w:val="38DD7C52"/>
    <w:rsid w:val="38E07F39"/>
    <w:rsid w:val="38EA7933"/>
    <w:rsid w:val="38F36D15"/>
    <w:rsid w:val="39052C72"/>
    <w:rsid w:val="3911676E"/>
    <w:rsid w:val="39136C9E"/>
    <w:rsid w:val="391B781D"/>
    <w:rsid w:val="39366191"/>
    <w:rsid w:val="393819BD"/>
    <w:rsid w:val="393C4AF9"/>
    <w:rsid w:val="39442AD0"/>
    <w:rsid w:val="395F1DBC"/>
    <w:rsid w:val="397302E5"/>
    <w:rsid w:val="398D520E"/>
    <w:rsid w:val="39914DA7"/>
    <w:rsid w:val="399421EB"/>
    <w:rsid w:val="39963AA8"/>
    <w:rsid w:val="39AA4157"/>
    <w:rsid w:val="39B14CD1"/>
    <w:rsid w:val="39C03D89"/>
    <w:rsid w:val="39C129BA"/>
    <w:rsid w:val="39D00D1A"/>
    <w:rsid w:val="39D335B1"/>
    <w:rsid w:val="39D8646E"/>
    <w:rsid w:val="39E34041"/>
    <w:rsid w:val="39E66E3B"/>
    <w:rsid w:val="39E901BA"/>
    <w:rsid w:val="39F02B68"/>
    <w:rsid w:val="39F84F90"/>
    <w:rsid w:val="39FF7EFD"/>
    <w:rsid w:val="3A092DB2"/>
    <w:rsid w:val="3A1B7842"/>
    <w:rsid w:val="3A1D5EE4"/>
    <w:rsid w:val="3A313DE7"/>
    <w:rsid w:val="3A364A14"/>
    <w:rsid w:val="3A3E3335"/>
    <w:rsid w:val="3A586C80"/>
    <w:rsid w:val="3A587ED2"/>
    <w:rsid w:val="3A6569E6"/>
    <w:rsid w:val="3A6865FF"/>
    <w:rsid w:val="3A752F62"/>
    <w:rsid w:val="3A7B1E49"/>
    <w:rsid w:val="3A8279BE"/>
    <w:rsid w:val="3A874C4B"/>
    <w:rsid w:val="3AA02940"/>
    <w:rsid w:val="3AAB6FAF"/>
    <w:rsid w:val="3AB246A9"/>
    <w:rsid w:val="3AB27C99"/>
    <w:rsid w:val="3AC25275"/>
    <w:rsid w:val="3AC31E89"/>
    <w:rsid w:val="3AD8581A"/>
    <w:rsid w:val="3ADF6492"/>
    <w:rsid w:val="3AE441E9"/>
    <w:rsid w:val="3AFB5B50"/>
    <w:rsid w:val="3AFD6592"/>
    <w:rsid w:val="3AFF106D"/>
    <w:rsid w:val="3B02182F"/>
    <w:rsid w:val="3B1822E4"/>
    <w:rsid w:val="3B1B24A2"/>
    <w:rsid w:val="3B1D78CC"/>
    <w:rsid w:val="3B5E4E41"/>
    <w:rsid w:val="3B65627E"/>
    <w:rsid w:val="3B6C66DA"/>
    <w:rsid w:val="3B8B3485"/>
    <w:rsid w:val="3B9C28A8"/>
    <w:rsid w:val="3BA21246"/>
    <w:rsid w:val="3BA22A4A"/>
    <w:rsid w:val="3BA7473F"/>
    <w:rsid w:val="3BAF60A7"/>
    <w:rsid w:val="3BBC6816"/>
    <w:rsid w:val="3BD45AB8"/>
    <w:rsid w:val="3BDD1B17"/>
    <w:rsid w:val="3BDD608D"/>
    <w:rsid w:val="3BE76F60"/>
    <w:rsid w:val="3BEB1BA2"/>
    <w:rsid w:val="3BF41CFC"/>
    <w:rsid w:val="3BFE6848"/>
    <w:rsid w:val="3C0F6708"/>
    <w:rsid w:val="3C2863D6"/>
    <w:rsid w:val="3C2C3BE2"/>
    <w:rsid w:val="3C3141FF"/>
    <w:rsid w:val="3C3809F8"/>
    <w:rsid w:val="3C5063A4"/>
    <w:rsid w:val="3C540CB6"/>
    <w:rsid w:val="3C5F1E5C"/>
    <w:rsid w:val="3C7F259D"/>
    <w:rsid w:val="3C827615"/>
    <w:rsid w:val="3C9F1FD5"/>
    <w:rsid w:val="3CA72A73"/>
    <w:rsid w:val="3CBB481E"/>
    <w:rsid w:val="3CBF34F2"/>
    <w:rsid w:val="3CC2709F"/>
    <w:rsid w:val="3CC3377D"/>
    <w:rsid w:val="3CD61794"/>
    <w:rsid w:val="3CDB6BF1"/>
    <w:rsid w:val="3CDF1C85"/>
    <w:rsid w:val="3CDF6400"/>
    <w:rsid w:val="3CF00EDD"/>
    <w:rsid w:val="3CF1474C"/>
    <w:rsid w:val="3CFC1A12"/>
    <w:rsid w:val="3D06708A"/>
    <w:rsid w:val="3D3F4B81"/>
    <w:rsid w:val="3D507003"/>
    <w:rsid w:val="3D5E579D"/>
    <w:rsid w:val="3D64405C"/>
    <w:rsid w:val="3D796AC1"/>
    <w:rsid w:val="3D7E10A4"/>
    <w:rsid w:val="3D922B04"/>
    <w:rsid w:val="3DA126EF"/>
    <w:rsid w:val="3DC13640"/>
    <w:rsid w:val="3DC33515"/>
    <w:rsid w:val="3DD868EE"/>
    <w:rsid w:val="3DD9266C"/>
    <w:rsid w:val="3DDF32DB"/>
    <w:rsid w:val="3DF001CE"/>
    <w:rsid w:val="3DF55CE1"/>
    <w:rsid w:val="3E014564"/>
    <w:rsid w:val="3E137AB4"/>
    <w:rsid w:val="3E1C7375"/>
    <w:rsid w:val="3E295660"/>
    <w:rsid w:val="3E362975"/>
    <w:rsid w:val="3E374ABA"/>
    <w:rsid w:val="3E5245E6"/>
    <w:rsid w:val="3E531B31"/>
    <w:rsid w:val="3E5325AC"/>
    <w:rsid w:val="3E72440D"/>
    <w:rsid w:val="3E73692A"/>
    <w:rsid w:val="3E745351"/>
    <w:rsid w:val="3E893DA3"/>
    <w:rsid w:val="3E8D6B44"/>
    <w:rsid w:val="3E8F5C93"/>
    <w:rsid w:val="3E931AF4"/>
    <w:rsid w:val="3E9325B4"/>
    <w:rsid w:val="3E9855B9"/>
    <w:rsid w:val="3EBA2A7E"/>
    <w:rsid w:val="3EBC70A4"/>
    <w:rsid w:val="3EBF51C3"/>
    <w:rsid w:val="3EDA411D"/>
    <w:rsid w:val="3EE4584F"/>
    <w:rsid w:val="3F096B24"/>
    <w:rsid w:val="3F235395"/>
    <w:rsid w:val="3F4C2FD1"/>
    <w:rsid w:val="3F524360"/>
    <w:rsid w:val="3F5E6FB5"/>
    <w:rsid w:val="3F607DD9"/>
    <w:rsid w:val="3F6160B4"/>
    <w:rsid w:val="3F6A0349"/>
    <w:rsid w:val="3F7B201E"/>
    <w:rsid w:val="3F8263DF"/>
    <w:rsid w:val="3F8267C5"/>
    <w:rsid w:val="3F90256B"/>
    <w:rsid w:val="3F9165EC"/>
    <w:rsid w:val="3FA23354"/>
    <w:rsid w:val="3FC572C7"/>
    <w:rsid w:val="3FCA606C"/>
    <w:rsid w:val="3FCD0C66"/>
    <w:rsid w:val="3FCF6225"/>
    <w:rsid w:val="3FE30335"/>
    <w:rsid w:val="3FF124BA"/>
    <w:rsid w:val="3FF51DBE"/>
    <w:rsid w:val="3FFE3CCF"/>
    <w:rsid w:val="40017C71"/>
    <w:rsid w:val="400202C8"/>
    <w:rsid w:val="4015655E"/>
    <w:rsid w:val="40177B28"/>
    <w:rsid w:val="401D14C8"/>
    <w:rsid w:val="403565C2"/>
    <w:rsid w:val="40370DF3"/>
    <w:rsid w:val="40396DBD"/>
    <w:rsid w:val="403B2D27"/>
    <w:rsid w:val="40424509"/>
    <w:rsid w:val="404B2EFB"/>
    <w:rsid w:val="405A100D"/>
    <w:rsid w:val="40634121"/>
    <w:rsid w:val="40642AD1"/>
    <w:rsid w:val="406F5B8A"/>
    <w:rsid w:val="40706E04"/>
    <w:rsid w:val="40760A5C"/>
    <w:rsid w:val="407E6635"/>
    <w:rsid w:val="408244D3"/>
    <w:rsid w:val="40832BEB"/>
    <w:rsid w:val="40872B8C"/>
    <w:rsid w:val="408B6A17"/>
    <w:rsid w:val="40A37DA9"/>
    <w:rsid w:val="40B3098C"/>
    <w:rsid w:val="40B53C51"/>
    <w:rsid w:val="40BD6FF6"/>
    <w:rsid w:val="40CB28E7"/>
    <w:rsid w:val="40D152C0"/>
    <w:rsid w:val="40D96BD8"/>
    <w:rsid w:val="40DD50FB"/>
    <w:rsid w:val="40EF7891"/>
    <w:rsid w:val="411323BD"/>
    <w:rsid w:val="411D65C5"/>
    <w:rsid w:val="41214620"/>
    <w:rsid w:val="41277B63"/>
    <w:rsid w:val="412D7813"/>
    <w:rsid w:val="41365681"/>
    <w:rsid w:val="413C4166"/>
    <w:rsid w:val="414408E5"/>
    <w:rsid w:val="4150193F"/>
    <w:rsid w:val="41617B80"/>
    <w:rsid w:val="4163597A"/>
    <w:rsid w:val="416B7CF1"/>
    <w:rsid w:val="416D75C4"/>
    <w:rsid w:val="41723E0D"/>
    <w:rsid w:val="41757A12"/>
    <w:rsid w:val="417A0B0A"/>
    <w:rsid w:val="417C39B9"/>
    <w:rsid w:val="41820753"/>
    <w:rsid w:val="41986ECE"/>
    <w:rsid w:val="41B71559"/>
    <w:rsid w:val="41BC5015"/>
    <w:rsid w:val="41BE3A6A"/>
    <w:rsid w:val="41C17887"/>
    <w:rsid w:val="41C932CA"/>
    <w:rsid w:val="41D32C60"/>
    <w:rsid w:val="41DD718F"/>
    <w:rsid w:val="41E80789"/>
    <w:rsid w:val="41EB5F5D"/>
    <w:rsid w:val="41F809F2"/>
    <w:rsid w:val="41F86F21"/>
    <w:rsid w:val="41F92BE0"/>
    <w:rsid w:val="420503F7"/>
    <w:rsid w:val="42174AAE"/>
    <w:rsid w:val="42181855"/>
    <w:rsid w:val="42223048"/>
    <w:rsid w:val="42325795"/>
    <w:rsid w:val="42326CA9"/>
    <w:rsid w:val="423535B8"/>
    <w:rsid w:val="424122F5"/>
    <w:rsid w:val="424B5451"/>
    <w:rsid w:val="425A666F"/>
    <w:rsid w:val="425B5DEA"/>
    <w:rsid w:val="426B4660"/>
    <w:rsid w:val="427555CA"/>
    <w:rsid w:val="42793E81"/>
    <w:rsid w:val="427A63E9"/>
    <w:rsid w:val="427D03FF"/>
    <w:rsid w:val="428C0398"/>
    <w:rsid w:val="428C5635"/>
    <w:rsid w:val="428F0D86"/>
    <w:rsid w:val="42977F4E"/>
    <w:rsid w:val="42A37BDA"/>
    <w:rsid w:val="42A6687E"/>
    <w:rsid w:val="42AE10F3"/>
    <w:rsid w:val="42C54871"/>
    <w:rsid w:val="42CB1AFE"/>
    <w:rsid w:val="42CB21BF"/>
    <w:rsid w:val="42D8603D"/>
    <w:rsid w:val="42E243E9"/>
    <w:rsid w:val="42E72FC9"/>
    <w:rsid w:val="4304711C"/>
    <w:rsid w:val="430A64CE"/>
    <w:rsid w:val="431B5585"/>
    <w:rsid w:val="431F389D"/>
    <w:rsid w:val="432245C2"/>
    <w:rsid w:val="43243B6C"/>
    <w:rsid w:val="43267943"/>
    <w:rsid w:val="43270400"/>
    <w:rsid w:val="43437BC0"/>
    <w:rsid w:val="434A7D96"/>
    <w:rsid w:val="4356538F"/>
    <w:rsid w:val="43575BB1"/>
    <w:rsid w:val="435A3ADA"/>
    <w:rsid w:val="4362617C"/>
    <w:rsid w:val="436A4700"/>
    <w:rsid w:val="43785654"/>
    <w:rsid w:val="437968EE"/>
    <w:rsid w:val="438F30D3"/>
    <w:rsid w:val="43951E67"/>
    <w:rsid w:val="439B31B0"/>
    <w:rsid w:val="43A305FB"/>
    <w:rsid w:val="43A67928"/>
    <w:rsid w:val="43B55FFA"/>
    <w:rsid w:val="43C9177B"/>
    <w:rsid w:val="43CA41A1"/>
    <w:rsid w:val="43CC1632"/>
    <w:rsid w:val="43D409CA"/>
    <w:rsid w:val="43D852CA"/>
    <w:rsid w:val="43E96D00"/>
    <w:rsid w:val="43FA74A4"/>
    <w:rsid w:val="43FD09DC"/>
    <w:rsid w:val="44006401"/>
    <w:rsid w:val="441B6CD1"/>
    <w:rsid w:val="441D1B4B"/>
    <w:rsid w:val="441E49EF"/>
    <w:rsid w:val="44242F7B"/>
    <w:rsid w:val="44324512"/>
    <w:rsid w:val="443E13F2"/>
    <w:rsid w:val="4443381E"/>
    <w:rsid w:val="44463B20"/>
    <w:rsid w:val="444D2A01"/>
    <w:rsid w:val="446B56EE"/>
    <w:rsid w:val="44710D86"/>
    <w:rsid w:val="44743D77"/>
    <w:rsid w:val="447879A6"/>
    <w:rsid w:val="44794706"/>
    <w:rsid w:val="44817CB0"/>
    <w:rsid w:val="44884B19"/>
    <w:rsid w:val="449479AC"/>
    <w:rsid w:val="449C433C"/>
    <w:rsid w:val="44A8672F"/>
    <w:rsid w:val="44B34910"/>
    <w:rsid w:val="44B92420"/>
    <w:rsid w:val="44C53FD5"/>
    <w:rsid w:val="44C86737"/>
    <w:rsid w:val="44D00634"/>
    <w:rsid w:val="44D93315"/>
    <w:rsid w:val="44F946CF"/>
    <w:rsid w:val="450B08C4"/>
    <w:rsid w:val="450F0D1E"/>
    <w:rsid w:val="4534039A"/>
    <w:rsid w:val="45523E33"/>
    <w:rsid w:val="4562190F"/>
    <w:rsid w:val="45635D6C"/>
    <w:rsid w:val="456C432A"/>
    <w:rsid w:val="457809FA"/>
    <w:rsid w:val="457A2805"/>
    <w:rsid w:val="45834486"/>
    <w:rsid w:val="4586702D"/>
    <w:rsid w:val="459E42CD"/>
    <w:rsid w:val="459E5840"/>
    <w:rsid w:val="45A12A0C"/>
    <w:rsid w:val="45AB0310"/>
    <w:rsid w:val="45B178FC"/>
    <w:rsid w:val="45BB7398"/>
    <w:rsid w:val="45BE2DA8"/>
    <w:rsid w:val="45C75FAC"/>
    <w:rsid w:val="45C81216"/>
    <w:rsid w:val="45E44F5D"/>
    <w:rsid w:val="45E676D1"/>
    <w:rsid w:val="45E745EC"/>
    <w:rsid w:val="45FA55FE"/>
    <w:rsid w:val="46011F1E"/>
    <w:rsid w:val="46123A55"/>
    <w:rsid w:val="46191C3C"/>
    <w:rsid w:val="46380AFC"/>
    <w:rsid w:val="463B58DE"/>
    <w:rsid w:val="463D191F"/>
    <w:rsid w:val="46476809"/>
    <w:rsid w:val="464E3439"/>
    <w:rsid w:val="465C319D"/>
    <w:rsid w:val="466F60BA"/>
    <w:rsid w:val="467135F9"/>
    <w:rsid w:val="467E460C"/>
    <w:rsid w:val="468D3007"/>
    <w:rsid w:val="46AD3834"/>
    <w:rsid w:val="46B40738"/>
    <w:rsid w:val="46BA5657"/>
    <w:rsid w:val="46CF4358"/>
    <w:rsid w:val="46E05F31"/>
    <w:rsid w:val="46E94FD0"/>
    <w:rsid w:val="46ED186E"/>
    <w:rsid w:val="46F44B3B"/>
    <w:rsid w:val="47087609"/>
    <w:rsid w:val="473C05E4"/>
    <w:rsid w:val="474265CB"/>
    <w:rsid w:val="475023D5"/>
    <w:rsid w:val="47617259"/>
    <w:rsid w:val="477410C1"/>
    <w:rsid w:val="47741E38"/>
    <w:rsid w:val="478E777C"/>
    <w:rsid w:val="47961D70"/>
    <w:rsid w:val="47A3223C"/>
    <w:rsid w:val="47C0071F"/>
    <w:rsid w:val="47C3656A"/>
    <w:rsid w:val="47D05A2E"/>
    <w:rsid w:val="47EE11F8"/>
    <w:rsid w:val="47EF28AE"/>
    <w:rsid w:val="47F20AFA"/>
    <w:rsid w:val="47F57F11"/>
    <w:rsid w:val="480123E9"/>
    <w:rsid w:val="480D60AE"/>
    <w:rsid w:val="481541CE"/>
    <w:rsid w:val="481B1C88"/>
    <w:rsid w:val="482F1517"/>
    <w:rsid w:val="483739FF"/>
    <w:rsid w:val="484F5FE3"/>
    <w:rsid w:val="4850481F"/>
    <w:rsid w:val="48616550"/>
    <w:rsid w:val="4862673A"/>
    <w:rsid w:val="487A2837"/>
    <w:rsid w:val="48884123"/>
    <w:rsid w:val="488F180D"/>
    <w:rsid w:val="4893739B"/>
    <w:rsid w:val="4897780E"/>
    <w:rsid w:val="489E7D07"/>
    <w:rsid w:val="489F1DB6"/>
    <w:rsid w:val="48A36823"/>
    <w:rsid w:val="48A47630"/>
    <w:rsid w:val="48AF2803"/>
    <w:rsid w:val="48AF3164"/>
    <w:rsid w:val="48AF7582"/>
    <w:rsid w:val="48B54EED"/>
    <w:rsid w:val="48BC1D80"/>
    <w:rsid w:val="48C60564"/>
    <w:rsid w:val="48C85606"/>
    <w:rsid w:val="48D633F2"/>
    <w:rsid w:val="48E13862"/>
    <w:rsid w:val="48E157EE"/>
    <w:rsid w:val="48F17591"/>
    <w:rsid w:val="49142CEE"/>
    <w:rsid w:val="491C1E89"/>
    <w:rsid w:val="491E4F08"/>
    <w:rsid w:val="49314EB5"/>
    <w:rsid w:val="49327406"/>
    <w:rsid w:val="49331A4A"/>
    <w:rsid w:val="49381374"/>
    <w:rsid w:val="493C7AE5"/>
    <w:rsid w:val="495873B5"/>
    <w:rsid w:val="49635CFA"/>
    <w:rsid w:val="498D449B"/>
    <w:rsid w:val="499136DE"/>
    <w:rsid w:val="49924F1B"/>
    <w:rsid w:val="499449C5"/>
    <w:rsid w:val="499E3C5B"/>
    <w:rsid w:val="49A47E0A"/>
    <w:rsid w:val="49B077B1"/>
    <w:rsid w:val="49B572A7"/>
    <w:rsid w:val="49B97E60"/>
    <w:rsid w:val="49C1051C"/>
    <w:rsid w:val="49CC057D"/>
    <w:rsid w:val="49CF6B5B"/>
    <w:rsid w:val="49D3711B"/>
    <w:rsid w:val="49D47B7C"/>
    <w:rsid w:val="49D543AF"/>
    <w:rsid w:val="49D60D2D"/>
    <w:rsid w:val="49E566FA"/>
    <w:rsid w:val="49EE7A2D"/>
    <w:rsid w:val="49F25015"/>
    <w:rsid w:val="4A086B46"/>
    <w:rsid w:val="4A0F62DC"/>
    <w:rsid w:val="4A2F57D1"/>
    <w:rsid w:val="4A350CCF"/>
    <w:rsid w:val="4A3A415A"/>
    <w:rsid w:val="4A460ACB"/>
    <w:rsid w:val="4A4C5C4B"/>
    <w:rsid w:val="4A4D18CC"/>
    <w:rsid w:val="4A4D4515"/>
    <w:rsid w:val="4A5E03A1"/>
    <w:rsid w:val="4A696166"/>
    <w:rsid w:val="4A7F7E3E"/>
    <w:rsid w:val="4A817378"/>
    <w:rsid w:val="4A944441"/>
    <w:rsid w:val="4A9549B7"/>
    <w:rsid w:val="4A9D3409"/>
    <w:rsid w:val="4AAC2443"/>
    <w:rsid w:val="4AB601EF"/>
    <w:rsid w:val="4AC405EE"/>
    <w:rsid w:val="4AD74052"/>
    <w:rsid w:val="4ADD25BE"/>
    <w:rsid w:val="4ADE55F7"/>
    <w:rsid w:val="4AF66E0F"/>
    <w:rsid w:val="4AF834EA"/>
    <w:rsid w:val="4AFC5C8B"/>
    <w:rsid w:val="4B0609CB"/>
    <w:rsid w:val="4B0A5733"/>
    <w:rsid w:val="4B106F39"/>
    <w:rsid w:val="4B142128"/>
    <w:rsid w:val="4B1B4C86"/>
    <w:rsid w:val="4B1E435B"/>
    <w:rsid w:val="4B2630E8"/>
    <w:rsid w:val="4B4669D8"/>
    <w:rsid w:val="4B470133"/>
    <w:rsid w:val="4B541507"/>
    <w:rsid w:val="4B604D44"/>
    <w:rsid w:val="4B63648C"/>
    <w:rsid w:val="4B6D2DF8"/>
    <w:rsid w:val="4B76762B"/>
    <w:rsid w:val="4B7C6587"/>
    <w:rsid w:val="4B7E3945"/>
    <w:rsid w:val="4B8C4C9C"/>
    <w:rsid w:val="4B931C1F"/>
    <w:rsid w:val="4B967EEE"/>
    <w:rsid w:val="4B9A0C9D"/>
    <w:rsid w:val="4BA2334F"/>
    <w:rsid w:val="4BA44B6F"/>
    <w:rsid w:val="4BB063A8"/>
    <w:rsid w:val="4BBE7821"/>
    <w:rsid w:val="4BC4403D"/>
    <w:rsid w:val="4BD57864"/>
    <w:rsid w:val="4BDA1508"/>
    <w:rsid w:val="4BF705C9"/>
    <w:rsid w:val="4BF707D3"/>
    <w:rsid w:val="4C0617FA"/>
    <w:rsid w:val="4C061D0C"/>
    <w:rsid w:val="4C0A3B3B"/>
    <w:rsid w:val="4C0E5B16"/>
    <w:rsid w:val="4C281C46"/>
    <w:rsid w:val="4C2E5100"/>
    <w:rsid w:val="4C311FFA"/>
    <w:rsid w:val="4C420E92"/>
    <w:rsid w:val="4C4448E5"/>
    <w:rsid w:val="4C4F33EB"/>
    <w:rsid w:val="4C5752BD"/>
    <w:rsid w:val="4C5E5115"/>
    <w:rsid w:val="4C6419F8"/>
    <w:rsid w:val="4C6A6005"/>
    <w:rsid w:val="4C6F0792"/>
    <w:rsid w:val="4C743A6F"/>
    <w:rsid w:val="4C8B7AD7"/>
    <w:rsid w:val="4C9A4603"/>
    <w:rsid w:val="4C9B3BB6"/>
    <w:rsid w:val="4C9D2066"/>
    <w:rsid w:val="4CA10147"/>
    <w:rsid w:val="4CA4682C"/>
    <w:rsid w:val="4CAA7A80"/>
    <w:rsid w:val="4CAB18B5"/>
    <w:rsid w:val="4CAD2588"/>
    <w:rsid w:val="4CB01013"/>
    <w:rsid w:val="4CB306DD"/>
    <w:rsid w:val="4CB351D8"/>
    <w:rsid w:val="4CB4016E"/>
    <w:rsid w:val="4CBC7A91"/>
    <w:rsid w:val="4CC453CD"/>
    <w:rsid w:val="4CC47F68"/>
    <w:rsid w:val="4CD906FB"/>
    <w:rsid w:val="4CDB5ECF"/>
    <w:rsid w:val="4CE10D8B"/>
    <w:rsid w:val="4D0A342F"/>
    <w:rsid w:val="4D1A1189"/>
    <w:rsid w:val="4D1B2546"/>
    <w:rsid w:val="4D1E53FE"/>
    <w:rsid w:val="4D205169"/>
    <w:rsid w:val="4D247E6D"/>
    <w:rsid w:val="4D331AA8"/>
    <w:rsid w:val="4D377F6A"/>
    <w:rsid w:val="4D411A34"/>
    <w:rsid w:val="4D580559"/>
    <w:rsid w:val="4D6531FA"/>
    <w:rsid w:val="4D665A5B"/>
    <w:rsid w:val="4D691FE5"/>
    <w:rsid w:val="4D6D7272"/>
    <w:rsid w:val="4D7B0326"/>
    <w:rsid w:val="4D7F1CC1"/>
    <w:rsid w:val="4D7F4E99"/>
    <w:rsid w:val="4D7F6C38"/>
    <w:rsid w:val="4D8100D1"/>
    <w:rsid w:val="4D8547A9"/>
    <w:rsid w:val="4D8E1C4C"/>
    <w:rsid w:val="4D9F62F9"/>
    <w:rsid w:val="4DA5660C"/>
    <w:rsid w:val="4DC24F59"/>
    <w:rsid w:val="4DD728CB"/>
    <w:rsid w:val="4DDB1DA8"/>
    <w:rsid w:val="4DE771B4"/>
    <w:rsid w:val="4DEE73B9"/>
    <w:rsid w:val="4E101097"/>
    <w:rsid w:val="4E1363F8"/>
    <w:rsid w:val="4E1A0E12"/>
    <w:rsid w:val="4E233D4B"/>
    <w:rsid w:val="4E3131A8"/>
    <w:rsid w:val="4E3B343B"/>
    <w:rsid w:val="4E477EA4"/>
    <w:rsid w:val="4E534D1E"/>
    <w:rsid w:val="4E5A5E86"/>
    <w:rsid w:val="4E601FD5"/>
    <w:rsid w:val="4E602F45"/>
    <w:rsid w:val="4E676EE1"/>
    <w:rsid w:val="4E681A4B"/>
    <w:rsid w:val="4E6B4697"/>
    <w:rsid w:val="4E6E4A3D"/>
    <w:rsid w:val="4E7A1E7F"/>
    <w:rsid w:val="4E7C2A8F"/>
    <w:rsid w:val="4E84372F"/>
    <w:rsid w:val="4E8472BF"/>
    <w:rsid w:val="4E9757DC"/>
    <w:rsid w:val="4EA31411"/>
    <w:rsid w:val="4EA64725"/>
    <w:rsid w:val="4EB02FAC"/>
    <w:rsid w:val="4EC057C5"/>
    <w:rsid w:val="4ECC264C"/>
    <w:rsid w:val="4ECE4FB7"/>
    <w:rsid w:val="4ED70D50"/>
    <w:rsid w:val="4EE15EEC"/>
    <w:rsid w:val="4EF706EC"/>
    <w:rsid w:val="4F085666"/>
    <w:rsid w:val="4F1275BF"/>
    <w:rsid w:val="4F1D5CFC"/>
    <w:rsid w:val="4F3F2D0C"/>
    <w:rsid w:val="4F4A1832"/>
    <w:rsid w:val="4F510F0C"/>
    <w:rsid w:val="4F574C85"/>
    <w:rsid w:val="4F5A0A83"/>
    <w:rsid w:val="4F613BEB"/>
    <w:rsid w:val="4F647606"/>
    <w:rsid w:val="4F6624DD"/>
    <w:rsid w:val="4F6B5316"/>
    <w:rsid w:val="4F702FD7"/>
    <w:rsid w:val="4F7309E5"/>
    <w:rsid w:val="4F876840"/>
    <w:rsid w:val="4FA45C14"/>
    <w:rsid w:val="4FBE7814"/>
    <w:rsid w:val="4FC0005F"/>
    <w:rsid w:val="4FC261BA"/>
    <w:rsid w:val="4FC379AD"/>
    <w:rsid w:val="4FC8328C"/>
    <w:rsid w:val="4FD1628B"/>
    <w:rsid w:val="4FD37399"/>
    <w:rsid w:val="4FE035F5"/>
    <w:rsid w:val="4FF1707A"/>
    <w:rsid w:val="4FF754A7"/>
    <w:rsid w:val="4FFA6133"/>
    <w:rsid w:val="500066B7"/>
    <w:rsid w:val="500C7E80"/>
    <w:rsid w:val="50264EED"/>
    <w:rsid w:val="5036238B"/>
    <w:rsid w:val="504B6E57"/>
    <w:rsid w:val="50532041"/>
    <w:rsid w:val="50611CEE"/>
    <w:rsid w:val="50726251"/>
    <w:rsid w:val="507F1CA8"/>
    <w:rsid w:val="508643B0"/>
    <w:rsid w:val="50886D3B"/>
    <w:rsid w:val="509F5229"/>
    <w:rsid w:val="50A6140E"/>
    <w:rsid w:val="50A91685"/>
    <w:rsid w:val="50B54F0D"/>
    <w:rsid w:val="50C120FD"/>
    <w:rsid w:val="50C2090D"/>
    <w:rsid w:val="50C5120B"/>
    <w:rsid w:val="50D55197"/>
    <w:rsid w:val="50E17E92"/>
    <w:rsid w:val="50E33715"/>
    <w:rsid w:val="50E90004"/>
    <w:rsid w:val="51185247"/>
    <w:rsid w:val="511A05AB"/>
    <w:rsid w:val="5132055E"/>
    <w:rsid w:val="5148344F"/>
    <w:rsid w:val="51536553"/>
    <w:rsid w:val="51570613"/>
    <w:rsid w:val="516453B6"/>
    <w:rsid w:val="518E482F"/>
    <w:rsid w:val="519124B9"/>
    <w:rsid w:val="519848CB"/>
    <w:rsid w:val="519C4B74"/>
    <w:rsid w:val="51A1574F"/>
    <w:rsid w:val="51A61245"/>
    <w:rsid w:val="51AE4922"/>
    <w:rsid w:val="51C2355D"/>
    <w:rsid w:val="51C52ED9"/>
    <w:rsid w:val="51C9151F"/>
    <w:rsid w:val="51CD4F13"/>
    <w:rsid w:val="52017377"/>
    <w:rsid w:val="5212616A"/>
    <w:rsid w:val="521F74FD"/>
    <w:rsid w:val="522A7972"/>
    <w:rsid w:val="523455EF"/>
    <w:rsid w:val="524336E2"/>
    <w:rsid w:val="524951A1"/>
    <w:rsid w:val="525074C8"/>
    <w:rsid w:val="52701420"/>
    <w:rsid w:val="527222F9"/>
    <w:rsid w:val="52732491"/>
    <w:rsid w:val="529B19BE"/>
    <w:rsid w:val="52A15B9E"/>
    <w:rsid w:val="52A46F46"/>
    <w:rsid w:val="52A62ED2"/>
    <w:rsid w:val="52AA5F7E"/>
    <w:rsid w:val="52DC2661"/>
    <w:rsid w:val="52E87557"/>
    <w:rsid w:val="52F10F57"/>
    <w:rsid w:val="52FC0CD6"/>
    <w:rsid w:val="53050A33"/>
    <w:rsid w:val="53082377"/>
    <w:rsid w:val="53290B64"/>
    <w:rsid w:val="532B6E40"/>
    <w:rsid w:val="53313549"/>
    <w:rsid w:val="5339065F"/>
    <w:rsid w:val="53415B84"/>
    <w:rsid w:val="53440BB3"/>
    <w:rsid w:val="53503AF2"/>
    <w:rsid w:val="535405C0"/>
    <w:rsid w:val="535962B5"/>
    <w:rsid w:val="536B145F"/>
    <w:rsid w:val="536D2686"/>
    <w:rsid w:val="53720FE5"/>
    <w:rsid w:val="538243F4"/>
    <w:rsid w:val="538876FE"/>
    <w:rsid w:val="53983097"/>
    <w:rsid w:val="53987D5D"/>
    <w:rsid w:val="53995B33"/>
    <w:rsid w:val="53A6725A"/>
    <w:rsid w:val="53A750C0"/>
    <w:rsid w:val="53C06195"/>
    <w:rsid w:val="53C62815"/>
    <w:rsid w:val="53C83CE6"/>
    <w:rsid w:val="53D271D0"/>
    <w:rsid w:val="53D318FA"/>
    <w:rsid w:val="53D46F0E"/>
    <w:rsid w:val="53EE6E4B"/>
    <w:rsid w:val="53EF38C7"/>
    <w:rsid w:val="53F1050B"/>
    <w:rsid w:val="53F35A22"/>
    <w:rsid w:val="53F84C3A"/>
    <w:rsid w:val="54005A2E"/>
    <w:rsid w:val="540529C5"/>
    <w:rsid w:val="54095526"/>
    <w:rsid w:val="540E389F"/>
    <w:rsid w:val="5428523B"/>
    <w:rsid w:val="542D1A95"/>
    <w:rsid w:val="5435185F"/>
    <w:rsid w:val="543D5778"/>
    <w:rsid w:val="54463F7D"/>
    <w:rsid w:val="545532D8"/>
    <w:rsid w:val="545F1405"/>
    <w:rsid w:val="545F2B60"/>
    <w:rsid w:val="546E3E00"/>
    <w:rsid w:val="5494256E"/>
    <w:rsid w:val="54954D68"/>
    <w:rsid w:val="5495700B"/>
    <w:rsid w:val="54A2451A"/>
    <w:rsid w:val="54B937E4"/>
    <w:rsid w:val="54CC1C9A"/>
    <w:rsid w:val="54D0089B"/>
    <w:rsid w:val="54DA6F62"/>
    <w:rsid w:val="54FC1360"/>
    <w:rsid w:val="54FF73E6"/>
    <w:rsid w:val="5509550B"/>
    <w:rsid w:val="550E318E"/>
    <w:rsid w:val="551F445C"/>
    <w:rsid w:val="5525405F"/>
    <w:rsid w:val="55286795"/>
    <w:rsid w:val="552E6FBD"/>
    <w:rsid w:val="55326545"/>
    <w:rsid w:val="5532711F"/>
    <w:rsid w:val="5544357F"/>
    <w:rsid w:val="5549392D"/>
    <w:rsid w:val="554B78CD"/>
    <w:rsid w:val="554E09BE"/>
    <w:rsid w:val="5551088A"/>
    <w:rsid w:val="555A12C3"/>
    <w:rsid w:val="555B781E"/>
    <w:rsid w:val="55614E62"/>
    <w:rsid w:val="5562728C"/>
    <w:rsid w:val="55712B6E"/>
    <w:rsid w:val="557A50AC"/>
    <w:rsid w:val="557B4955"/>
    <w:rsid w:val="557C2F13"/>
    <w:rsid w:val="557C367C"/>
    <w:rsid w:val="557C6749"/>
    <w:rsid w:val="558B695A"/>
    <w:rsid w:val="55A7126E"/>
    <w:rsid w:val="55B03C4C"/>
    <w:rsid w:val="55B41891"/>
    <w:rsid w:val="55B87CD2"/>
    <w:rsid w:val="55C30B44"/>
    <w:rsid w:val="55C3496B"/>
    <w:rsid w:val="55CC1ACE"/>
    <w:rsid w:val="55CF3237"/>
    <w:rsid w:val="55E228A2"/>
    <w:rsid w:val="55E30B77"/>
    <w:rsid w:val="55E90EF8"/>
    <w:rsid w:val="55F07AF7"/>
    <w:rsid w:val="55F27B6A"/>
    <w:rsid w:val="56006EAE"/>
    <w:rsid w:val="56017C4C"/>
    <w:rsid w:val="56120D2F"/>
    <w:rsid w:val="56121AC3"/>
    <w:rsid w:val="56195AE3"/>
    <w:rsid w:val="56280F62"/>
    <w:rsid w:val="56321C7F"/>
    <w:rsid w:val="5639750A"/>
    <w:rsid w:val="563A6AE7"/>
    <w:rsid w:val="563F2F9B"/>
    <w:rsid w:val="564217DF"/>
    <w:rsid w:val="564A5D4F"/>
    <w:rsid w:val="565378BE"/>
    <w:rsid w:val="565A3C68"/>
    <w:rsid w:val="565B11A1"/>
    <w:rsid w:val="565C563E"/>
    <w:rsid w:val="565D1A38"/>
    <w:rsid w:val="566E7AE1"/>
    <w:rsid w:val="5676669A"/>
    <w:rsid w:val="568378A9"/>
    <w:rsid w:val="56862233"/>
    <w:rsid w:val="5686368F"/>
    <w:rsid w:val="568F1B36"/>
    <w:rsid w:val="56913B6E"/>
    <w:rsid w:val="56925D28"/>
    <w:rsid w:val="56A36AFC"/>
    <w:rsid w:val="56AD0DC2"/>
    <w:rsid w:val="56AD6C99"/>
    <w:rsid w:val="56AE7455"/>
    <w:rsid w:val="56B0716F"/>
    <w:rsid w:val="56B671F8"/>
    <w:rsid w:val="56B93219"/>
    <w:rsid w:val="56CA026F"/>
    <w:rsid w:val="56D528D5"/>
    <w:rsid w:val="56DB6DDE"/>
    <w:rsid w:val="56E279B9"/>
    <w:rsid w:val="571D1504"/>
    <w:rsid w:val="57205D11"/>
    <w:rsid w:val="572D282B"/>
    <w:rsid w:val="57355B68"/>
    <w:rsid w:val="574458CC"/>
    <w:rsid w:val="576C33B5"/>
    <w:rsid w:val="577472CD"/>
    <w:rsid w:val="577520C0"/>
    <w:rsid w:val="578172C9"/>
    <w:rsid w:val="57A84127"/>
    <w:rsid w:val="57A9606F"/>
    <w:rsid w:val="57B256E1"/>
    <w:rsid w:val="57B37568"/>
    <w:rsid w:val="57B55674"/>
    <w:rsid w:val="57BD539A"/>
    <w:rsid w:val="57C035C9"/>
    <w:rsid w:val="57CD0B34"/>
    <w:rsid w:val="57D35B19"/>
    <w:rsid w:val="57E53E97"/>
    <w:rsid w:val="57EF2136"/>
    <w:rsid w:val="57F63C09"/>
    <w:rsid w:val="57F928D8"/>
    <w:rsid w:val="57FF2476"/>
    <w:rsid w:val="58005002"/>
    <w:rsid w:val="580D083D"/>
    <w:rsid w:val="581072DE"/>
    <w:rsid w:val="58137CC1"/>
    <w:rsid w:val="583E12A2"/>
    <w:rsid w:val="584D5E33"/>
    <w:rsid w:val="58517A4A"/>
    <w:rsid w:val="58666B61"/>
    <w:rsid w:val="58681BC1"/>
    <w:rsid w:val="58802262"/>
    <w:rsid w:val="58812677"/>
    <w:rsid w:val="58831CC5"/>
    <w:rsid w:val="58895CB6"/>
    <w:rsid w:val="58905808"/>
    <w:rsid w:val="589831AE"/>
    <w:rsid w:val="589C252E"/>
    <w:rsid w:val="58A3026F"/>
    <w:rsid w:val="58B87D60"/>
    <w:rsid w:val="58C9308C"/>
    <w:rsid w:val="58CD46AD"/>
    <w:rsid w:val="58CE1BAC"/>
    <w:rsid w:val="58D67C4B"/>
    <w:rsid w:val="58DB259A"/>
    <w:rsid w:val="58E8335A"/>
    <w:rsid w:val="58EB0876"/>
    <w:rsid w:val="58F059B4"/>
    <w:rsid w:val="58FE6F5F"/>
    <w:rsid w:val="59060EEE"/>
    <w:rsid w:val="5907218C"/>
    <w:rsid w:val="591C5CD1"/>
    <w:rsid w:val="59233777"/>
    <w:rsid w:val="59372DF8"/>
    <w:rsid w:val="59395734"/>
    <w:rsid w:val="593A0A9F"/>
    <w:rsid w:val="593E7CA2"/>
    <w:rsid w:val="59497FBD"/>
    <w:rsid w:val="595736B3"/>
    <w:rsid w:val="59593E89"/>
    <w:rsid w:val="5959440F"/>
    <w:rsid w:val="595E61F3"/>
    <w:rsid w:val="59611073"/>
    <w:rsid w:val="59673445"/>
    <w:rsid w:val="596E5C8F"/>
    <w:rsid w:val="59707FC3"/>
    <w:rsid w:val="59717106"/>
    <w:rsid w:val="59802091"/>
    <w:rsid w:val="5983245A"/>
    <w:rsid w:val="598B1AC6"/>
    <w:rsid w:val="59A2288C"/>
    <w:rsid w:val="59AD22BD"/>
    <w:rsid w:val="59B17037"/>
    <w:rsid w:val="59B26469"/>
    <w:rsid w:val="59B3163E"/>
    <w:rsid w:val="59B76993"/>
    <w:rsid w:val="59C2655F"/>
    <w:rsid w:val="59C878B9"/>
    <w:rsid w:val="59D32A02"/>
    <w:rsid w:val="59D357BE"/>
    <w:rsid w:val="59E324BC"/>
    <w:rsid w:val="59E7381E"/>
    <w:rsid w:val="59F206A0"/>
    <w:rsid w:val="59F60D43"/>
    <w:rsid w:val="59FD4E65"/>
    <w:rsid w:val="5A0550BC"/>
    <w:rsid w:val="5A085AD6"/>
    <w:rsid w:val="5A1244B8"/>
    <w:rsid w:val="5A1366CB"/>
    <w:rsid w:val="5A153148"/>
    <w:rsid w:val="5A164C86"/>
    <w:rsid w:val="5A3601FD"/>
    <w:rsid w:val="5A61121B"/>
    <w:rsid w:val="5A6C3C6B"/>
    <w:rsid w:val="5A864C3F"/>
    <w:rsid w:val="5AA738C0"/>
    <w:rsid w:val="5AA823A1"/>
    <w:rsid w:val="5AC319D1"/>
    <w:rsid w:val="5AC8795E"/>
    <w:rsid w:val="5AC9706C"/>
    <w:rsid w:val="5AD32D47"/>
    <w:rsid w:val="5AD60837"/>
    <w:rsid w:val="5AE40D1D"/>
    <w:rsid w:val="5AF22809"/>
    <w:rsid w:val="5AFB5C02"/>
    <w:rsid w:val="5B000BF5"/>
    <w:rsid w:val="5B034113"/>
    <w:rsid w:val="5B045226"/>
    <w:rsid w:val="5B121964"/>
    <w:rsid w:val="5B19171C"/>
    <w:rsid w:val="5B1B752A"/>
    <w:rsid w:val="5B341EC3"/>
    <w:rsid w:val="5B3F1DBD"/>
    <w:rsid w:val="5B4468FA"/>
    <w:rsid w:val="5B4A345E"/>
    <w:rsid w:val="5B574F2B"/>
    <w:rsid w:val="5B5849E7"/>
    <w:rsid w:val="5B5B3D45"/>
    <w:rsid w:val="5B621345"/>
    <w:rsid w:val="5B630E9C"/>
    <w:rsid w:val="5B691E88"/>
    <w:rsid w:val="5B837DB9"/>
    <w:rsid w:val="5B856C73"/>
    <w:rsid w:val="5B8931C9"/>
    <w:rsid w:val="5B9B0FE8"/>
    <w:rsid w:val="5B9B6D5A"/>
    <w:rsid w:val="5BB45404"/>
    <w:rsid w:val="5BBB2328"/>
    <w:rsid w:val="5BC0421F"/>
    <w:rsid w:val="5BC50E93"/>
    <w:rsid w:val="5BC678D6"/>
    <w:rsid w:val="5BD13B21"/>
    <w:rsid w:val="5BD27DDB"/>
    <w:rsid w:val="5BEE08F6"/>
    <w:rsid w:val="5BEE0FEC"/>
    <w:rsid w:val="5BF065CD"/>
    <w:rsid w:val="5BF13A46"/>
    <w:rsid w:val="5C054662"/>
    <w:rsid w:val="5C156C48"/>
    <w:rsid w:val="5C1C1C8E"/>
    <w:rsid w:val="5C296A7F"/>
    <w:rsid w:val="5C2D31A3"/>
    <w:rsid w:val="5C363BC1"/>
    <w:rsid w:val="5C38292E"/>
    <w:rsid w:val="5C43517C"/>
    <w:rsid w:val="5C437806"/>
    <w:rsid w:val="5C4F0BBE"/>
    <w:rsid w:val="5C7D50ED"/>
    <w:rsid w:val="5C7E65AA"/>
    <w:rsid w:val="5C810293"/>
    <w:rsid w:val="5C815758"/>
    <w:rsid w:val="5C85617D"/>
    <w:rsid w:val="5C866B66"/>
    <w:rsid w:val="5C972F2A"/>
    <w:rsid w:val="5C987CCD"/>
    <w:rsid w:val="5C9C66C9"/>
    <w:rsid w:val="5CA11438"/>
    <w:rsid w:val="5CA448A8"/>
    <w:rsid w:val="5CBA37CF"/>
    <w:rsid w:val="5CC272EE"/>
    <w:rsid w:val="5CC41C5F"/>
    <w:rsid w:val="5CDC35C7"/>
    <w:rsid w:val="5CE4318D"/>
    <w:rsid w:val="5CED210B"/>
    <w:rsid w:val="5CF32B6B"/>
    <w:rsid w:val="5CFB6F53"/>
    <w:rsid w:val="5D0051F2"/>
    <w:rsid w:val="5D0217F0"/>
    <w:rsid w:val="5D1A0426"/>
    <w:rsid w:val="5D215774"/>
    <w:rsid w:val="5D2A6C69"/>
    <w:rsid w:val="5D303052"/>
    <w:rsid w:val="5D3039DF"/>
    <w:rsid w:val="5D34584C"/>
    <w:rsid w:val="5D3F696F"/>
    <w:rsid w:val="5D4F6D66"/>
    <w:rsid w:val="5D504A5D"/>
    <w:rsid w:val="5D58189A"/>
    <w:rsid w:val="5D586A06"/>
    <w:rsid w:val="5D704AEA"/>
    <w:rsid w:val="5D755B03"/>
    <w:rsid w:val="5D784B5E"/>
    <w:rsid w:val="5D9032BA"/>
    <w:rsid w:val="5D957D35"/>
    <w:rsid w:val="5D9A20B1"/>
    <w:rsid w:val="5D9E0EDA"/>
    <w:rsid w:val="5DAA1420"/>
    <w:rsid w:val="5DB322A8"/>
    <w:rsid w:val="5DB33D98"/>
    <w:rsid w:val="5DDE571C"/>
    <w:rsid w:val="5DE1019A"/>
    <w:rsid w:val="5DEC20ED"/>
    <w:rsid w:val="5DF00824"/>
    <w:rsid w:val="5E05365D"/>
    <w:rsid w:val="5E06558E"/>
    <w:rsid w:val="5E0F7E5F"/>
    <w:rsid w:val="5E143541"/>
    <w:rsid w:val="5E384C6D"/>
    <w:rsid w:val="5E412DAC"/>
    <w:rsid w:val="5E47584B"/>
    <w:rsid w:val="5E566864"/>
    <w:rsid w:val="5E571662"/>
    <w:rsid w:val="5E5B2D17"/>
    <w:rsid w:val="5E622B3B"/>
    <w:rsid w:val="5E693170"/>
    <w:rsid w:val="5E6D21DB"/>
    <w:rsid w:val="5E8B1EA4"/>
    <w:rsid w:val="5E9C233A"/>
    <w:rsid w:val="5E9F07E7"/>
    <w:rsid w:val="5EAD14CE"/>
    <w:rsid w:val="5EBB5D18"/>
    <w:rsid w:val="5EBD7479"/>
    <w:rsid w:val="5EBE00BB"/>
    <w:rsid w:val="5EDD1A52"/>
    <w:rsid w:val="5EDD3AAE"/>
    <w:rsid w:val="5EDF066E"/>
    <w:rsid w:val="5EE71B00"/>
    <w:rsid w:val="5EE72297"/>
    <w:rsid w:val="5EEC279F"/>
    <w:rsid w:val="5EF33466"/>
    <w:rsid w:val="5EFB6359"/>
    <w:rsid w:val="5F100E11"/>
    <w:rsid w:val="5F110423"/>
    <w:rsid w:val="5F1209D1"/>
    <w:rsid w:val="5F2B264A"/>
    <w:rsid w:val="5F3A3790"/>
    <w:rsid w:val="5F45549C"/>
    <w:rsid w:val="5F4D4B8F"/>
    <w:rsid w:val="5F510C41"/>
    <w:rsid w:val="5FA20D6D"/>
    <w:rsid w:val="5FC609B2"/>
    <w:rsid w:val="5FD44326"/>
    <w:rsid w:val="5FD52121"/>
    <w:rsid w:val="5FD870E0"/>
    <w:rsid w:val="5FDC0E77"/>
    <w:rsid w:val="5FFA6624"/>
    <w:rsid w:val="5FFC202F"/>
    <w:rsid w:val="600F088D"/>
    <w:rsid w:val="60103916"/>
    <w:rsid w:val="601B5A00"/>
    <w:rsid w:val="60236075"/>
    <w:rsid w:val="60435826"/>
    <w:rsid w:val="604C6134"/>
    <w:rsid w:val="604D71A7"/>
    <w:rsid w:val="60601D22"/>
    <w:rsid w:val="606C7636"/>
    <w:rsid w:val="60842238"/>
    <w:rsid w:val="60844DA5"/>
    <w:rsid w:val="60930C76"/>
    <w:rsid w:val="60942323"/>
    <w:rsid w:val="609B4AB1"/>
    <w:rsid w:val="60AB785D"/>
    <w:rsid w:val="60BA67A8"/>
    <w:rsid w:val="60BA6B18"/>
    <w:rsid w:val="60BD5624"/>
    <w:rsid w:val="60C11E31"/>
    <w:rsid w:val="60CA27F3"/>
    <w:rsid w:val="60CC64DC"/>
    <w:rsid w:val="60DF2028"/>
    <w:rsid w:val="610656A5"/>
    <w:rsid w:val="61190097"/>
    <w:rsid w:val="611A608F"/>
    <w:rsid w:val="611F29B8"/>
    <w:rsid w:val="612A6C12"/>
    <w:rsid w:val="61362CBE"/>
    <w:rsid w:val="61565F26"/>
    <w:rsid w:val="61645C5A"/>
    <w:rsid w:val="61870436"/>
    <w:rsid w:val="618B2CC0"/>
    <w:rsid w:val="61914D9C"/>
    <w:rsid w:val="619627FC"/>
    <w:rsid w:val="61A55F10"/>
    <w:rsid w:val="61A851F8"/>
    <w:rsid w:val="61B04B6D"/>
    <w:rsid w:val="61B44DDB"/>
    <w:rsid w:val="61B766B9"/>
    <w:rsid w:val="61BF0B30"/>
    <w:rsid w:val="61C32A22"/>
    <w:rsid w:val="61C34CCE"/>
    <w:rsid w:val="61CB108C"/>
    <w:rsid w:val="61D70C4F"/>
    <w:rsid w:val="61DB58DF"/>
    <w:rsid w:val="61E42383"/>
    <w:rsid w:val="61E52EF0"/>
    <w:rsid w:val="61EF7C1F"/>
    <w:rsid w:val="61F7383C"/>
    <w:rsid w:val="61F93A20"/>
    <w:rsid w:val="61FF1554"/>
    <w:rsid w:val="62067B99"/>
    <w:rsid w:val="620D6CCB"/>
    <w:rsid w:val="6214554B"/>
    <w:rsid w:val="621505FE"/>
    <w:rsid w:val="621661DA"/>
    <w:rsid w:val="623E25F3"/>
    <w:rsid w:val="624F4705"/>
    <w:rsid w:val="6257578C"/>
    <w:rsid w:val="62627F97"/>
    <w:rsid w:val="62746A53"/>
    <w:rsid w:val="62851942"/>
    <w:rsid w:val="628C6D68"/>
    <w:rsid w:val="62946A5D"/>
    <w:rsid w:val="62A81783"/>
    <w:rsid w:val="62AB066D"/>
    <w:rsid w:val="62AE734C"/>
    <w:rsid w:val="62B73C4A"/>
    <w:rsid w:val="62B800EE"/>
    <w:rsid w:val="62B9642F"/>
    <w:rsid w:val="62B97268"/>
    <w:rsid w:val="62C83F52"/>
    <w:rsid w:val="62C864AE"/>
    <w:rsid w:val="62D176E1"/>
    <w:rsid w:val="62D32116"/>
    <w:rsid w:val="62D328B9"/>
    <w:rsid w:val="62D52EBC"/>
    <w:rsid w:val="62DC4CEF"/>
    <w:rsid w:val="62E42626"/>
    <w:rsid w:val="62F04ED5"/>
    <w:rsid w:val="62F77AA6"/>
    <w:rsid w:val="62FA4974"/>
    <w:rsid w:val="630C0C43"/>
    <w:rsid w:val="630F304F"/>
    <w:rsid w:val="63267582"/>
    <w:rsid w:val="63396ECE"/>
    <w:rsid w:val="6343777A"/>
    <w:rsid w:val="634F1312"/>
    <w:rsid w:val="635C3254"/>
    <w:rsid w:val="63683545"/>
    <w:rsid w:val="636A09C7"/>
    <w:rsid w:val="636C0952"/>
    <w:rsid w:val="63873AC9"/>
    <w:rsid w:val="639C48B4"/>
    <w:rsid w:val="63AE469D"/>
    <w:rsid w:val="63B869E3"/>
    <w:rsid w:val="63BC4781"/>
    <w:rsid w:val="63C17A9D"/>
    <w:rsid w:val="63D4183B"/>
    <w:rsid w:val="63D74AD0"/>
    <w:rsid w:val="63D8142A"/>
    <w:rsid w:val="63E100A5"/>
    <w:rsid w:val="63E16125"/>
    <w:rsid w:val="63F04551"/>
    <w:rsid w:val="63F63808"/>
    <w:rsid w:val="63F828A6"/>
    <w:rsid w:val="64042FBE"/>
    <w:rsid w:val="64265AD9"/>
    <w:rsid w:val="643176B1"/>
    <w:rsid w:val="64345454"/>
    <w:rsid w:val="643A15E8"/>
    <w:rsid w:val="644008B5"/>
    <w:rsid w:val="64412067"/>
    <w:rsid w:val="64445CD6"/>
    <w:rsid w:val="6458683C"/>
    <w:rsid w:val="646037AF"/>
    <w:rsid w:val="64650926"/>
    <w:rsid w:val="647C056F"/>
    <w:rsid w:val="64830690"/>
    <w:rsid w:val="649607C2"/>
    <w:rsid w:val="649D038B"/>
    <w:rsid w:val="64AA6984"/>
    <w:rsid w:val="64B458B3"/>
    <w:rsid w:val="64B51B4A"/>
    <w:rsid w:val="64BD7DA9"/>
    <w:rsid w:val="64C02E72"/>
    <w:rsid w:val="64C454FB"/>
    <w:rsid w:val="64C733F0"/>
    <w:rsid w:val="64C92AE2"/>
    <w:rsid w:val="64CA1083"/>
    <w:rsid w:val="64CA2F9F"/>
    <w:rsid w:val="64D77A48"/>
    <w:rsid w:val="64E05634"/>
    <w:rsid w:val="64E41772"/>
    <w:rsid w:val="64F06530"/>
    <w:rsid w:val="64FB494A"/>
    <w:rsid w:val="65044496"/>
    <w:rsid w:val="65047A0E"/>
    <w:rsid w:val="650F28F6"/>
    <w:rsid w:val="65292E5C"/>
    <w:rsid w:val="65382EB4"/>
    <w:rsid w:val="654A4F8D"/>
    <w:rsid w:val="654F777F"/>
    <w:rsid w:val="65683AAD"/>
    <w:rsid w:val="656F01DA"/>
    <w:rsid w:val="65791CD4"/>
    <w:rsid w:val="657E492E"/>
    <w:rsid w:val="657F75D5"/>
    <w:rsid w:val="65803DE0"/>
    <w:rsid w:val="659B6076"/>
    <w:rsid w:val="65A47D33"/>
    <w:rsid w:val="65B32D02"/>
    <w:rsid w:val="65BB4EE3"/>
    <w:rsid w:val="65DA5709"/>
    <w:rsid w:val="65E028BF"/>
    <w:rsid w:val="65F00013"/>
    <w:rsid w:val="65F27B1B"/>
    <w:rsid w:val="65F32546"/>
    <w:rsid w:val="65F901C1"/>
    <w:rsid w:val="6600309E"/>
    <w:rsid w:val="660C798E"/>
    <w:rsid w:val="66142E3E"/>
    <w:rsid w:val="66177EBF"/>
    <w:rsid w:val="665A6D75"/>
    <w:rsid w:val="665E489F"/>
    <w:rsid w:val="66614AEA"/>
    <w:rsid w:val="666370CF"/>
    <w:rsid w:val="66677BAB"/>
    <w:rsid w:val="667772DA"/>
    <w:rsid w:val="66933DA0"/>
    <w:rsid w:val="669E29A1"/>
    <w:rsid w:val="66AB3236"/>
    <w:rsid w:val="66C02CDE"/>
    <w:rsid w:val="66C50B67"/>
    <w:rsid w:val="66C80FF3"/>
    <w:rsid w:val="66C93B32"/>
    <w:rsid w:val="66E312BC"/>
    <w:rsid w:val="66F03394"/>
    <w:rsid w:val="66F4025D"/>
    <w:rsid w:val="66F87389"/>
    <w:rsid w:val="670B05C0"/>
    <w:rsid w:val="6714046D"/>
    <w:rsid w:val="671F56DE"/>
    <w:rsid w:val="67214DD9"/>
    <w:rsid w:val="67301C8C"/>
    <w:rsid w:val="67355434"/>
    <w:rsid w:val="67374C09"/>
    <w:rsid w:val="674B792C"/>
    <w:rsid w:val="675B5A8E"/>
    <w:rsid w:val="67617BE2"/>
    <w:rsid w:val="676C6159"/>
    <w:rsid w:val="67805599"/>
    <w:rsid w:val="678149A1"/>
    <w:rsid w:val="67876CB8"/>
    <w:rsid w:val="67934749"/>
    <w:rsid w:val="67970EDC"/>
    <w:rsid w:val="679F354D"/>
    <w:rsid w:val="67AA29A7"/>
    <w:rsid w:val="67B73C21"/>
    <w:rsid w:val="67C00150"/>
    <w:rsid w:val="67C45C85"/>
    <w:rsid w:val="67ED71F1"/>
    <w:rsid w:val="67F15D4A"/>
    <w:rsid w:val="67F40D77"/>
    <w:rsid w:val="68123649"/>
    <w:rsid w:val="68141C1F"/>
    <w:rsid w:val="6814688E"/>
    <w:rsid w:val="68187F78"/>
    <w:rsid w:val="681A7491"/>
    <w:rsid w:val="681F1C62"/>
    <w:rsid w:val="68343886"/>
    <w:rsid w:val="68376721"/>
    <w:rsid w:val="683F6913"/>
    <w:rsid w:val="684239D5"/>
    <w:rsid w:val="684D15E5"/>
    <w:rsid w:val="68501486"/>
    <w:rsid w:val="685852A7"/>
    <w:rsid w:val="68664F74"/>
    <w:rsid w:val="6867513A"/>
    <w:rsid w:val="687D0AD9"/>
    <w:rsid w:val="68826444"/>
    <w:rsid w:val="68846FBB"/>
    <w:rsid w:val="688D503D"/>
    <w:rsid w:val="68950A3A"/>
    <w:rsid w:val="689A2236"/>
    <w:rsid w:val="68A02DB9"/>
    <w:rsid w:val="68A432BD"/>
    <w:rsid w:val="68B06907"/>
    <w:rsid w:val="68BC70F5"/>
    <w:rsid w:val="68CD231F"/>
    <w:rsid w:val="68F25A54"/>
    <w:rsid w:val="68F611D7"/>
    <w:rsid w:val="690029C9"/>
    <w:rsid w:val="69032CA4"/>
    <w:rsid w:val="69162A9D"/>
    <w:rsid w:val="6918784D"/>
    <w:rsid w:val="691D10E9"/>
    <w:rsid w:val="69254275"/>
    <w:rsid w:val="6936398A"/>
    <w:rsid w:val="6944459F"/>
    <w:rsid w:val="696332A1"/>
    <w:rsid w:val="697602D3"/>
    <w:rsid w:val="69987773"/>
    <w:rsid w:val="69A952C7"/>
    <w:rsid w:val="69C50106"/>
    <w:rsid w:val="69C8497F"/>
    <w:rsid w:val="69DB06E9"/>
    <w:rsid w:val="69EA089C"/>
    <w:rsid w:val="69F17FAF"/>
    <w:rsid w:val="69FD0C24"/>
    <w:rsid w:val="6A004E13"/>
    <w:rsid w:val="6A036A1C"/>
    <w:rsid w:val="6A3F683F"/>
    <w:rsid w:val="6A470DF4"/>
    <w:rsid w:val="6A490295"/>
    <w:rsid w:val="6A516A88"/>
    <w:rsid w:val="6A5577BC"/>
    <w:rsid w:val="6A6E7F94"/>
    <w:rsid w:val="6A7425D9"/>
    <w:rsid w:val="6A7C4F13"/>
    <w:rsid w:val="6A9602FE"/>
    <w:rsid w:val="6A9E66C7"/>
    <w:rsid w:val="6AAC73C5"/>
    <w:rsid w:val="6AC159E5"/>
    <w:rsid w:val="6AC16985"/>
    <w:rsid w:val="6AC63C53"/>
    <w:rsid w:val="6AC949BC"/>
    <w:rsid w:val="6ACC4CBB"/>
    <w:rsid w:val="6ADB2734"/>
    <w:rsid w:val="6AE41960"/>
    <w:rsid w:val="6AED10F1"/>
    <w:rsid w:val="6AF664C0"/>
    <w:rsid w:val="6AF95F66"/>
    <w:rsid w:val="6B022620"/>
    <w:rsid w:val="6B0932B1"/>
    <w:rsid w:val="6B0B05FF"/>
    <w:rsid w:val="6B1077AA"/>
    <w:rsid w:val="6B1B58BB"/>
    <w:rsid w:val="6B223522"/>
    <w:rsid w:val="6B251BD5"/>
    <w:rsid w:val="6B274CC4"/>
    <w:rsid w:val="6B2E34A7"/>
    <w:rsid w:val="6B3F50EC"/>
    <w:rsid w:val="6B440EDB"/>
    <w:rsid w:val="6B603792"/>
    <w:rsid w:val="6B625A72"/>
    <w:rsid w:val="6B693E49"/>
    <w:rsid w:val="6B8D482B"/>
    <w:rsid w:val="6BAE7D7A"/>
    <w:rsid w:val="6BD759FB"/>
    <w:rsid w:val="6BDE3B25"/>
    <w:rsid w:val="6BE804FA"/>
    <w:rsid w:val="6BF8548A"/>
    <w:rsid w:val="6C0D434C"/>
    <w:rsid w:val="6C160F2F"/>
    <w:rsid w:val="6C2867C5"/>
    <w:rsid w:val="6C311CF2"/>
    <w:rsid w:val="6C46422D"/>
    <w:rsid w:val="6C564987"/>
    <w:rsid w:val="6C61597A"/>
    <w:rsid w:val="6C645184"/>
    <w:rsid w:val="6C861D2A"/>
    <w:rsid w:val="6C914150"/>
    <w:rsid w:val="6C9A74EA"/>
    <w:rsid w:val="6CB64C26"/>
    <w:rsid w:val="6CC74A81"/>
    <w:rsid w:val="6CD91043"/>
    <w:rsid w:val="6CE95246"/>
    <w:rsid w:val="6CEC1F57"/>
    <w:rsid w:val="6CF31732"/>
    <w:rsid w:val="6D165CBF"/>
    <w:rsid w:val="6D18335C"/>
    <w:rsid w:val="6D2F05AE"/>
    <w:rsid w:val="6D3104F3"/>
    <w:rsid w:val="6D3D1F6D"/>
    <w:rsid w:val="6D5D2210"/>
    <w:rsid w:val="6D6A4FFC"/>
    <w:rsid w:val="6D6D728F"/>
    <w:rsid w:val="6D7B5943"/>
    <w:rsid w:val="6D8F48BC"/>
    <w:rsid w:val="6D905E20"/>
    <w:rsid w:val="6D986558"/>
    <w:rsid w:val="6DA00F2C"/>
    <w:rsid w:val="6DA21E46"/>
    <w:rsid w:val="6DA31467"/>
    <w:rsid w:val="6DB879AF"/>
    <w:rsid w:val="6DB93447"/>
    <w:rsid w:val="6DBA20DD"/>
    <w:rsid w:val="6DCC6588"/>
    <w:rsid w:val="6DCF02C2"/>
    <w:rsid w:val="6DD50933"/>
    <w:rsid w:val="6DE31594"/>
    <w:rsid w:val="6DE92696"/>
    <w:rsid w:val="6DF2726E"/>
    <w:rsid w:val="6DF40E20"/>
    <w:rsid w:val="6E5726E1"/>
    <w:rsid w:val="6E5C350D"/>
    <w:rsid w:val="6E6541D1"/>
    <w:rsid w:val="6E6733A0"/>
    <w:rsid w:val="6E7329B2"/>
    <w:rsid w:val="6E8B44D6"/>
    <w:rsid w:val="6E930999"/>
    <w:rsid w:val="6E9F59E0"/>
    <w:rsid w:val="6EAC01DA"/>
    <w:rsid w:val="6EBA5E7E"/>
    <w:rsid w:val="6EBE56B6"/>
    <w:rsid w:val="6EC66866"/>
    <w:rsid w:val="6ECE4A88"/>
    <w:rsid w:val="6ED521B0"/>
    <w:rsid w:val="6ED77CBA"/>
    <w:rsid w:val="6EE6006F"/>
    <w:rsid w:val="6EEE5711"/>
    <w:rsid w:val="6EEF1337"/>
    <w:rsid w:val="6EF34C1E"/>
    <w:rsid w:val="6F080D61"/>
    <w:rsid w:val="6F083F06"/>
    <w:rsid w:val="6F1A708E"/>
    <w:rsid w:val="6F2120DF"/>
    <w:rsid w:val="6F3D3080"/>
    <w:rsid w:val="6F5B37AA"/>
    <w:rsid w:val="6F6A01DD"/>
    <w:rsid w:val="6F7663F5"/>
    <w:rsid w:val="6F7D3A3F"/>
    <w:rsid w:val="6F8D2F8E"/>
    <w:rsid w:val="6F93532D"/>
    <w:rsid w:val="6F936B1E"/>
    <w:rsid w:val="6F9E1956"/>
    <w:rsid w:val="6FBB5EE3"/>
    <w:rsid w:val="6FD222AF"/>
    <w:rsid w:val="6FE50F9B"/>
    <w:rsid w:val="6FE70A64"/>
    <w:rsid w:val="6FF334CE"/>
    <w:rsid w:val="700B4D70"/>
    <w:rsid w:val="700D14A1"/>
    <w:rsid w:val="700E1E58"/>
    <w:rsid w:val="701B1B21"/>
    <w:rsid w:val="701B1E45"/>
    <w:rsid w:val="701F470D"/>
    <w:rsid w:val="701F7FF9"/>
    <w:rsid w:val="70292D12"/>
    <w:rsid w:val="702D647E"/>
    <w:rsid w:val="703B41E0"/>
    <w:rsid w:val="703F2ADF"/>
    <w:rsid w:val="70402177"/>
    <w:rsid w:val="704A13DD"/>
    <w:rsid w:val="70522DDB"/>
    <w:rsid w:val="70683C19"/>
    <w:rsid w:val="70687727"/>
    <w:rsid w:val="706A349D"/>
    <w:rsid w:val="70991AAC"/>
    <w:rsid w:val="709923D0"/>
    <w:rsid w:val="709F373B"/>
    <w:rsid w:val="70A26E78"/>
    <w:rsid w:val="70A569B7"/>
    <w:rsid w:val="70A739E6"/>
    <w:rsid w:val="70B23B78"/>
    <w:rsid w:val="70C5527C"/>
    <w:rsid w:val="70CE50C0"/>
    <w:rsid w:val="70DA5FBB"/>
    <w:rsid w:val="70DE6327"/>
    <w:rsid w:val="70E04970"/>
    <w:rsid w:val="70E46A72"/>
    <w:rsid w:val="70EA6B84"/>
    <w:rsid w:val="70FC2669"/>
    <w:rsid w:val="7104214C"/>
    <w:rsid w:val="710652EC"/>
    <w:rsid w:val="710F4500"/>
    <w:rsid w:val="7119633D"/>
    <w:rsid w:val="711E18E5"/>
    <w:rsid w:val="7120250F"/>
    <w:rsid w:val="7120709B"/>
    <w:rsid w:val="712773EB"/>
    <w:rsid w:val="713D464A"/>
    <w:rsid w:val="714666C2"/>
    <w:rsid w:val="714B7C87"/>
    <w:rsid w:val="714C6425"/>
    <w:rsid w:val="71503853"/>
    <w:rsid w:val="71510D55"/>
    <w:rsid w:val="71525E54"/>
    <w:rsid w:val="71657135"/>
    <w:rsid w:val="716D051C"/>
    <w:rsid w:val="71771173"/>
    <w:rsid w:val="71772BD3"/>
    <w:rsid w:val="717C2592"/>
    <w:rsid w:val="717E5383"/>
    <w:rsid w:val="71814E58"/>
    <w:rsid w:val="7185407D"/>
    <w:rsid w:val="718D2A09"/>
    <w:rsid w:val="718D6EBC"/>
    <w:rsid w:val="71B02CA2"/>
    <w:rsid w:val="71B87192"/>
    <w:rsid w:val="71BD613D"/>
    <w:rsid w:val="71BF6DD4"/>
    <w:rsid w:val="71CA2CBB"/>
    <w:rsid w:val="71D10CA0"/>
    <w:rsid w:val="71D259C0"/>
    <w:rsid w:val="71DD0BE1"/>
    <w:rsid w:val="71E235E4"/>
    <w:rsid w:val="71E3761E"/>
    <w:rsid w:val="71F5714F"/>
    <w:rsid w:val="71FD66AA"/>
    <w:rsid w:val="72082433"/>
    <w:rsid w:val="720B20AE"/>
    <w:rsid w:val="72240627"/>
    <w:rsid w:val="72287341"/>
    <w:rsid w:val="72440A53"/>
    <w:rsid w:val="72572636"/>
    <w:rsid w:val="72591AAF"/>
    <w:rsid w:val="72610C26"/>
    <w:rsid w:val="726A5445"/>
    <w:rsid w:val="72716C2E"/>
    <w:rsid w:val="727541E0"/>
    <w:rsid w:val="728100F7"/>
    <w:rsid w:val="72886ACF"/>
    <w:rsid w:val="72896623"/>
    <w:rsid w:val="728D2BB2"/>
    <w:rsid w:val="72A804AD"/>
    <w:rsid w:val="72C74D4A"/>
    <w:rsid w:val="72D11A63"/>
    <w:rsid w:val="72D31727"/>
    <w:rsid w:val="72DA0D85"/>
    <w:rsid w:val="72EA3E2A"/>
    <w:rsid w:val="72F81A13"/>
    <w:rsid w:val="72FE1B90"/>
    <w:rsid w:val="73146EEB"/>
    <w:rsid w:val="73165034"/>
    <w:rsid w:val="732B5649"/>
    <w:rsid w:val="733700D4"/>
    <w:rsid w:val="73394F91"/>
    <w:rsid w:val="733D1E05"/>
    <w:rsid w:val="73465BDB"/>
    <w:rsid w:val="73483919"/>
    <w:rsid w:val="734C05C9"/>
    <w:rsid w:val="735465E8"/>
    <w:rsid w:val="735C4C72"/>
    <w:rsid w:val="735D74D9"/>
    <w:rsid w:val="73614861"/>
    <w:rsid w:val="736A43AA"/>
    <w:rsid w:val="736B572D"/>
    <w:rsid w:val="73754F92"/>
    <w:rsid w:val="7387249F"/>
    <w:rsid w:val="73884446"/>
    <w:rsid w:val="738B5A40"/>
    <w:rsid w:val="73971DB2"/>
    <w:rsid w:val="739E644C"/>
    <w:rsid w:val="73AA6360"/>
    <w:rsid w:val="73AA7D31"/>
    <w:rsid w:val="73AD25F8"/>
    <w:rsid w:val="73B61DAE"/>
    <w:rsid w:val="73B80335"/>
    <w:rsid w:val="73C92784"/>
    <w:rsid w:val="73D41E40"/>
    <w:rsid w:val="73E80440"/>
    <w:rsid w:val="73EE272B"/>
    <w:rsid w:val="74080A1C"/>
    <w:rsid w:val="7410236B"/>
    <w:rsid w:val="74115F2A"/>
    <w:rsid w:val="742D6F95"/>
    <w:rsid w:val="743800DD"/>
    <w:rsid w:val="743A18BC"/>
    <w:rsid w:val="745E7E35"/>
    <w:rsid w:val="74624D35"/>
    <w:rsid w:val="74643906"/>
    <w:rsid w:val="747645E9"/>
    <w:rsid w:val="74935B7F"/>
    <w:rsid w:val="749C0CCD"/>
    <w:rsid w:val="74A1719F"/>
    <w:rsid w:val="74A85F13"/>
    <w:rsid w:val="74B42D70"/>
    <w:rsid w:val="74B530B7"/>
    <w:rsid w:val="74C1082B"/>
    <w:rsid w:val="74C97C5C"/>
    <w:rsid w:val="74D33F0B"/>
    <w:rsid w:val="74E20EBB"/>
    <w:rsid w:val="74EB416E"/>
    <w:rsid w:val="74F6612D"/>
    <w:rsid w:val="74F905D9"/>
    <w:rsid w:val="74FD5BA5"/>
    <w:rsid w:val="75006131"/>
    <w:rsid w:val="75040B7E"/>
    <w:rsid w:val="750D5055"/>
    <w:rsid w:val="75392A43"/>
    <w:rsid w:val="75431076"/>
    <w:rsid w:val="75450E01"/>
    <w:rsid w:val="755355CC"/>
    <w:rsid w:val="755C21C3"/>
    <w:rsid w:val="755D671C"/>
    <w:rsid w:val="756029CC"/>
    <w:rsid w:val="75776507"/>
    <w:rsid w:val="757A58A3"/>
    <w:rsid w:val="757F4544"/>
    <w:rsid w:val="75823259"/>
    <w:rsid w:val="759B5939"/>
    <w:rsid w:val="75AA330C"/>
    <w:rsid w:val="75B12383"/>
    <w:rsid w:val="75B33217"/>
    <w:rsid w:val="75C51759"/>
    <w:rsid w:val="75CC3BF6"/>
    <w:rsid w:val="75CD6F81"/>
    <w:rsid w:val="75CF6E4B"/>
    <w:rsid w:val="75EE74CC"/>
    <w:rsid w:val="76017805"/>
    <w:rsid w:val="76052433"/>
    <w:rsid w:val="760A50DB"/>
    <w:rsid w:val="760B1791"/>
    <w:rsid w:val="76133542"/>
    <w:rsid w:val="762645B1"/>
    <w:rsid w:val="76351CCB"/>
    <w:rsid w:val="763648F3"/>
    <w:rsid w:val="763C049D"/>
    <w:rsid w:val="76436DCD"/>
    <w:rsid w:val="764F6FE3"/>
    <w:rsid w:val="7656585B"/>
    <w:rsid w:val="76582E78"/>
    <w:rsid w:val="76694CAB"/>
    <w:rsid w:val="766E0A84"/>
    <w:rsid w:val="767478F0"/>
    <w:rsid w:val="76750D44"/>
    <w:rsid w:val="76A6792E"/>
    <w:rsid w:val="76BF060E"/>
    <w:rsid w:val="76C957AC"/>
    <w:rsid w:val="76D1281D"/>
    <w:rsid w:val="76D14932"/>
    <w:rsid w:val="76EF76AC"/>
    <w:rsid w:val="76F11EB4"/>
    <w:rsid w:val="76F76D84"/>
    <w:rsid w:val="76FD5C13"/>
    <w:rsid w:val="770D7E66"/>
    <w:rsid w:val="771A2CB2"/>
    <w:rsid w:val="77255E34"/>
    <w:rsid w:val="772653E1"/>
    <w:rsid w:val="773504E2"/>
    <w:rsid w:val="775156A8"/>
    <w:rsid w:val="7774519C"/>
    <w:rsid w:val="778404CE"/>
    <w:rsid w:val="778A21BA"/>
    <w:rsid w:val="77A15C1D"/>
    <w:rsid w:val="77AA08C5"/>
    <w:rsid w:val="77BC39DA"/>
    <w:rsid w:val="77C40AEA"/>
    <w:rsid w:val="77D80304"/>
    <w:rsid w:val="77E07CD3"/>
    <w:rsid w:val="77E23CAE"/>
    <w:rsid w:val="77E604DB"/>
    <w:rsid w:val="77E93077"/>
    <w:rsid w:val="77F25DDF"/>
    <w:rsid w:val="77F56E19"/>
    <w:rsid w:val="77F75892"/>
    <w:rsid w:val="7809333A"/>
    <w:rsid w:val="780B3217"/>
    <w:rsid w:val="780B4E62"/>
    <w:rsid w:val="78110DF3"/>
    <w:rsid w:val="78153FC6"/>
    <w:rsid w:val="782D679C"/>
    <w:rsid w:val="783334B3"/>
    <w:rsid w:val="78371FCE"/>
    <w:rsid w:val="78494783"/>
    <w:rsid w:val="7850003C"/>
    <w:rsid w:val="786876E2"/>
    <w:rsid w:val="786B3EAF"/>
    <w:rsid w:val="78776F2D"/>
    <w:rsid w:val="787969B2"/>
    <w:rsid w:val="78A24DA3"/>
    <w:rsid w:val="78AD7199"/>
    <w:rsid w:val="78D82AA3"/>
    <w:rsid w:val="78D942FD"/>
    <w:rsid w:val="78DC280A"/>
    <w:rsid w:val="78E24F23"/>
    <w:rsid w:val="78E75576"/>
    <w:rsid w:val="78FF333F"/>
    <w:rsid w:val="791A4AFD"/>
    <w:rsid w:val="7923158C"/>
    <w:rsid w:val="792425B9"/>
    <w:rsid w:val="79286949"/>
    <w:rsid w:val="79341A45"/>
    <w:rsid w:val="79356D6C"/>
    <w:rsid w:val="793C052A"/>
    <w:rsid w:val="79457968"/>
    <w:rsid w:val="795F073E"/>
    <w:rsid w:val="796039A8"/>
    <w:rsid w:val="79661A69"/>
    <w:rsid w:val="79762536"/>
    <w:rsid w:val="79767B1B"/>
    <w:rsid w:val="797C4FAC"/>
    <w:rsid w:val="797D54AF"/>
    <w:rsid w:val="798672FB"/>
    <w:rsid w:val="799C0510"/>
    <w:rsid w:val="79A27C96"/>
    <w:rsid w:val="79BF6898"/>
    <w:rsid w:val="79C96824"/>
    <w:rsid w:val="79D10A27"/>
    <w:rsid w:val="79DA54C4"/>
    <w:rsid w:val="79DA62C1"/>
    <w:rsid w:val="79DF671D"/>
    <w:rsid w:val="79E162C2"/>
    <w:rsid w:val="79E90B0A"/>
    <w:rsid w:val="79EA6313"/>
    <w:rsid w:val="79F307AC"/>
    <w:rsid w:val="79F4069D"/>
    <w:rsid w:val="79F94892"/>
    <w:rsid w:val="79FE02C7"/>
    <w:rsid w:val="7A007D3A"/>
    <w:rsid w:val="7A282BDA"/>
    <w:rsid w:val="7A2E09C5"/>
    <w:rsid w:val="7A3446DD"/>
    <w:rsid w:val="7A401D66"/>
    <w:rsid w:val="7A7E1B53"/>
    <w:rsid w:val="7A846B2D"/>
    <w:rsid w:val="7A8C3495"/>
    <w:rsid w:val="7A9F304B"/>
    <w:rsid w:val="7AA16B43"/>
    <w:rsid w:val="7AA320B2"/>
    <w:rsid w:val="7AC81C2D"/>
    <w:rsid w:val="7AE73718"/>
    <w:rsid w:val="7AEC009D"/>
    <w:rsid w:val="7AFF3734"/>
    <w:rsid w:val="7B023751"/>
    <w:rsid w:val="7B126FE2"/>
    <w:rsid w:val="7B2119C6"/>
    <w:rsid w:val="7B4A4B84"/>
    <w:rsid w:val="7B4F7676"/>
    <w:rsid w:val="7B590B18"/>
    <w:rsid w:val="7B7478C7"/>
    <w:rsid w:val="7B7D1B1D"/>
    <w:rsid w:val="7B836BBB"/>
    <w:rsid w:val="7B8513DF"/>
    <w:rsid w:val="7B8E0D43"/>
    <w:rsid w:val="7BB50535"/>
    <w:rsid w:val="7BB847F6"/>
    <w:rsid w:val="7BBF7E28"/>
    <w:rsid w:val="7BCB1ED6"/>
    <w:rsid w:val="7BD16930"/>
    <w:rsid w:val="7BD22B34"/>
    <w:rsid w:val="7BD42F67"/>
    <w:rsid w:val="7BF56A09"/>
    <w:rsid w:val="7BFC02D7"/>
    <w:rsid w:val="7C0331D4"/>
    <w:rsid w:val="7C0479B4"/>
    <w:rsid w:val="7C057ED1"/>
    <w:rsid w:val="7C1C76B8"/>
    <w:rsid w:val="7C253F59"/>
    <w:rsid w:val="7C25586A"/>
    <w:rsid w:val="7C2738E2"/>
    <w:rsid w:val="7C2E2927"/>
    <w:rsid w:val="7C39654F"/>
    <w:rsid w:val="7C3C7B7A"/>
    <w:rsid w:val="7C3D46BB"/>
    <w:rsid w:val="7C56080D"/>
    <w:rsid w:val="7C7527CE"/>
    <w:rsid w:val="7C782251"/>
    <w:rsid w:val="7C955072"/>
    <w:rsid w:val="7C9C3F36"/>
    <w:rsid w:val="7CA82789"/>
    <w:rsid w:val="7CC105A8"/>
    <w:rsid w:val="7CD86611"/>
    <w:rsid w:val="7CDC27F7"/>
    <w:rsid w:val="7CEC671B"/>
    <w:rsid w:val="7CF83865"/>
    <w:rsid w:val="7CFB5D27"/>
    <w:rsid w:val="7D043164"/>
    <w:rsid w:val="7D057754"/>
    <w:rsid w:val="7D1D16AD"/>
    <w:rsid w:val="7D4046F4"/>
    <w:rsid w:val="7D7A4052"/>
    <w:rsid w:val="7D923E77"/>
    <w:rsid w:val="7DA80860"/>
    <w:rsid w:val="7DA96D97"/>
    <w:rsid w:val="7DAC0DCF"/>
    <w:rsid w:val="7DC06896"/>
    <w:rsid w:val="7DC327BD"/>
    <w:rsid w:val="7DDB3462"/>
    <w:rsid w:val="7DDE4D98"/>
    <w:rsid w:val="7DE30C78"/>
    <w:rsid w:val="7DE5509C"/>
    <w:rsid w:val="7DE803D5"/>
    <w:rsid w:val="7DED3D8F"/>
    <w:rsid w:val="7DED7D27"/>
    <w:rsid w:val="7DFE15A5"/>
    <w:rsid w:val="7E1338F1"/>
    <w:rsid w:val="7E1722AC"/>
    <w:rsid w:val="7E1734AF"/>
    <w:rsid w:val="7E216433"/>
    <w:rsid w:val="7E2F3A8F"/>
    <w:rsid w:val="7E355670"/>
    <w:rsid w:val="7E4A05DA"/>
    <w:rsid w:val="7E526D47"/>
    <w:rsid w:val="7E566FF4"/>
    <w:rsid w:val="7E574ABE"/>
    <w:rsid w:val="7E591A4C"/>
    <w:rsid w:val="7E6647E1"/>
    <w:rsid w:val="7E7F1264"/>
    <w:rsid w:val="7E8458A8"/>
    <w:rsid w:val="7E9675E4"/>
    <w:rsid w:val="7EA30E60"/>
    <w:rsid w:val="7EAA65D1"/>
    <w:rsid w:val="7EB87C70"/>
    <w:rsid w:val="7EBA5CF0"/>
    <w:rsid w:val="7F061585"/>
    <w:rsid w:val="7F0B1D80"/>
    <w:rsid w:val="7F11217F"/>
    <w:rsid w:val="7F123FF1"/>
    <w:rsid w:val="7F39199D"/>
    <w:rsid w:val="7F3C4377"/>
    <w:rsid w:val="7F4212F5"/>
    <w:rsid w:val="7F445BCD"/>
    <w:rsid w:val="7F5250ED"/>
    <w:rsid w:val="7F537D7B"/>
    <w:rsid w:val="7F60396D"/>
    <w:rsid w:val="7F6232C9"/>
    <w:rsid w:val="7F7D71BB"/>
    <w:rsid w:val="7F97631D"/>
    <w:rsid w:val="7FA03495"/>
    <w:rsid w:val="7FA81DC1"/>
    <w:rsid w:val="7FB438C8"/>
    <w:rsid w:val="7FB6454D"/>
    <w:rsid w:val="7FB9378D"/>
    <w:rsid w:val="7FC5389F"/>
    <w:rsid w:val="7FCF57C7"/>
    <w:rsid w:val="7FD17F04"/>
    <w:rsid w:val="7FD77EA4"/>
    <w:rsid w:val="7FE348B2"/>
    <w:rsid w:val="7FE9649A"/>
    <w:rsid w:val="7FF63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eastAsia="楷体"/>
      <w:b/>
      <w:kern w:val="0"/>
      <w:sz w:val="32"/>
      <w:szCs w:val="36"/>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ind w:left="20"/>
    </w:pPr>
    <w:rPr>
      <w:rFonts w:ascii="宋体" w:hAnsi="宋体" w:eastAsia="宋体"/>
      <w:sz w:val="21"/>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qFormat/>
    <w:uiPriority w:val="0"/>
    <w:pPr>
      <w:ind w:firstLine="420" w:firstLineChars="200"/>
    </w:pPr>
    <w:rPr>
      <w:rFonts w:ascii="Times New Roman" w:hAnsi="Times New Roman" w:eastAsia="仿宋_GB2312" w:cs="Times New Roman"/>
      <w:sz w:val="32"/>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styleId="19">
    <w:name w:val="footnote reference"/>
    <w:basedOn w:val="16"/>
    <w:qFormat/>
    <w:uiPriority w:val="0"/>
    <w:rPr>
      <w:vertAlign w:val="superscript"/>
    </w:rPr>
  </w:style>
  <w:style w:type="paragraph" w:customStyle="1" w:styleId="20">
    <w:name w:val="BodyText1I2"/>
    <w:basedOn w:val="21"/>
    <w:qFormat/>
    <w:uiPriority w:val="0"/>
    <w:pPr>
      <w:suppressAutoHyphens/>
      <w:bidi w:val="0"/>
      <w:spacing w:before="0" w:after="140" w:line="276" w:lineRule="auto"/>
      <w:ind w:firstLine="420" w:firstLineChars="200"/>
      <w:jc w:val="both"/>
      <w:textAlignment w:val="baseline"/>
    </w:pPr>
    <w:rPr>
      <w:rFonts w:ascii="Times New Roman" w:hAnsi="Times New Roman" w:eastAsia="仿宋_GB2312"/>
      <w:sz w:val="32"/>
      <w:szCs w:val="22"/>
    </w:rPr>
  </w:style>
  <w:style w:type="paragraph" w:customStyle="1" w:styleId="21">
    <w:name w:val="BodyText"/>
    <w:basedOn w:val="1"/>
    <w:qFormat/>
    <w:uiPriority w:val="0"/>
    <w:pPr>
      <w:suppressAutoHyphens/>
      <w:bidi w:val="0"/>
      <w:spacing w:before="0" w:after="140" w:line="276" w:lineRule="auto"/>
      <w:jc w:val="both"/>
      <w:textAlignment w:val="baseline"/>
    </w:pPr>
  </w:style>
  <w:style w:type="paragraph" w:customStyle="1" w:styleId="22">
    <w:name w:val="样式1"/>
    <w:basedOn w:val="1"/>
    <w:qFormat/>
    <w:uiPriority w:val="0"/>
    <w:pPr>
      <w:spacing w:line="600" w:lineRule="exact"/>
      <w:ind w:firstLine="643" w:firstLineChars="200"/>
    </w:pPr>
    <w:rPr>
      <w:rFonts w:ascii="仿宋_GB2312" w:eastAsia="仿宋_GB2312"/>
      <w:sz w:val="32"/>
      <w:szCs w:val="32"/>
    </w:rPr>
  </w:style>
  <w:style w:type="character" w:customStyle="1" w:styleId="23">
    <w:name w:val="fontstyle01"/>
    <w:qFormat/>
    <w:uiPriority w:val="0"/>
    <w:rPr>
      <w:rFonts w:ascii="仿宋_GB2312" w:eastAsia="仿宋_GB2312"/>
      <w:color w:val="000000"/>
      <w:sz w:val="32"/>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Heading2"/>
    <w:basedOn w:val="1"/>
    <w:next w:val="1"/>
    <w:semiHidden/>
    <w:qFormat/>
    <w:uiPriority w:val="0"/>
    <w:pPr>
      <w:keepNext/>
      <w:keepLines/>
      <w:spacing w:before="260" w:after="260" w:line="416" w:lineRule="auto"/>
    </w:pPr>
    <w:rPr>
      <w:rFonts w:ascii="Cambria" w:hAnsi="Cambria" w:cs="Times New Roman"/>
      <w:b/>
      <w:bCs/>
      <w:sz w:val="32"/>
      <w:szCs w:val="32"/>
    </w:r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屯昌县（屯城镇）</Company>
  <Pages>53</Pages>
  <Words>28051</Words>
  <Characters>29017</Characters>
  <Lines>0</Lines>
  <Paragraphs>0</Paragraphs>
  <TotalTime>92</TotalTime>
  <ScaleCrop>false</ScaleCrop>
  <LinksUpToDate>false</LinksUpToDate>
  <CharactersWithSpaces>29127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2022-02-28T00:44:00Z</dcterms:created>
  <dc:creator>Mr.chen</dc:creator>
  <cp:lastModifiedBy>政府办收发员</cp:lastModifiedBy>
  <dcterms:modified xsi:type="dcterms:W3CDTF">2024-10-30T13:17:55Z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F56D3D0547254CB598476C47FF4C6C8E</vt:lpwstr>
  </property>
</Properties>
</file>