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AAF302">
      <w:pPr>
        <w:pStyle w:val="3"/>
        <w:keepNext/>
        <w:keepLines/>
        <w:pageBreakBefore w:val="0"/>
        <w:widowControl w:val="0"/>
        <w:kinsoku/>
        <w:wordWrap/>
        <w:overflowPunct/>
        <w:topLinePunct w:val="0"/>
        <w:autoSpaceDE w:val="0"/>
        <w:autoSpaceDN/>
        <w:bidi w:val="0"/>
        <w:adjustRightInd/>
        <w:snapToGrid/>
        <w:spacing w:before="157" w:beforeLines="50" w:after="157" w:afterLines="50" w:line="360" w:lineRule="auto"/>
        <w:jc w:val="center"/>
        <w:textAlignment w:val="auto"/>
        <w:outlineLvl w:val="9"/>
        <w:rPr>
          <w:rFonts w:hint="eastAsia" w:ascii="方正小标宋简体" w:eastAsia="方正小标宋简体" w:cs="Times New Roman"/>
          <w:b w:val="0"/>
          <w:bCs w:val="0"/>
          <w:kern w:val="0"/>
          <w:sz w:val="52"/>
          <w:szCs w:val="52"/>
          <w:highlight w:val="none"/>
          <w:lang w:val="en-US" w:eastAsia="zh-CN" w:bidi="ar-SA"/>
        </w:rPr>
      </w:pPr>
      <w:bookmarkStart w:id="0" w:name="_Toc1712"/>
      <w:bookmarkStart w:id="1" w:name="_Toc30270"/>
      <w:bookmarkStart w:id="2" w:name="_Toc29723"/>
      <w:bookmarkStart w:id="3" w:name="_Toc8121"/>
    </w:p>
    <w:p w14:paraId="6835215D">
      <w:pPr>
        <w:rPr>
          <w:rFonts w:hint="eastAsia"/>
          <w:highlight w:val="none"/>
          <w:lang w:val="en-US" w:eastAsia="zh-CN"/>
        </w:rPr>
      </w:pPr>
    </w:p>
    <w:p w14:paraId="395B998D">
      <w:pPr>
        <w:keepNext/>
        <w:keepLines/>
        <w:pageBreakBefore w:val="0"/>
        <w:widowControl w:val="0"/>
        <w:kinsoku/>
        <w:wordWrap/>
        <w:overflowPunct/>
        <w:topLinePunct w:val="0"/>
        <w:autoSpaceDE w:val="0"/>
        <w:autoSpaceDN/>
        <w:bidi w:val="0"/>
        <w:adjustRightInd/>
        <w:snapToGrid/>
        <w:spacing w:line="360" w:lineRule="auto"/>
        <w:jc w:val="center"/>
        <w:textAlignment w:val="auto"/>
        <w:outlineLvl w:val="9"/>
        <w:rPr>
          <w:highlight w:val="none"/>
        </w:rPr>
      </w:pPr>
      <w:r>
        <w:rPr>
          <w:rFonts w:hint="eastAsia" w:ascii="方正小标宋简体" w:eastAsia="方正小标宋简体" w:cs="Times New Roman"/>
          <w:b w:val="0"/>
          <w:bCs w:val="0"/>
          <w:kern w:val="0"/>
          <w:sz w:val="52"/>
          <w:szCs w:val="52"/>
          <w:highlight w:val="none"/>
          <w:lang w:val="en-US" w:eastAsia="zh-CN" w:bidi="ar-SA"/>
        </w:rPr>
        <w:t>海南省琼海市</w:t>
      </w:r>
      <w:bookmarkEnd w:id="0"/>
      <w:bookmarkEnd w:id="1"/>
      <w:bookmarkEnd w:id="2"/>
      <w:bookmarkEnd w:id="3"/>
      <w:bookmarkStart w:id="4" w:name="_Toc5383"/>
      <w:bookmarkStart w:id="5" w:name="_Toc4393"/>
      <w:bookmarkStart w:id="6" w:name="_Toc30889"/>
      <w:bookmarkStart w:id="7" w:name="_Toc31242"/>
      <w:bookmarkStart w:id="8" w:name="_Toc21335"/>
      <w:r>
        <w:rPr>
          <w:rFonts w:hint="eastAsia" w:ascii="方正小标宋简体" w:eastAsia="方正小标宋简体" w:cs="Times New Roman"/>
          <w:b w:val="0"/>
          <w:bCs w:val="0"/>
          <w:kern w:val="0"/>
          <w:sz w:val="52"/>
          <w:szCs w:val="52"/>
          <w:highlight w:val="none"/>
          <w:lang w:val="en-US" w:eastAsia="zh-CN" w:bidi="ar-SA"/>
        </w:rPr>
        <w:t>林地保护利用规划</w:t>
      </w:r>
      <w:bookmarkEnd w:id="4"/>
      <w:bookmarkEnd w:id="5"/>
      <w:bookmarkEnd w:id="6"/>
      <w:bookmarkEnd w:id="7"/>
      <w:bookmarkEnd w:id="8"/>
    </w:p>
    <w:p w14:paraId="370D0037">
      <w:pPr>
        <w:pStyle w:val="5"/>
        <w:keepNext w:val="0"/>
        <w:keepLines w:val="0"/>
        <w:pageBreakBefore w:val="0"/>
        <w:widowControl w:val="0"/>
        <w:kinsoku/>
        <w:wordWrap/>
        <w:overflowPunct/>
        <w:topLinePunct w:val="0"/>
        <w:autoSpaceDE/>
        <w:autoSpaceDN/>
        <w:bidi w:val="0"/>
        <w:adjustRightInd w:val="0"/>
        <w:snapToGrid w:val="0"/>
        <w:spacing w:after="0" w:line="360" w:lineRule="auto"/>
        <w:ind w:left="0" w:leftChars="0" w:firstLine="0" w:firstLineChars="0"/>
        <w:jc w:val="center"/>
        <w:textAlignment w:val="auto"/>
        <w:rPr>
          <w:rFonts w:hint="eastAsia" w:ascii="方正小标宋简体" w:hAnsi="Times New Roman" w:eastAsia="方正小标宋简体" w:cs="Times New Roman"/>
          <w:b w:val="0"/>
          <w:bCs w:val="0"/>
          <w:kern w:val="0"/>
          <w:sz w:val="52"/>
          <w:szCs w:val="52"/>
          <w:highlight w:val="none"/>
          <w:lang w:val="en-US" w:eastAsia="zh-CN" w:bidi="ar-SA"/>
        </w:rPr>
      </w:pPr>
      <w:r>
        <w:rPr>
          <w:rFonts w:hint="eastAsia" w:ascii="方正小标宋简体" w:hAnsi="Times New Roman" w:eastAsia="方正小标宋简体" w:cs="Times New Roman"/>
          <w:b w:val="0"/>
          <w:bCs w:val="0"/>
          <w:kern w:val="0"/>
          <w:sz w:val="52"/>
          <w:szCs w:val="52"/>
          <w:highlight w:val="none"/>
          <w:lang w:val="en-US" w:eastAsia="zh-CN" w:bidi="ar-SA"/>
        </w:rPr>
        <w:t>（2021-2035年）</w:t>
      </w:r>
    </w:p>
    <w:p w14:paraId="62E49569">
      <w:pPr>
        <w:pStyle w:val="5"/>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left="0" w:leftChars="0" w:firstLine="0" w:firstLineChars="0"/>
        <w:jc w:val="center"/>
        <w:textAlignment w:val="auto"/>
        <w:rPr>
          <w:rFonts w:hint="eastAsia" w:ascii="方正小标宋简体" w:hAnsi="Times New Roman" w:eastAsia="方正小标宋简体" w:cs="Times New Roman"/>
          <w:b w:val="0"/>
          <w:bCs w:val="0"/>
          <w:kern w:val="0"/>
          <w:sz w:val="52"/>
          <w:szCs w:val="52"/>
          <w:highlight w:val="none"/>
          <w:lang w:val="en-US" w:eastAsia="zh-CN" w:bidi="ar-SA"/>
        </w:rPr>
      </w:pPr>
    </w:p>
    <w:p w14:paraId="6FC76566">
      <w:pPr>
        <w:pStyle w:val="5"/>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left="0" w:leftChars="0" w:firstLine="0" w:firstLineChars="0"/>
        <w:jc w:val="center"/>
        <w:textAlignment w:val="auto"/>
        <w:rPr>
          <w:rFonts w:hint="eastAsia" w:ascii="方正小标宋简体" w:hAnsi="Times New Roman" w:eastAsia="方正小标宋简体" w:cs="Times New Roman"/>
          <w:b w:val="0"/>
          <w:bCs w:val="0"/>
          <w:kern w:val="0"/>
          <w:sz w:val="52"/>
          <w:szCs w:val="52"/>
          <w:highlight w:val="none"/>
          <w:lang w:val="en-US" w:eastAsia="zh-CN" w:bidi="ar-SA"/>
        </w:rPr>
      </w:pPr>
    </w:p>
    <w:p w14:paraId="59978923">
      <w:pPr>
        <w:pStyle w:val="5"/>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left="0" w:leftChars="0" w:firstLine="0" w:firstLineChars="0"/>
        <w:jc w:val="center"/>
        <w:textAlignment w:val="auto"/>
        <w:rPr>
          <w:rFonts w:hint="eastAsia" w:ascii="方正小标宋简体" w:hAnsi="Times New Roman" w:eastAsia="方正小标宋简体" w:cs="Times New Roman"/>
          <w:b w:val="0"/>
          <w:bCs w:val="0"/>
          <w:kern w:val="0"/>
          <w:sz w:val="52"/>
          <w:szCs w:val="52"/>
          <w:highlight w:val="none"/>
          <w:lang w:val="en-US" w:eastAsia="zh-CN" w:bidi="ar-SA"/>
        </w:rPr>
      </w:pPr>
    </w:p>
    <w:p w14:paraId="277AB550">
      <w:pPr>
        <w:pStyle w:val="5"/>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left="0" w:leftChars="0" w:firstLine="0" w:firstLineChars="0"/>
        <w:jc w:val="center"/>
        <w:textAlignment w:val="auto"/>
        <w:rPr>
          <w:rFonts w:hint="eastAsia" w:ascii="方正小标宋简体" w:hAnsi="Times New Roman" w:eastAsia="方正小标宋简体" w:cs="Times New Roman"/>
          <w:b w:val="0"/>
          <w:bCs w:val="0"/>
          <w:kern w:val="0"/>
          <w:sz w:val="52"/>
          <w:szCs w:val="52"/>
          <w:highlight w:val="none"/>
          <w:lang w:val="en-US" w:eastAsia="zh-CN" w:bidi="ar-SA"/>
        </w:rPr>
      </w:pPr>
    </w:p>
    <w:p w14:paraId="23AA96CE">
      <w:pPr>
        <w:pStyle w:val="5"/>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left="0" w:leftChars="0" w:firstLine="0" w:firstLineChars="0"/>
        <w:jc w:val="both"/>
        <w:textAlignment w:val="auto"/>
        <w:rPr>
          <w:rFonts w:hint="eastAsia" w:ascii="方正小标宋简体" w:hAnsi="Times New Roman" w:eastAsia="方正小标宋简体" w:cs="Times New Roman"/>
          <w:b w:val="0"/>
          <w:bCs w:val="0"/>
          <w:kern w:val="0"/>
          <w:sz w:val="52"/>
          <w:szCs w:val="52"/>
          <w:highlight w:val="none"/>
          <w:lang w:val="en-US" w:eastAsia="zh-CN" w:bidi="ar-SA"/>
        </w:rPr>
      </w:pPr>
    </w:p>
    <w:p w14:paraId="65E9E6E2">
      <w:pPr>
        <w:pStyle w:val="5"/>
        <w:keepNext w:val="0"/>
        <w:keepLines w:val="0"/>
        <w:pageBreakBefore w:val="0"/>
        <w:widowControl w:val="0"/>
        <w:kinsoku/>
        <w:wordWrap/>
        <w:overflowPunct/>
        <w:topLinePunct w:val="0"/>
        <w:autoSpaceDE/>
        <w:autoSpaceDN/>
        <w:bidi w:val="0"/>
        <w:adjustRightInd w:val="0"/>
        <w:snapToGrid w:val="0"/>
        <w:spacing w:before="157" w:beforeLines="50" w:after="157" w:afterLines="50" w:line="276" w:lineRule="auto"/>
        <w:ind w:left="0" w:leftChars="0" w:firstLine="0" w:firstLineChars="0"/>
        <w:jc w:val="both"/>
        <w:textAlignment w:val="auto"/>
        <w:rPr>
          <w:rFonts w:hint="eastAsia" w:ascii="方正小标宋简体" w:hAnsi="Times New Roman" w:eastAsia="方正小标宋简体" w:cs="Times New Roman"/>
          <w:b w:val="0"/>
          <w:bCs w:val="0"/>
          <w:kern w:val="0"/>
          <w:sz w:val="52"/>
          <w:szCs w:val="52"/>
          <w:highlight w:val="none"/>
          <w:lang w:val="en-US" w:eastAsia="zh-CN" w:bidi="ar-SA"/>
        </w:rPr>
      </w:pPr>
    </w:p>
    <w:p w14:paraId="4FD433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eastAsia="方正小标宋简体"/>
          <w:sz w:val="36"/>
          <w:szCs w:val="36"/>
          <w:highlight w:val="none"/>
        </w:rPr>
      </w:pPr>
    </w:p>
    <w:p w14:paraId="4B9E291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eastAsia="方正小标宋简体"/>
          <w:sz w:val="36"/>
          <w:szCs w:val="36"/>
          <w:highlight w:val="none"/>
        </w:rPr>
      </w:pPr>
    </w:p>
    <w:p w14:paraId="46BCC9D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eastAsia="方正小标宋简体"/>
          <w:sz w:val="36"/>
          <w:szCs w:val="36"/>
          <w:highlight w:val="none"/>
        </w:rPr>
      </w:pPr>
    </w:p>
    <w:p w14:paraId="1B0B98B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eastAsia="方正小标宋简体"/>
          <w:sz w:val="36"/>
          <w:szCs w:val="36"/>
          <w:highlight w:val="none"/>
        </w:rPr>
      </w:pPr>
    </w:p>
    <w:p w14:paraId="1F5A843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方正小标宋简体" w:eastAsia="方正小标宋简体"/>
          <w:sz w:val="36"/>
          <w:szCs w:val="36"/>
          <w:highlight w:val="none"/>
          <w:lang w:val="en-US" w:eastAsia="zh-CN"/>
        </w:rPr>
      </w:pPr>
      <w:r>
        <w:rPr>
          <w:rFonts w:hint="eastAsia" w:ascii="方正小标宋简体" w:eastAsia="方正小标宋简体"/>
          <w:sz w:val="36"/>
          <w:szCs w:val="36"/>
          <w:highlight w:val="none"/>
          <w:lang w:val="en-US" w:eastAsia="zh-CN"/>
        </w:rPr>
        <w:t>2023年8月</w:t>
      </w:r>
    </w:p>
    <w:p w14:paraId="07FA97E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eastAsia="方正小标宋简体"/>
          <w:sz w:val="36"/>
          <w:szCs w:val="36"/>
          <w:highlight w:val="none"/>
        </w:rPr>
      </w:pPr>
    </w:p>
    <w:p w14:paraId="39BBE12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方正小标宋简体" w:eastAsia="方正小标宋简体"/>
          <w:sz w:val="36"/>
          <w:szCs w:val="36"/>
          <w:highlight w:val="none"/>
        </w:rPr>
      </w:pPr>
      <w:r>
        <w:rPr>
          <w:rFonts w:hint="eastAsia" w:ascii="方正小标宋简体" w:eastAsia="方正小标宋简体"/>
          <w:sz w:val="36"/>
          <w:szCs w:val="36"/>
          <w:highlight w:val="none"/>
        </w:rPr>
        <w:t>前  言</w:t>
      </w:r>
    </w:p>
    <w:p w14:paraId="7F2B1D43">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林地是国家重要的自然资源和战略资源，是森林赖以生存和发展的根基，是野生动植物栖息繁衍和生物多样性保护的物质基础，是林业发展和生态建设的载体。加强林地保护利用管理，提升森林资源承载能力，已成为应对气候变化、发展现代林业、保障国土生态安全、坚持人与自然和谐共生、推进生态文明建设的首要任务，</w:t>
      </w:r>
      <w:r>
        <w:rPr>
          <w:rFonts w:hint="eastAsia" w:eastAsia="仿宋_GB2312" w:cs="Times New Roman"/>
          <w:kern w:val="0"/>
          <w:sz w:val="30"/>
          <w:szCs w:val="30"/>
          <w:highlight w:val="none"/>
          <w:lang w:val="en-US" w:eastAsia="zh-CN" w:bidi="ar-SA"/>
        </w:rPr>
        <w:t>更</w:t>
      </w:r>
      <w:r>
        <w:rPr>
          <w:rFonts w:hint="default" w:ascii="Times New Roman" w:hAnsi="Times New Roman" w:eastAsia="仿宋_GB2312" w:cs="Times New Roman"/>
          <w:kern w:val="0"/>
          <w:sz w:val="30"/>
          <w:szCs w:val="30"/>
          <w:highlight w:val="none"/>
          <w:lang w:val="en-US" w:eastAsia="zh-CN" w:bidi="ar-SA"/>
        </w:rPr>
        <w:t>是贯彻落实</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绿水青山就是金山银山</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发展理念、建设美丽中国的重要保障。因此，开展新一轮林地保护利用规划，既是践行习近平生态文明思想的具体行动，也是依法履行森林法等法定职责和依规履行林地资源管理职能的重要手段。</w:t>
      </w:r>
    </w:p>
    <w:p w14:paraId="1CA33984">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560" w:lineRule="exact"/>
        <w:ind w:firstLine="600" w:firstLineChars="200"/>
        <w:jc w:val="both"/>
        <w:textAlignment w:val="auto"/>
        <w:rPr>
          <w:rFonts w:hint="eastAsia"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为做好新</w:t>
      </w:r>
      <w:r>
        <w:rPr>
          <w:rFonts w:hint="default" w:ascii="Times New Roman" w:hAnsi="Times New Roman" w:eastAsia="仿宋_GB2312" w:cs="Times New Roman"/>
          <w:kern w:val="0"/>
          <w:sz w:val="30"/>
          <w:szCs w:val="30"/>
          <w:highlight w:val="none"/>
          <w:lang w:val="en-US" w:eastAsia="zh-CN" w:bidi="ar-SA"/>
        </w:rPr>
        <w:t>一轮林地保护利用规划</w:t>
      </w:r>
      <w:r>
        <w:rPr>
          <w:rFonts w:hint="eastAsia" w:eastAsia="仿宋_GB2312" w:cs="Times New Roman"/>
          <w:kern w:val="0"/>
          <w:sz w:val="30"/>
          <w:szCs w:val="30"/>
          <w:highlight w:val="none"/>
          <w:lang w:val="en-US" w:eastAsia="zh-CN" w:bidi="ar-SA"/>
        </w:rPr>
        <w:t>工作，琼海市自然资源和规划局委托</w:t>
      </w:r>
      <w:r>
        <w:rPr>
          <w:rFonts w:hint="eastAsia" w:eastAsia="仿宋_GB2312"/>
          <w:kern w:val="0"/>
          <w:sz w:val="30"/>
          <w:szCs w:val="30"/>
          <w:highlight w:val="none"/>
          <w:lang w:eastAsia="zh-CN"/>
        </w:rPr>
        <w:t>技术单位</w:t>
      </w:r>
      <w:r>
        <w:rPr>
          <w:rFonts w:hint="eastAsia" w:eastAsia="仿宋_GB2312"/>
          <w:kern w:val="0"/>
          <w:sz w:val="30"/>
          <w:szCs w:val="30"/>
          <w:highlight w:val="none"/>
          <w:lang w:val="en-US" w:eastAsia="zh-CN"/>
        </w:rPr>
        <w:t>，</w:t>
      </w:r>
      <w:r>
        <w:rPr>
          <w:rFonts w:hint="eastAsia" w:eastAsia="仿宋_GB2312" w:cs="Times New Roman"/>
          <w:kern w:val="0"/>
          <w:sz w:val="30"/>
          <w:szCs w:val="30"/>
          <w:highlight w:val="none"/>
          <w:lang w:val="en-US" w:eastAsia="zh-CN" w:bidi="ar-SA"/>
        </w:rPr>
        <w:t>按照</w:t>
      </w:r>
      <w:r>
        <w:rPr>
          <w:rFonts w:hint="eastAsia" w:ascii="Times New Roman" w:hAnsi="Times New Roman" w:eastAsia="仿宋_GB2312" w:cs="Times New Roman"/>
          <w:kern w:val="0"/>
          <w:sz w:val="30"/>
          <w:szCs w:val="30"/>
          <w:highlight w:val="none"/>
          <w:lang w:val="en-US" w:eastAsia="zh-CN" w:bidi="ar-SA"/>
        </w:rPr>
        <w:t>《国家林业和草原局关于印发〈新一轮林地保护利用规划编制工作方案〉和〈新一轮林地保护利用规划编制技术方案〉的通知》</w:t>
      </w:r>
      <w:r>
        <w:rPr>
          <w:rFonts w:hint="eastAsia"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eastAsia="zh-CN"/>
        </w:rPr>
        <w:t>林资发〔2020〕95号</w:t>
      </w:r>
      <w:r>
        <w:rPr>
          <w:rFonts w:hint="eastAsia" w:eastAsia="仿宋_GB2312" w:cs="Times New Roman"/>
          <w:kern w:val="0"/>
          <w:sz w:val="30"/>
          <w:szCs w:val="30"/>
          <w:highlight w:val="none"/>
          <w:lang w:val="en-US" w:eastAsia="zh-CN" w:bidi="ar-SA"/>
        </w:rPr>
        <w:t>）、《自然资源部 国家林业和草原局关于以第三次全国国土调查成果为基础明确林地管理边界规范林地管理的通知》（</w:t>
      </w:r>
      <w:r>
        <w:rPr>
          <w:rFonts w:hint="eastAsia" w:ascii="Times New Roman" w:hAnsi="Times New Roman" w:eastAsia="仿宋_GB2312" w:cs="Times New Roman"/>
          <w:i w:val="0"/>
          <w:iCs w:val="0"/>
          <w:caps w:val="0"/>
          <w:color w:val="auto"/>
          <w:spacing w:val="0"/>
          <w:kern w:val="0"/>
          <w:sz w:val="30"/>
          <w:szCs w:val="30"/>
          <w:highlight w:val="none"/>
          <w:shd w:val="clear" w:fill="auto"/>
        </w:rPr>
        <w:t>自然资发〔2023〕53号</w:t>
      </w:r>
      <w:r>
        <w:rPr>
          <w:rFonts w:hint="eastAsia" w:eastAsia="仿宋_GB2312" w:cs="Times New Roman"/>
          <w:kern w:val="0"/>
          <w:sz w:val="30"/>
          <w:szCs w:val="30"/>
          <w:highlight w:val="none"/>
          <w:lang w:val="en-US" w:eastAsia="zh-CN" w:bidi="ar-SA"/>
        </w:rPr>
        <w:t>）等文件要求开展</w:t>
      </w:r>
      <w:r>
        <w:rPr>
          <w:rFonts w:hint="eastAsia" w:eastAsia="仿宋_GB2312"/>
          <w:kern w:val="0"/>
          <w:sz w:val="30"/>
          <w:szCs w:val="30"/>
          <w:highlight w:val="none"/>
          <w:lang w:val="en-US" w:eastAsia="zh-CN"/>
        </w:rPr>
        <w:t>《</w:t>
      </w:r>
      <w:r>
        <w:rPr>
          <w:rFonts w:hint="eastAsia" w:eastAsia="仿宋_GB2312" w:cs="Times New Roman"/>
          <w:kern w:val="0"/>
          <w:sz w:val="30"/>
          <w:szCs w:val="30"/>
          <w:highlight w:val="none"/>
          <w:lang w:val="en-US" w:eastAsia="zh-CN"/>
        </w:rPr>
        <w:t>海南省琼海市林地保护利用规划（2021-2035年）</w:t>
      </w:r>
      <w:r>
        <w:rPr>
          <w:rFonts w:hint="eastAsia" w:eastAsia="仿宋_GB2312"/>
          <w:kern w:val="0"/>
          <w:sz w:val="30"/>
          <w:szCs w:val="30"/>
          <w:highlight w:val="none"/>
          <w:lang w:val="en-US" w:eastAsia="zh-CN"/>
        </w:rPr>
        <w:t>》（以下简称《规划》）编制工作。</w:t>
      </w:r>
    </w:p>
    <w:p w14:paraId="0AEBC7BC">
      <w:pPr>
        <w:keepNext w:val="0"/>
        <w:keepLines w:val="0"/>
        <w:pageBreakBefore w:val="0"/>
        <w:widowControl/>
        <w:suppressLineNumbers w:val="0"/>
        <w:kinsoku/>
        <w:wordWrap/>
        <w:overflowPunct/>
        <w:topLinePunct w:val="0"/>
        <w:autoSpaceDE/>
        <w:autoSpaceDN/>
        <w:bidi w:val="0"/>
        <w:adjustRightInd/>
        <w:snapToGrid/>
        <w:spacing w:before="157" w:beforeLines="50" w:after="157" w:afterLines="5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《规划》是指导琼海市未来15年林地保护利用工作的纲领性</w:t>
      </w:r>
      <w:r>
        <w:rPr>
          <w:rFonts w:hint="eastAsia" w:eastAsia="仿宋_GB2312" w:cs="Times New Roman"/>
          <w:kern w:val="0"/>
          <w:sz w:val="30"/>
          <w:szCs w:val="30"/>
          <w:highlight w:val="none"/>
          <w:lang w:val="en-US" w:eastAsia="zh-CN" w:bidi="ar-SA"/>
        </w:rPr>
        <w:t>、</w:t>
      </w:r>
      <w:r>
        <w:rPr>
          <w:rFonts w:hint="eastAsia" w:eastAsia="仿宋_GB2312"/>
          <w:kern w:val="0"/>
          <w:sz w:val="30"/>
          <w:szCs w:val="30"/>
          <w:highlight w:val="none"/>
        </w:rPr>
        <w:t>约束性</w:t>
      </w:r>
      <w:r>
        <w:rPr>
          <w:rFonts w:hint="default" w:ascii="Times New Roman" w:hAnsi="Times New Roman" w:eastAsia="仿宋_GB2312" w:cs="Times New Roman"/>
          <w:kern w:val="0"/>
          <w:sz w:val="30"/>
          <w:szCs w:val="30"/>
          <w:highlight w:val="none"/>
          <w:lang w:val="en-US" w:eastAsia="zh-CN" w:bidi="ar-SA"/>
        </w:rPr>
        <w:t>文件，规划期限为2021-2035年，</w:t>
      </w:r>
      <w:r>
        <w:rPr>
          <w:rFonts w:hint="eastAsia" w:eastAsia="仿宋_GB2312" w:cs="Times New Roman"/>
          <w:kern w:val="0"/>
          <w:sz w:val="30"/>
          <w:szCs w:val="30"/>
          <w:highlight w:val="none"/>
          <w:lang w:val="en-US" w:eastAsia="zh-CN" w:bidi="ar-SA"/>
        </w:rPr>
        <w:t>以</w:t>
      </w:r>
      <w:r>
        <w:rPr>
          <w:rFonts w:eastAsia="仿宋_GB2312" w:cs="Times New Roman"/>
          <w:kern w:val="0"/>
          <w:sz w:val="30"/>
          <w:szCs w:val="30"/>
          <w:highlight w:val="none"/>
          <w:lang w:eastAsia="zh-CN"/>
        </w:rPr>
        <w:t>2020年为基准年</w:t>
      </w:r>
      <w:r>
        <w:rPr>
          <w:rFonts w:hint="eastAsia" w:eastAsia="仿宋_GB2312" w:cs="Times New Roman"/>
          <w:kern w:val="0"/>
          <w:sz w:val="30"/>
          <w:szCs w:val="30"/>
          <w:highlight w:val="none"/>
          <w:lang w:eastAsia="zh-CN"/>
        </w:rPr>
        <w:t>，</w:t>
      </w:r>
      <w:r>
        <w:rPr>
          <w:rFonts w:hint="default" w:ascii="Times New Roman" w:hAnsi="Times New Roman" w:eastAsia="仿宋_GB2312" w:cs="Times New Roman"/>
          <w:kern w:val="0"/>
          <w:sz w:val="30"/>
          <w:szCs w:val="30"/>
          <w:highlight w:val="none"/>
          <w:lang w:val="en-US" w:eastAsia="zh-CN" w:bidi="ar-SA"/>
        </w:rPr>
        <w:t>2035年为规划目标年，规划区域为</w:t>
      </w:r>
      <w:r>
        <w:rPr>
          <w:rFonts w:hint="default" w:eastAsia="仿宋_GB2312"/>
          <w:kern w:val="0"/>
          <w:sz w:val="30"/>
          <w:szCs w:val="30"/>
          <w:highlight w:val="none"/>
        </w:rPr>
        <w:t>琼海市行政区内的所有林地和依法可用于林业发展的其他土地</w:t>
      </w:r>
      <w:r>
        <w:rPr>
          <w:rFonts w:hint="default" w:ascii="Times New Roman" w:hAnsi="Times New Roman" w:eastAsia="仿宋_GB2312" w:cs="Times New Roman"/>
          <w:kern w:val="0"/>
          <w:sz w:val="30"/>
          <w:szCs w:val="30"/>
          <w:highlight w:val="none"/>
          <w:lang w:val="en-US" w:eastAsia="zh-CN" w:bidi="ar-SA"/>
        </w:rPr>
        <w:t>，在对全市林地资源现状、利用特点、存在问题、消长趋势进行综合分析的基础上，</w:t>
      </w:r>
      <w:r>
        <w:rPr>
          <w:rFonts w:hint="eastAsia" w:eastAsia="仿宋_GB2312" w:cs="Times New Roman"/>
          <w:kern w:val="0"/>
          <w:sz w:val="30"/>
          <w:szCs w:val="30"/>
          <w:highlight w:val="none"/>
          <w:lang w:val="en-US" w:eastAsia="zh-CN" w:bidi="ar-SA"/>
        </w:rPr>
        <w:t>明确</w:t>
      </w:r>
      <w:r>
        <w:rPr>
          <w:rFonts w:hint="default" w:ascii="Times New Roman" w:hAnsi="Times New Roman" w:eastAsia="仿宋_GB2312" w:cs="Times New Roman"/>
          <w:kern w:val="0"/>
          <w:sz w:val="30"/>
          <w:szCs w:val="30"/>
          <w:highlight w:val="none"/>
          <w:lang w:val="en-US" w:eastAsia="zh-CN" w:bidi="ar-SA"/>
        </w:rPr>
        <w:t>了林地保护利用规划的指导思想、原则和目标，从林地总量、林地结构、林种结构、区域布局等方面作出了规划安排，对林地保护及建设工程作出规划设想，提出保障规划实施的主要措施，是琼海市各项工程建设使用林地、审核审批林地的重要依据，是优化林地结构、提高林地利用效益、实现林地科学管理的基础和落实林地用途管制的重要保障。</w:t>
      </w:r>
    </w:p>
    <w:p w14:paraId="17308CD9">
      <w:pPr>
        <w:pStyle w:val="4"/>
        <w:keepNext w:val="0"/>
        <w:keepLines w:val="0"/>
        <w:pageBreakBefore w:val="0"/>
        <w:kinsoku/>
        <w:wordWrap/>
        <w:overflowPunct/>
        <w:topLinePunct w:val="0"/>
        <w:autoSpaceDE/>
        <w:autoSpaceDN/>
        <w:bidi w:val="0"/>
        <w:adjustRightInd/>
        <w:snapToGrid/>
        <w:spacing w:before="157" w:beforeLines="50" w:after="157" w:afterLines="5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kern w:val="0"/>
          <w:sz w:val="30"/>
          <w:szCs w:val="30"/>
          <w:highlight w:val="none"/>
        </w:rPr>
        <w:t>《规划》编制工作得到了</w:t>
      </w:r>
      <w:r>
        <w:rPr>
          <w:rFonts w:hint="eastAsia" w:ascii="Times New Roman" w:hAnsi="Times New Roman" w:eastAsia="仿宋_GB2312"/>
          <w:kern w:val="0"/>
          <w:sz w:val="30"/>
          <w:szCs w:val="30"/>
          <w:highlight w:val="none"/>
          <w:lang w:val="en-US" w:eastAsia="zh-CN"/>
        </w:rPr>
        <w:t>琼海市</w:t>
      </w:r>
      <w:r>
        <w:rPr>
          <w:rFonts w:hint="default" w:ascii="Times New Roman" w:hAnsi="Times New Roman" w:eastAsia="仿宋_GB2312"/>
          <w:kern w:val="0"/>
          <w:sz w:val="30"/>
          <w:szCs w:val="30"/>
          <w:highlight w:val="none"/>
        </w:rPr>
        <w:t>人民政府以及</w:t>
      </w:r>
      <w:r>
        <w:rPr>
          <w:rFonts w:hint="eastAsia" w:ascii="Times New Roman" w:hAnsi="Times New Roman" w:eastAsia="仿宋_GB2312"/>
          <w:kern w:val="0"/>
          <w:sz w:val="30"/>
          <w:szCs w:val="30"/>
          <w:highlight w:val="none"/>
        </w:rPr>
        <w:t>市自然资源和规划局</w:t>
      </w:r>
      <w:r>
        <w:rPr>
          <w:rFonts w:hint="default" w:ascii="Times New Roman" w:hAnsi="Times New Roman" w:eastAsia="仿宋_GB2312"/>
          <w:kern w:val="0"/>
          <w:sz w:val="30"/>
          <w:szCs w:val="30"/>
          <w:highlight w:val="none"/>
        </w:rPr>
        <w:t>、</w:t>
      </w:r>
      <w:r>
        <w:rPr>
          <w:rFonts w:hint="eastAsia" w:ascii="Times New Roman" w:hAnsi="Times New Roman" w:eastAsia="仿宋_GB2312"/>
          <w:kern w:val="0"/>
          <w:sz w:val="30"/>
          <w:szCs w:val="30"/>
          <w:highlight w:val="none"/>
          <w:lang w:val="en-US" w:eastAsia="zh-CN"/>
        </w:rPr>
        <w:t>市</w:t>
      </w:r>
      <w:r>
        <w:rPr>
          <w:rFonts w:hint="default" w:ascii="Times New Roman" w:hAnsi="Times New Roman" w:eastAsia="仿宋_GB2312"/>
          <w:kern w:val="0"/>
          <w:sz w:val="30"/>
          <w:szCs w:val="30"/>
          <w:highlight w:val="none"/>
        </w:rPr>
        <w:t>发展和改革局、</w:t>
      </w:r>
      <w:r>
        <w:rPr>
          <w:rFonts w:hint="eastAsia" w:ascii="Times New Roman" w:hAnsi="Times New Roman" w:eastAsia="仿宋_GB2312"/>
          <w:kern w:val="0"/>
          <w:sz w:val="30"/>
          <w:szCs w:val="30"/>
          <w:highlight w:val="none"/>
          <w:lang w:val="en-US" w:eastAsia="zh-CN"/>
        </w:rPr>
        <w:t>市</w:t>
      </w:r>
      <w:r>
        <w:rPr>
          <w:rFonts w:hint="default" w:ascii="Times New Roman" w:hAnsi="Times New Roman" w:eastAsia="仿宋_GB2312"/>
          <w:kern w:val="0"/>
          <w:sz w:val="30"/>
          <w:szCs w:val="30"/>
          <w:highlight w:val="none"/>
        </w:rPr>
        <w:t>财政局、</w:t>
      </w:r>
      <w:r>
        <w:rPr>
          <w:rFonts w:hint="eastAsia" w:ascii="Times New Roman" w:hAnsi="Times New Roman" w:eastAsia="仿宋_GB2312"/>
          <w:kern w:val="0"/>
          <w:sz w:val="30"/>
          <w:szCs w:val="30"/>
          <w:highlight w:val="none"/>
          <w:lang w:val="en-US" w:eastAsia="zh-CN"/>
        </w:rPr>
        <w:t>市</w:t>
      </w:r>
      <w:r>
        <w:rPr>
          <w:rFonts w:hint="default" w:ascii="Times New Roman" w:hAnsi="Times New Roman" w:eastAsia="仿宋_GB2312"/>
          <w:kern w:val="0"/>
          <w:sz w:val="30"/>
          <w:szCs w:val="30"/>
          <w:highlight w:val="none"/>
        </w:rPr>
        <w:t>交通运输局、</w:t>
      </w:r>
      <w:r>
        <w:rPr>
          <w:rFonts w:hint="eastAsia" w:ascii="Times New Roman" w:hAnsi="Times New Roman" w:eastAsia="仿宋_GB2312"/>
          <w:kern w:val="0"/>
          <w:sz w:val="30"/>
          <w:szCs w:val="30"/>
          <w:highlight w:val="none"/>
          <w:lang w:val="en-US" w:eastAsia="zh-CN"/>
        </w:rPr>
        <w:t>市</w:t>
      </w:r>
      <w:r>
        <w:rPr>
          <w:rFonts w:hint="default" w:ascii="Times New Roman" w:hAnsi="Times New Roman" w:eastAsia="仿宋_GB2312"/>
          <w:kern w:val="0"/>
          <w:sz w:val="30"/>
          <w:szCs w:val="30"/>
          <w:highlight w:val="none"/>
        </w:rPr>
        <w:t>水利局、</w:t>
      </w:r>
      <w:r>
        <w:rPr>
          <w:rFonts w:hint="eastAsia" w:ascii="Times New Roman" w:hAnsi="Times New Roman" w:eastAsia="仿宋_GB2312"/>
          <w:kern w:val="0"/>
          <w:sz w:val="30"/>
          <w:szCs w:val="30"/>
          <w:highlight w:val="none"/>
          <w:lang w:val="en-US" w:eastAsia="zh-CN"/>
        </w:rPr>
        <w:t>市</w:t>
      </w:r>
      <w:r>
        <w:rPr>
          <w:rFonts w:hint="default" w:ascii="Times New Roman" w:hAnsi="Times New Roman" w:eastAsia="仿宋_GB2312"/>
          <w:kern w:val="0"/>
          <w:sz w:val="30"/>
          <w:szCs w:val="30"/>
          <w:highlight w:val="none"/>
        </w:rPr>
        <w:t>农业农村局、</w:t>
      </w:r>
      <w:r>
        <w:rPr>
          <w:rFonts w:hint="eastAsia" w:ascii="Times New Roman" w:hAnsi="Times New Roman" w:eastAsia="仿宋_GB2312"/>
          <w:kern w:val="0"/>
          <w:sz w:val="30"/>
          <w:szCs w:val="30"/>
          <w:highlight w:val="none"/>
          <w:lang w:val="en-US" w:eastAsia="zh-CN"/>
        </w:rPr>
        <w:t>市</w:t>
      </w:r>
      <w:r>
        <w:rPr>
          <w:rFonts w:hint="default" w:ascii="Times New Roman" w:hAnsi="Times New Roman" w:eastAsia="仿宋_GB2312"/>
          <w:kern w:val="0"/>
          <w:sz w:val="30"/>
          <w:szCs w:val="30"/>
          <w:highlight w:val="none"/>
        </w:rPr>
        <w:t>生态环境局等相关部门的领导、专家及工作人员的大力支持，在此表示衷心感谢！</w:t>
      </w:r>
      <w:r>
        <w:rPr>
          <w:rFonts w:hint="default" w:ascii="Times New Roman" w:hAnsi="Times New Roman" w:eastAsia="仿宋_GB2312" w:cs="Times New Roman"/>
          <w:kern w:val="0"/>
          <w:sz w:val="30"/>
          <w:szCs w:val="30"/>
          <w:highlight w:val="none"/>
          <w:lang w:val="en-US" w:eastAsia="zh-CN" w:bidi="ar-SA"/>
        </w:rPr>
        <w:t>由于水平有限，《规划》难免会存在纰漏与不足之处，敬请批评指正。</w:t>
      </w:r>
    </w:p>
    <w:p w14:paraId="1A2033D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color w:val="auto"/>
          <w:sz w:val="30"/>
          <w:lang w:val="en-US" w:eastAsia="zh-CN"/>
        </w:rPr>
      </w:pPr>
      <w:r>
        <w:rPr>
          <w:rFonts w:hint="eastAsia" w:ascii="Times New Roman" w:hAnsi="Times New Roman" w:eastAsia="仿宋_GB2312" w:cs="Times New Roman"/>
          <w:color w:val="auto"/>
          <w:sz w:val="30"/>
          <w:lang w:val="en-US" w:eastAsia="zh-CN"/>
        </w:rPr>
        <w:t xml:space="preserve">                           规划</w:t>
      </w:r>
      <w:r>
        <w:rPr>
          <w:rFonts w:hint="default" w:ascii="Times New Roman" w:hAnsi="Times New Roman" w:eastAsia="仿宋_GB2312" w:cs="Times New Roman"/>
          <w:color w:val="auto"/>
          <w:sz w:val="30"/>
          <w:lang w:val="en-US" w:eastAsia="zh-CN"/>
        </w:rPr>
        <w:t xml:space="preserve">编制组 </w:t>
      </w:r>
    </w:p>
    <w:p w14:paraId="78D39530">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default" w:ascii="Times New Roman" w:hAnsi="Times New Roman" w:eastAsia="仿宋_GB2312" w:cs="Times New Roman"/>
          <w:color w:val="auto"/>
          <w:sz w:val="30"/>
          <w:lang w:val="en-US" w:eastAsia="zh-CN"/>
        </w:rPr>
      </w:pPr>
      <w:r>
        <w:rPr>
          <w:rFonts w:hint="default" w:ascii="Times New Roman" w:hAnsi="Times New Roman" w:eastAsia="仿宋_GB2312" w:cs="Times New Roman"/>
          <w:color w:val="auto"/>
          <w:sz w:val="30"/>
          <w:lang w:val="en-US" w:eastAsia="zh-CN"/>
        </w:rPr>
        <w:t xml:space="preserve">                           202</w:t>
      </w:r>
      <w:r>
        <w:rPr>
          <w:rFonts w:hint="eastAsia" w:eastAsia="仿宋_GB2312" w:cs="Times New Roman"/>
          <w:color w:val="auto"/>
          <w:sz w:val="30"/>
          <w:lang w:val="en-US" w:eastAsia="zh-CN"/>
        </w:rPr>
        <w:t>3</w:t>
      </w:r>
      <w:r>
        <w:rPr>
          <w:rFonts w:hint="default" w:ascii="Times New Roman" w:hAnsi="Times New Roman" w:eastAsia="仿宋_GB2312" w:cs="Times New Roman"/>
          <w:color w:val="auto"/>
          <w:sz w:val="30"/>
          <w:lang w:val="en-US" w:eastAsia="zh-CN"/>
        </w:rPr>
        <w:t>年</w:t>
      </w:r>
      <w:r>
        <w:rPr>
          <w:rFonts w:hint="eastAsia" w:eastAsia="仿宋_GB2312" w:cs="Times New Roman"/>
          <w:color w:val="auto"/>
          <w:sz w:val="30"/>
          <w:lang w:val="en-US" w:eastAsia="zh-CN"/>
        </w:rPr>
        <w:t>7</w:t>
      </w:r>
      <w:r>
        <w:rPr>
          <w:rFonts w:hint="default" w:ascii="Times New Roman" w:hAnsi="Times New Roman" w:eastAsia="仿宋_GB2312" w:cs="Times New Roman"/>
          <w:color w:val="auto"/>
          <w:sz w:val="30"/>
          <w:lang w:val="en-US" w:eastAsia="zh-CN"/>
        </w:rPr>
        <w:t>月</w:t>
      </w:r>
    </w:p>
    <w:p w14:paraId="5B365B82">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ascii="宋体" w:hAnsi="宋体" w:eastAsia="宋体" w:cs="Times New Roman"/>
          <w:kern w:val="2"/>
          <w:sz w:val="21"/>
          <w:szCs w:val="24"/>
          <w:highlight w:val="none"/>
          <w:lang w:val="en-US" w:eastAsia="zh-CN" w:bidi="ar-SA"/>
        </w:rPr>
        <w:sectPr>
          <w:pgSz w:w="11906" w:h="16838"/>
          <w:pgMar w:top="1440" w:right="1800" w:bottom="1440" w:left="1800" w:header="851" w:footer="992" w:gutter="0"/>
          <w:cols w:space="425" w:num="1"/>
          <w:docGrid w:type="lines" w:linePitch="312" w:charSpace="0"/>
        </w:sectPr>
      </w:pPr>
    </w:p>
    <w:sdt>
      <w:sdtPr>
        <w:rPr>
          <w:rFonts w:ascii="宋体" w:hAnsi="宋体" w:eastAsia="宋体" w:cs="Times New Roman"/>
          <w:kern w:val="2"/>
          <w:sz w:val="21"/>
          <w:szCs w:val="24"/>
          <w:highlight w:val="none"/>
          <w:lang w:val="en-US" w:eastAsia="zh-CN" w:bidi="ar-SA"/>
        </w:rPr>
        <w:id w:val="147463960"/>
        <w15:color w:val="DBDBDB"/>
        <w:docPartObj>
          <w:docPartGallery w:val="Table of Contents"/>
          <w:docPartUnique/>
        </w:docPartObj>
      </w:sdtPr>
      <w:sdtEndPr>
        <w:rPr>
          <w:rFonts w:hint="default" w:ascii="Times New Roman" w:hAnsi="Times New Roman" w:eastAsia="宋体" w:cs="Times New Roman"/>
          <w:b/>
          <w:kern w:val="2"/>
          <w:sz w:val="21"/>
          <w:szCs w:val="24"/>
          <w:highlight w:val="none"/>
          <w:lang w:val="en-US" w:eastAsia="zh-CN" w:bidi="ar-SA"/>
        </w:rPr>
      </w:sdtEndPr>
      <w:sdtContent>
        <w:p w14:paraId="0D9C2F44">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方正小标宋简体" w:hAnsi="Times New Roman" w:eastAsia="方正小标宋简体" w:cs="Times New Roman"/>
              <w:kern w:val="0"/>
              <w:sz w:val="36"/>
              <w:szCs w:val="36"/>
              <w:highlight w:val="none"/>
              <w:lang w:val="en-US" w:eastAsia="zh-CN" w:bidi="ar-SA"/>
            </w:rPr>
          </w:pPr>
          <w:r>
            <w:rPr>
              <w:rFonts w:hint="eastAsia" w:ascii="方正小标宋简体" w:hAnsi="Times New Roman" w:eastAsia="方正小标宋简体" w:cs="Times New Roman"/>
              <w:kern w:val="0"/>
              <w:sz w:val="36"/>
              <w:szCs w:val="36"/>
              <w:highlight w:val="none"/>
              <w:lang w:val="en-US" w:eastAsia="zh-CN" w:bidi="ar-SA"/>
            </w:rPr>
            <w:t>目  录</w:t>
          </w:r>
        </w:p>
        <w:p w14:paraId="0D21EA8C">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ind w:left="0" w:leftChars="0"/>
            <w:textAlignment w:val="auto"/>
            <w:rPr>
              <w:rFonts w:hint="default" w:ascii="Times New Roman" w:hAnsi="Times New Roman" w:eastAsia="宋体" w:cs="Times New Roman"/>
              <w:b/>
              <w:bCs/>
              <w:kern w:val="2"/>
              <w:sz w:val="30"/>
              <w:szCs w:val="30"/>
              <w:lang w:val="en-US" w:eastAsia="zh-CN" w:bidi="ar-SA"/>
            </w:rPr>
          </w:pPr>
          <w:r>
            <w:rPr>
              <w:rFonts w:hint="default"/>
              <w:highlight w:val="none"/>
              <w:lang w:val="en-US"/>
            </w:rPr>
            <w:fldChar w:fldCharType="begin"/>
          </w:r>
          <w:r>
            <w:rPr>
              <w:rFonts w:hint="default"/>
              <w:highlight w:val="none"/>
              <w:lang w:val="en-US"/>
            </w:rPr>
            <w:instrText xml:space="preserve">TOC \o "1-2" \h \u </w:instrText>
          </w:r>
          <w:r>
            <w:rPr>
              <w:rFonts w:hint="default"/>
              <w:highlight w:val="none"/>
              <w:lang w:val="en-US"/>
            </w:rPr>
            <w:fldChar w:fldCharType="separate"/>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_Toc32219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第一章  森林资源变化对比及评价</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_Toc32219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1</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40F58235">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_Toc9147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一、森林资源变化对比</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_Toc9147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1</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75549326">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_Toc16983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二、工作成效</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_Toc16983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236FDE8B">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_Toc1662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三、存在问题</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_Toc1662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5</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798B53C4">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_Toc10248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第二章  现状分析评价</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_Toc10248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7</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3582A316">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_Toc20377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一、琼海市概况</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_Toc20377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7</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5C7E0D7D">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_Toc29126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二、林地资源现状</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_Toc29126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9</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7C7BF890">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_Toc18516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三</w:t>
          </w:r>
          <w:r>
            <w:rPr>
              <w:rFonts w:hint="default" w:ascii="Times New Roman" w:hAnsi="Times New Roman" w:eastAsia="仿宋_GB2312" w:cs="Times New Roman"/>
              <w:kern w:val="2"/>
              <w:sz w:val="30"/>
              <w:szCs w:val="30"/>
              <w:lang w:val="en-US" w:eastAsia="zh-CN" w:bidi="ar-SA"/>
            </w:rPr>
            <w:t>、林地保护</w:t>
          </w:r>
          <w:r>
            <w:rPr>
              <w:rFonts w:hint="eastAsia" w:ascii="Times New Roman" w:hAnsi="Times New Roman" w:eastAsia="仿宋_GB2312" w:cs="Times New Roman"/>
              <w:kern w:val="2"/>
              <w:sz w:val="30"/>
              <w:szCs w:val="30"/>
              <w:lang w:val="en-US" w:eastAsia="zh-CN" w:bidi="ar-SA"/>
            </w:rPr>
            <w:t>面临的机遇与</w:t>
          </w:r>
          <w:r>
            <w:rPr>
              <w:rFonts w:hint="default" w:ascii="Times New Roman" w:hAnsi="Times New Roman" w:eastAsia="仿宋_GB2312" w:cs="Times New Roman"/>
              <w:kern w:val="2"/>
              <w:sz w:val="30"/>
              <w:szCs w:val="30"/>
              <w:lang w:val="en-US" w:eastAsia="zh-CN" w:bidi="ar-SA"/>
            </w:rPr>
            <w:t>挑战</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_Toc18516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13</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1750C1C6">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_Toc13912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第三章  指导思想与任务目标</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_Toc13912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17</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42FD5A25">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_Toc23663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一、指导思想</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_Toc23663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17</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669CA4B5">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_Toc2614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二、基本原则</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_Toc2614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17</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16D99849">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_Toc3948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三、编制依据</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_Toc3948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19</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5AFC9F7B">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_Toc18453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四、规划范围</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_Toc18453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22</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0015B1B5">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_Toc10601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五、规划期限</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_Toc10601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22</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6BA3D18B">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_Toc30452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六、规划基数</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_Toc30452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23</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26339F03">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_Toc16241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七</w:t>
          </w:r>
          <w:r>
            <w:rPr>
              <w:rFonts w:hint="eastAsia" w:ascii="Times New Roman" w:hAnsi="Times New Roman" w:eastAsia="仿宋_GB2312" w:cs="Times New Roman"/>
              <w:kern w:val="2"/>
              <w:sz w:val="30"/>
              <w:szCs w:val="30"/>
              <w:lang w:val="en-US" w:eastAsia="zh-CN" w:bidi="ar-SA"/>
            </w:rPr>
            <w:t>、</w:t>
          </w:r>
          <w:r>
            <w:rPr>
              <w:rFonts w:hint="default" w:ascii="Times New Roman" w:hAnsi="Times New Roman" w:eastAsia="仿宋_GB2312" w:cs="Times New Roman"/>
              <w:kern w:val="2"/>
              <w:sz w:val="30"/>
              <w:szCs w:val="30"/>
              <w:lang w:val="en-US" w:eastAsia="zh-CN" w:bidi="ar-SA"/>
            </w:rPr>
            <w:t>规划目标及任务</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_Toc16241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23</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455D085B">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_Toc397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第四章  林地总体布局</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_Toc397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27</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3AFAB223">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_Toc7087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一、国土空间开发保护总体布局</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_Toc7087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27</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11F20A32">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_Toc21079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二、林地保护利用总体布局</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_Toc21079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28</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15EF5F9A">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_Toc27628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第五章  全面保护林地</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_Toc27628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31</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670DA5D1">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_Toc16499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一、严格林地用途管制</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_Toc16499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31</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278CCB1D">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_Toc4409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二、实行分级管理</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_Toc4409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34</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12DDF534">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_Toc23877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三、控制林地总量</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_Toc23877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38</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6E45655E">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_Toc442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四、加强森林保护</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_Toc442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39</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5AC1AD2C">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_Toc28546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第六章  合理利用林地</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_Toc28546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42</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7B9768AE">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_Toc30181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一、保障重大项目使用林地</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_Toc30181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42</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35D225F5">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_Toc4088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二、引导节约使用林地</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_Toc4088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45</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717D4DD1">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_Toc9404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三、优化林地利用体系</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_Toc9404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46</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3CCB2170">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_Toc15715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四、完善森林生态安全体系</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_Toc15715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48</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3054DCF0">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_Toc11974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第七章  重点工程规划</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_Toc11974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50</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76325259">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_Toc10242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一、森林质量精准提升工程</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_Toc10242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50</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0012DEE2">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_Toc5584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二、自然保护地体系建设工程</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_Toc5584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56</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3D4E6F45">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_Toc15057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三、</w:t>
          </w:r>
          <w:r>
            <w:rPr>
              <w:rFonts w:hint="eastAsia" w:ascii="Times New Roman" w:hAnsi="Times New Roman" w:eastAsia="仿宋_GB2312" w:cs="Times New Roman"/>
              <w:kern w:val="2"/>
              <w:sz w:val="30"/>
              <w:szCs w:val="30"/>
              <w:lang w:val="en-US" w:eastAsia="zh-CN" w:bidi="ar-SA"/>
            </w:rPr>
            <w:t>重要生态系统保护修复工程</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_Toc15057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62</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7406111C">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_Toc20415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四、林火阻隔系统建设工程</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_Toc20415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63</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5C42C08D">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_Toc22415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第八章  林地治理体系</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_Toc22415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66</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0B8A5D3E">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_Toc13568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一、林长制体系建设</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_Toc13568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66</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253788F4">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_Toc9211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二、自然保护地体系建设</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_Toc9211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67</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2621EEB1">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_Toc20305 </w:instrText>
          </w:r>
          <w:r>
            <w:rPr>
              <w:rFonts w:hint="default" w:ascii="Times New Roman" w:hAnsi="Times New Roman" w:eastAsia="仿宋_GB2312" w:cs="Times New Roman"/>
              <w:kern w:val="2"/>
              <w:sz w:val="30"/>
              <w:szCs w:val="30"/>
              <w:lang w:val="en-US" w:eastAsia="zh-CN" w:bidi="ar-SA"/>
            </w:rPr>
            <w:fldChar w:fldCharType="separate"/>
          </w:r>
          <w:r>
            <w:rPr>
              <w:rFonts w:hint="eastAsia" w:ascii="Times New Roman" w:hAnsi="Times New Roman" w:eastAsia="仿宋_GB2312" w:cs="Times New Roman"/>
              <w:kern w:val="2"/>
              <w:sz w:val="30"/>
              <w:szCs w:val="30"/>
              <w:lang w:val="en-US" w:eastAsia="zh-CN" w:bidi="ar-SA"/>
            </w:rPr>
            <w:t>三、森林资源监管体系</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_Toc20305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69</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4F6F07FA">
          <w:pPr>
            <w:pStyle w:val="8"/>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宋体" w:cs="Times New Roman"/>
              <w:b/>
              <w:bCs/>
              <w:kern w:val="2"/>
              <w:sz w:val="30"/>
              <w:szCs w:val="30"/>
              <w:lang w:val="en-US" w:eastAsia="zh-CN" w:bidi="ar-SA"/>
            </w:rPr>
          </w:pP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HYPERLINK \l _Toc31211 </w:instrText>
          </w:r>
          <w:r>
            <w:rPr>
              <w:rFonts w:hint="default" w:ascii="Times New Roman" w:hAnsi="Times New Roman" w:eastAsia="宋体" w:cs="Times New Roman"/>
              <w:b/>
              <w:bCs/>
              <w:kern w:val="2"/>
              <w:sz w:val="30"/>
              <w:szCs w:val="30"/>
              <w:lang w:val="en-US" w:eastAsia="zh-CN" w:bidi="ar-SA"/>
            </w:rPr>
            <w:fldChar w:fldCharType="separate"/>
          </w:r>
          <w:r>
            <w:rPr>
              <w:rFonts w:hint="eastAsia" w:ascii="Times New Roman" w:hAnsi="Times New Roman" w:eastAsia="宋体" w:cs="Times New Roman"/>
              <w:b/>
              <w:bCs/>
              <w:kern w:val="2"/>
              <w:sz w:val="30"/>
              <w:szCs w:val="30"/>
              <w:lang w:val="en-US" w:eastAsia="zh-CN" w:bidi="ar-SA"/>
            </w:rPr>
            <w:t>第九章  规划实施保障</w:t>
          </w:r>
          <w:r>
            <w:rPr>
              <w:rFonts w:hint="default" w:ascii="Times New Roman" w:hAnsi="Times New Roman" w:eastAsia="宋体" w:cs="Times New Roman"/>
              <w:b/>
              <w:bCs/>
              <w:kern w:val="2"/>
              <w:sz w:val="30"/>
              <w:szCs w:val="30"/>
              <w:lang w:val="en-US" w:eastAsia="zh-CN" w:bidi="ar-SA"/>
            </w:rPr>
            <w:tab/>
          </w:r>
          <w:r>
            <w:rPr>
              <w:rFonts w:hint="default" w:ascii="Times New Roman" w:hAnsi="Times New Roman" w:eastAsia="宋体" w:cs="Times New Roman"/>
              <w:b/>
              <w:bCs/>
              <w:kern w:val="2"/>
              <w:sz w:val="30"/>
              <w:szCs w:val="30"/>
              <w:lang w:val="en-US" w:eastAsia="zh-CN" w:bidi="ar-SA"/>
            </w:rPr>
            <w:fldChar w:fldCharType="begin"/>
          </w:r>
          <w:r>
            <w:rPr>
              <w:rFonts w:hint="default" w:ascii="Times New Roman" w:hAnsi="Times New Roman" w:eastAsia="宋体" w:cs="Times New Roman"/>
              <w:b/>
              <w:bCs/>
              <w:kern w:val="2"/>
              <w:sz w:val="30"/>
              <w:szCs w:val="30"/>
              <w:lang w:val="en-US" w:eastAsia="zh-CN" w:bidi="ar-SA"/>
            </w:rPr>
            <w:instrText xml:space="preserve"> PAGEREF _Toc31211 \h </w:instrText>
          </w:r>
          <w:r>
            <w:rPr>
              <w:rFonts w:hint="default" w:ascii="Times New Roman" w:hAnsi="Times New Roman" w:eastAsia="宋体" w:cs="Times New Roman"/>
              <w:b/>
              <w:bCs/>
              <w:kern w:val="2"/>
              <w:sz w:val="30"/>
              <w:szCs w:val="30"/>
              <w:lang w:val="en-US" w:eastAsia="zh-CN" w:bidi="ar-SA"/>
            </w:rPr>
            <w:fldChar w:fldCharType="separate"/>
          </w:r>
          <w:r>
            <w:rPr>
              <w:rFonts w:hint="default" w:ascii="Times New Roman" w:hAnsi="Times New Roman" w:eastAsia="宋体" w:cs="Times New Roman"/>
              <w:b/>
              <w:bCs/>
              <w:kern w:val="2"/>
              <w:sz w:val="30"/>
              <w:szCs w:val="30"/>
              <w:lang w:val="en-US" w:eastAsia="zh-CN" w:bidi="ar-SA"/>
            </w:rPr>
            <w:t>71</w:t>
          </w:r>
          <w:r>
            <w:rPr>
              <w:rFonts w:hint="default" w:ascii="Times New Roman" w:hAnsi="Times New Roman" w:eastAsia="宋体" w:cs="Times New Roman"/>
              <w:b/>
              <w:bCs/>
              <w:kern w:val="2"/>
              <w:sz w:val="30"/>
              <w:szCs w:val="30"/>
              <w:lang w:val="en-US" w:eastAsia="zh-CN" w:bidi="ar-SA"/>
            </w:rPr>
            <w:fldChar w:fldCharType="end"/>
          </w:r>
          <w:r>
            <w:rPr>
              <w:rFonts w:hint="default" w:ascii="Times New Roman" w:hAnsi="Times New Roman" w:eastAsia="宋体" w:cs="Times New Roman"/>
              <w:b/>
              <w:bCs/>
              <w:kern w:val="2"/>
              <w:sz w:val="30"/>
              <w:szCs w:val="30"/>
              <w:lang w:val="en-US" w:eastAsia="zh-CN" w:bidi="ar-SA"/>
            </w:rPr>
            <w:fldChar w:fldCharType="end"/>
          </w:r>
        </w:p>
        <w:p w14:paraId="58791F48">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_Toc29690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一、组织保障</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_Toc29690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71</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42793BB0">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_Toc22826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二、政策保障</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_Toc22826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73</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59DD0DCE">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_Toc11442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三、制度保障</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_Toc11442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74</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42ABFEA2">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_Toc28996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四、科技保障</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_Toc28996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76</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3C9B4BFF">
          <w:pPr>
            <w:pStyle w:val="9"/>
            <w:keepNext w:val="0"/>
            <w:keepLines w:val="0"/>
            <w:pageBreakBefore w:val="0"/>
            <w:widowControl w:val="0"/>
            <w:tabs>
              <w:tab w:val="right" w:leader="dot" w:pos="8306"/>
            </w:tabs>
            <w:kinsoku/>
            <w:wordWrap/>
            <w:overflowPunct/>
            <w:topLinePunct w:val="0"/>
            <w:autoSpaceDE/>
            <w:autoSpaceDN/>
            <w:bidi w:val="0"/>
            <w:adjustRightInd/>
            <w:snapToGrid/>
            <w:spacing w:before="50" w:after="50"/>
            <w:textAlignment w:val="auto"/>
            <w:rPr>
              <w:rFonts w:hint="default" w:ascii="Times New Roman" w:hAnsi="Times New Roman" w:eastAsia="仿宋_GB2312" w:cs="Times New Roman"/>
              <w:kern w:val="2"/>
              <w:sz w:val="30"/>
              <w:szCs w:val="30"/>
              <w:lang w:val="en-US" w:eastAsia="zh-CN" w:bidi="ar-SA"/>
            </w:rPr>
          </w:pP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HYPERLINK \l _Toc19648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五、资金保障</w:t>
          </w:r>
          <w:r>
            <w:rPr>
              <w:rFonts w:hint="default" w:ascii="Times New Roman" w:hAnsi="Times New Roman" w:eastAsia="仿宋_GB2312" w:cs="Times New Roman"/>
              <w:kern w:val="2"/>
              <w:sz w:val="30"/>
              <w:szCs w:val="30"/>
              <w:lang w:val="en-US" w:eastAsia="zh-CN" w:bidi="ar-SA"/>
            </w:rPr>
            <w:tab/>
          </w:r>
          <w:r>
            <w:rPr>
              <w:rFonts w:hint="default" w:ascii="Times New Roman" w:hAnsi="Times New Roman" w:eastAsia="仿宋_GB2312" w:cs="Times New Roman"/>
              <w:kern w:val="2"/>
              <w:sz w:val="30"/>
              <w:szCs w:val="30"/>
              <w:lang w:val="en-US" w:eastAsia="zh-CN" w:bidi="ar-SA"/>
            </w:rPr>
            <w:fldChar w:fldCharType="begin"/>
          </w:r>
          <w:r>
            <w:rPr>
              <w:rFonts w:hint="default" w:ascii="Times New Roman" w:hAnsi="Times New Roman" w:eastAsia="仿宋_GB2312" w:cs="Times New Roman"/>
              <w:kern w:val="2"/>
              <w:sz w:val="30"/>
              <w:szCs w:val="30"/>
              <w:lang w:val="en-US" w:eastAsia="zh-CN" w:bidi="ar-SA"/>
            </w:rPr>
            <w:instrText xml:space="preserve"> PAGEREF _Toc19648 \h </w:instrText>
          </w:r>
          <w:r>
            <w:rPr>
              <w:rFonts w:hint="default" w:ascii="Times New Roman" w:hAnsi="Times New Roman" w:eastAsia="仿宋_GB2312" w:cs="Times New Roman"/>
              <w:kern w:val="2"/>
              <w:sz w:val="30"/>
              <w:szCs w:val="30"/>
              <w:lang w:val="en-US" w:eastAsia="zh-CN" w:bidi="ar-SA"/>
            </w:rPr>
            <w:fldChar w:fldCharType="separate"/>
          </w:r>
          <w:r>
            <w:rPr>
              <w:rFonts w:hint="default" w:ascii="Times New Roman" w:hAnsi="Times New Roman" w:eastAsia="仿宋_GB2312" w:cs="Times New Roman"/>
              <w:kern w:val="2"/>
              <w:sz w:val="30"/>
              <w:szCs w:val="30"/>
              <w:lang w:val="en-US" w:eastAsia="zh-CN" w:bidi="ar-SA"/>
            </w:rPr>
            <w:t>77</w:t>
          </w:r>
          <w:r>
            <w:rPr>
              <w:rFonts w:hint="default" w:ascii="Times New Roman" w:hAnsi="Times New Roman" w:eastAsia="仿宋_GB2312" w:cs="Times New Roman"/>
              <w:kern w:val="2"/>
              <w:sz w:val="30"/>
              <w:szCs w:val="30"/>
              <w:lang w:val="en-US" w:eastAsia="zh-CN" w:bidi="ar-SA"/>
            </w:rPr>
            <w:fldChar w:fldCharType="end"/>
          </w:r>
          <w:r>
            <w:rPr>
              <w:rFonts w:hint="default" w:ascii="Times New Roman" w:hAnsi="Times New Roman" w:eastAsia="仿宋_GB2312" w:cs="Times New Roman"/>
              <w:kern w:val="2"/>
              <w:sz w:val="30"/>
              <w:szCs w:val="30"/>
              <w:lang w:val="en-US" w:eastAsia="zh-CN" w:bidi="ar-SA"/>
            </w:rPr>
            <w:fldChar w:fldCharType="end"/>
          </w:r>
        </w:p>
        <w:p w14:paraId="513BB002">
          <w:pPr>
            <w:rPr>
              <w:rFonts w:hint="default" w:ascii="Times New Roman" w:hAnsi="Times New Roman" w:eastAsia="宋体" w:cs="Times New Roman"/>
              <w:b/>
              <w:kern w:val="2"/>
              <w:sz w:val="21"/>
              <w:szCs w:val="24"/>
              <w:highlight w:val="none"/>
              <w:lang w:val="en-US" w:eastAsia="zh-CN" w:bidi="ar-SA"/>
            </w:rPr>
          </w:pPr>
          <w:r>
            <w:rPr>
              <w:rFonts w:hint="default"/>
              <w:highlight w:val="none"/>
              <w:lang w:val="en-US"/>
            </w:rPr>
            <w:fldChar w:fldCharType="end"/>
          </w:r>
        </w:p>
      </w:sdtContent>
    </w:sdt>
    <w:p w14:paraId="4BCD4EBA">
      <w:pPr>
        <w:keepNext w:val="0"/>
        <w:keepLines w:val="0"/>
        <w:pageBreakBefore w:val="0"/>
        <w:widowControl w:val="0"/>
        <w:kinsoku/>
        <w:wordWrap/>
        <w:overflowPunct/>
        <w:topLinePunct w:val="0"/>
        <w:autoSpaceDE/>
        <w:autoSpaceDN/>
        <w:bidi w:val="0"/>
        <w:adjustRightInd/>
        <w:snapToGrid/>
        <w:spacing w:before="5" w:after="5" w:line="240" w:lineRule="auto"/>
        <w:ind w:left="0" w:leftChars="0" w:right="0" w:rightChars="0" w:firstLine="0" w:firstLineChars="0"/>
        <w:textAlignment w:val="auto"/>
        <w:outlineLvl w:val="9"/>
        <w:rPr>
          <w:rFonts w:hint="eastAsia" w:ascii="Times New Roman" w:hAnsi="Times New Roman" w:eastAsia="仿宋_GB2312"/>
          <w:b/>
          <w:bCs/>
          <w:kern w:val="0"/>
          <w:sz w:val="30"/>
          <w:szCs w:val="22"/>
          <w:lang w:val="en-US" w:eastAsia="zh-CN"/>
        </w:rPr>
      </w:pPr>
      <w:r>
        <w:rPr>
          <w:rFonts w:hint="eastAsia" w:ascii="Times New Roman" w:hAnsi="Times New Roman" w:eastAsia="仿宋_GB2312"/>
          <w:b/>
          <w:bCs/>
          <w:kern w:val="0"/>
          <w:sz w:val="30"/>
          <w:szCs w:val="22"/>
          <w:lang w:val="en-US" w:eastAsia="zh-CN"/>
        </w:rPr>
        <w:t>附表：</w:t>
      </w:r>
    </w:p>
    <w:p w14:paraId="5671D9B2">
      <w:pPr>
        <w:keepNext w:val="0"/>
        <w:keepLines w:val="0"/>
        <w:pageBreakBefore w:val="0"/>
        <w:widowControl w:val="0"/>
        <w:numPr>
          <w:ilvl w:val="0"/>
          <w:numId w:val="0"/>
        </w:numPr>
        <w:kinsoku/>
        <w:wordWrap/>
        <w:overflowPunct/>
        <w:topLinePunct w:val="0"/>
        <w:autoSpaceDE/>
        <w:autoSpaceDN/>
        <w:bidi w:val="0"/>
        <w:adjustRightInd/>
        <w:snapToGrid/>
        <w:spacing w:before="50" w:after="50" w:line="240" w:lineRule="auto"/>
        <w:ind w:left="0" w:leftChars="0" w:right="0" w:rightChars="0" w:firstLine="600" w:firstLineChars="200"/>
        <w:textAlignment w:val="auto"/>
        <w:outlineLvl w:val="9"/>
        <w:rPr>
          <w:rFonts w:hint="eastAsia" w:ascii="Times New Roman" w:hAnsi="Times New Roman" w:eastAsia="仿宋_GB2312"/>
          <w:kern w:val="0"/>
          <w:sz w:val="30"/>
          <w:szCs w:val="22"/>
          <w:lang w:val="en-US" w:eastAsia="zh-CN"/>
        </w:rPr>
      </w:pPr>
      <w:r>
        <w:rPr>
          <w:rFonts w:hint="eastAsia" w:ascii="Times New Roman" w:hAnsi="Times New Roman" w:eastAsia="仿宋_GB2312" w:cs="Times New Roman"/>
          <w:kern w:val="0"/>
          <w:sz w:val="30"/>
          <w:szCs w:val="22"/>
          <w:lang w:val="en-US" w:eastAsia="zh-CN" w:bidi="ar-SA"/>
        </w:rPr>
        <w:t>1.</w:t>
      </w:r>
      <w:r>
        <w:rPr>
          <w:rFonts w:hint="eastAsia" w:ascii="Times New Roman" w:hAnsi="Times New Roman" w:eastAsia="仿宋_GB2312"/>
          <w:kern w:val="0"/>
          <w:sz w:val="30"/>
          <w:szCs w:val="22"/>
          <w:lang w:val="en-US" w:eastAsia="zh-CN"/>
        </w:rPr>
        <w:t>林地现状面积统计表</w:t>
      </w:r>
    </w:p>
    <w:p w14:paraId="09BBAE8E">
      <w:pPr>
        <w:pStyle w:val="2"/>
        <w:rPr>
          <w:rFonts w:hint="eastAsia"/>
          <w:lang w:val="en-US" w:eastAsia="zh-CN"/>
        </w:rPr>
      </w:pPr>
    </w:p>
    <w:p w14:paraId="39999E5E">
      <w:pPr>
        <w:keepNext w:val="0"/>
        <w:keepLines w:val="0"/>
        <w:pageBreakBefore w:val="0"/>
        <w:widowControl w:val="0"/>
        <w:kinsoku/>
        <w:wordWrap/>
        <w:overflowPunct/>
        <w:topLinePunct w:val="0"/>
        <w:autoSpaceDE/>
        <w:autoSpaceDN/>
        <w:bidi w:val="0"/>
        <w:adjustRightInd/>
        <w:snapToGrid/>
        <w:spacing w:before="5" w:after="5" w:line="240" w:lineRule="auto"/>
        <w:ind w:left="0" w:leftChars="0" w:right="0" w:rightChars="0" w:firstLine="0" w:firstLineChars="0"/>
        <w:textAlignment w:val="auto"/>
        <w:outlineLvl w:val="9"/>
        <w:rPr>
          <w:rFonts w:hint="eastAsia" w:ascii="Times New Roman" w:hAnsi="Times New Roman" w:eastAsia="仿宋_GB2312"/>
          <w:b/>
          <w:bCs/>
          <w:kern w:val="0"/>
          <w:sz w:val="30"/>
          <w:szCs w:val="22"/>
          <w:lang w:val="en-US" w:eastAsia="zh-CN"/>
        </w:rPr>
      </w:pPr>
      <w:r>
        <w:rPr>
          <w:rFonts w:hint="eastAsia" w:ascii="Times New Roman" w:hAnsi="Times New Roman" w:eastAsia="仿宋_GB2312"/>
          <w:b/>
          <w:bCs/>
          <w:kern w:val="0"/>
          <w:sz w:val="30"/>
          <w:szCs w:val="22"/>
          <w:lang w:val="en-US" w:eastAsia="zh-CN"/>
        </w:rPr>
        <w:t>附图：</w:t>
      </w:r>
    </w:p>
    <w:p w14:paraId="54410AD8">
      <w:pPr>
        <w:keepNext w:val="0"/>
        <w:keepLines w:val="0"/>
        <w:pageBreakBefore w:val="0"/>
        <w:widowControl w:val="0"/>
        <w:kinsoku/>
        <w:wordWrap/>
        <w:overflowPunct/>
        <w:topLinePunct w:val="0"/>
        <w:autoSpaceDE/>
        <w:autoSpaceDN/>
        <w:bidi w:val="0"/>
        <w:adjustRightInd/>
        <w:snapToGrid/>
        <w:spacing w:before="50" w:after="50" w:line="240" w:lineRule="auto"/>
        <w:ind w:left="0" w:leftChars="0" w:right="0" w:rightChars="0" w:firstLine="600" w:firstLineChars="200"/>
        <w:textAlignment w:val="auto"/>
        <w:outlineLvl w:val="9"/>
        <w:rPr>
          <w:rFonts w:hint="eastAsia" w:eastAsia="仿宋_GB2312"/>
          <w:kern w:val="0"/>
          <w:sz w:val="30"/>
          <w:szCs w:val="22"/>
          <w:lang w:val="en-US" w:eastAsia="zh-CN"/>
        </w:rPr>
      </w:pPr>
      <w:r>
        <w:rPr>
          <w:rFonts w:hint="eastAsia" w:eastAsia="仿宋_GB2312"/>
          <w:kern w:val="0"/>
          <w:sz w:val="30"/>
          <w:szCs w:val="22"/>
          <w:lang w:val="en-US" w:eastAsia="zh-CN"/>
        </w:rPr>
        <w:t>1.琼海市林地保护利用规划</w:t>
      </w:r>
      <w:r>
        <w:rPr>
          <w:rFonts w:hint="eastAsia" w:ascii="Times New Roman" w:hAnsi="Times New Roman" w:eastAsia="仿宋_GB2312"/>
          <w:kern w:val="0"/>
          <w:sz w:val="30"/>
          <w:szCs w:val="22"/>
          <w:lang w:val="en-US" w:eastAsia="zh-CN"/>
        </w:rPr>
        <w:t>林地</w:t>
      </w:r>
      <w:r>
        <w:rPr>
          <w:rFonts w:hint="eastAsia" w:eastAsia="仿宋_GB2312"/>
          <w:kern w:val="0"/>
          <w:sz w:val="30"/>
          <w:szCs w:val="22"/>
          <w:lang w:val="en-US" w:eastAsia="zh-CN"/>
        </w:rPr>
        <w:t>保护等级规划图</w:t>
      </w:r>
    </w:p>
    <w:p w14:paraId="3468CFEC">
      <w:pPr>
        <w:pStyle w:val="2"/>
        <w:rPr>
          <w:rFonts w:hint="eastAsia"/>
          <w:lang w:val="en-US" w:eastAsia="zh-CN"/>
        </w:rPr>
      </w:pPr>
    </w:p>
    <w:p w14:paraId="4E5040DE">
      <w:pPr>
        <w:pStyle w:val="2"/>
        <w:rPr>
          <w:rFonts w:hint="eastAsia"/>
          <w:lang w:val="en-US" w:eastAsia="zh-CN"/>
        </w:rPr>
        <w:sectPr>
          <w:footerReference r:id="rId3" w:type="default"/>
          <w:pgSz w:w="11906" w:h="16838"/>
          <w:pgMar w:top="1440" w:right="1800" w:bottom="1440" w:left="1800" w:header="851" w:footer="992" w:gutter="0"/>
          <w:pgNumType w:fmt="upperRoman" w:start="1"/>
          <w:cols w:space="425" w:num="1"/>
          <w:docGrid w:type="lines" w:linePitch="312" w:charSpace="0"/>
        </w:sectPr>
      </w:pPr>
    </w:p>
    <w:p w14:paraId="56FF348D">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9" w:name="_Toc32219"/>
      <w:r>
        <w:rPr>
          <w:rFonts w:hint="eastAsia" w:ascii="黑体" w:hAnsi="黑体" w:eastAsia="黑体" w:cs="宋体"/>
          <w:kern w:val="0"/>
          <w:sz w:val="36"/>
          <w:szCs w:val="36"/>
          <w:highlight w:val="none"/>
          <w:lang w:val="en-US" w:eastAsia="zh-CN" w:bidi="ar-SA"/>
        </w:rPr>
        <w:t>第一章  森林资源变化对比及评价</w:t>
      </w:r>
      <w:bookmarkEnd w:id="9"/>
    </w:p>
    <w:p w14:paraId="527E97B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jc w:val="left"/>
        <w:textAlignment w:val="auto"/>
        <w:outlineLvl w:val="1"/>
        <w:rPr>
          <w:rFonts w:hint="eastAsia" w:ascii="楷体" w:hAnsi="楷体" w:eastAsia="楷体" w:cs="宋体"/>
          <w:kern w:val="0"/>
          <w:sz w:val="32"/>
          <w:szCs w:val="32"/>
          <w:highlight w:val="none"/>
          <w:lang w:val="en-US" w:eastAsia="zh-CN" w:bidi="ar-SA"/>
        </w:rPr>
      </w:pPr>
      <w:bookmarkStart w:id="10" w:name="_Toc9147"/>
      <w:r>
        <w:rPr>
          <w:rFonts w:hint="eastAsia" w:ascii="楷体" w:hAnsi="楷体" w:eastAsia="楷体" w:cs="宋体"/>
          <w:kern w:val="0"/>
          <w:sz w:val="32"/>
          <w:szCs w:val="32"/>
          <w:highlight w:val="none"/>
          <w:lang w:val="en-US" w:eastAsia="zh-CN" w:bidi="ar-SA"/>
        </w:rPr>
        <w:t>一、森林资源变化对比</w:t>
      </w:r>
      <w:bookmarkEnd w:id="10"/>
    </w:p>
    <w:p w14:paraId="4D958835">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eastAsia"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因琼海市未编制上一轮林地保护利用规划</w:t>
      </w:r>
      <w:r>
        <w:rPr>
          <w:rFonts w:hint="eastAsia" w:eastAsia="仿宋_GB2312" w:cs="Times New Roman"/>
          <w:kern w:val="0"/>
          <w:sz w:val="30"/>
          <w:szCs w:val="30"/>
          <w:highlight w:val="none"/>
          <w:lang w:val="en-US" w:eastAsia="zh-CN" w:bidi="ar-SA"/>
        </w:rPr>
        <w:t>，无法详细分析指标完成情况</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所以本章只根据琼海市2009年完成的第二次森林资源</w:t>
      </w:r>
      <w:r>
        <w:rPr>
          <w:rFonts w:hint="default" w:ascii="Times New Roman" w:hAnsi="Times New Roman" w:eastAsia="仿宋_GB2312" w:cs="Times New Roman"/>
          <w:kern w:val="0"/>
          <w:sz w:val="30"/>
          <w:szCs w:val="30"/>
          <w:highlight w:val="none"/>
          <w:lang w:val="en-US" w:eastAsia="zh-CN" w:bidi="ar-SA"/>
        </w:rPr>
        <w:t>二类调查</w:t>
      </w:r>
      <w:r>
        <w:rPr>
          <w:rFonts w:hint="eastAsia" w:eastAsia="仿宋_GB2312" w:cs="Times New Roman"/>
          <w:kern w:val="0"/>
          <w:sz w:val="30"/>
          <w:szCs w:val="30"/>
          <w:highlight w:val="none"/>
          <w:lang w:val="en-US" w:eastAsia="zh-CN" w:bidi="ar-SA"/>
        </w:rPr>
        <w:t>（以下简称“上期二调”）数据与2020年完成的第三次森林资源二类调查（以下简称“本期二调”）数据</w:t>
      </w:r>
      <w:r>
        <w:rPr>
          <w:rFonts w:hint="default" w:ascii="Times New Roman" w:hAnsi="Times New Roman" w:eastAsia="仿宋_GB2312" w:cs="Times New Roman"/>
          <w:kern w:val="0"/>
          <w:sz w:val="30"/>
          <w:szCs w:val="30"/>
          <w:highlight w:val="none"/>
          <w:lang w:val="en-US" w:eastAsia="zh-CN" w:bidi="ar-SA"/>
        </w:rPr>
        <w:t>进行森林资源变化情况对比</w:t>
      </w:r>
      <w:r>
        <w:rPr>
          <w:rFonts w:hint="eastAsia" w:eastAsia="仿宋_GB2312" w:cs="Times New Roman"/>
          <w:kern w:val="0"/>
          <w:sz w:val="30"/>
          <w:szCs w:val="30"/>
          <w:highlight w:val="none"/>
          <w:lang w:val="en-US" w:eastAsia="zh-CN" w:bidi="ar-SA"/>
        </w:rPr>
        <w:t>，以此分析琼海市森林资源变化情况。</w:t>
      </w:r>
    </w:p>
    <w:p w14:paraId="2BCCB8C2">
      <w:pPr>
        <w:pStyle w:val="4"/>
        <w:keepNext w:val="0"/>
        <w:keepLines w:val="0"/>
        <w:pageBreakBefore w:val="0"/>
        <w:widowControl w:val="0"/>
        <w:numPr>
          <w:ilvl w:val="0"/>
          <w:numId w:val="1"/>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森林资源质量提升明显</w:t>
      </w:r>
    </w:p>
    <w:p w14:paraId="5E0987CA">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eastAsia"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全市有蓄积乔木林平均每公顷蓄积量为95.39立方米，高于</w:t>
      </w:r>
      <w:r>
        <w:rPr>
          <w:rFonts w:hint="default" w:ascii="Times New Roman" w:hAnsi="Times New Roman" w:eastAsia="仿宋_GB2312" w:cs="Times New Roman"/>
          <w:kern w:val="0"/>
          <w:sz w:val="30"/>
          <w:szCs w:val="30"/>
          <w:highlight w:val="none"/>
          <w:lang w:val="en-US" w:eastAsia="zh-CN" w:bidi="ar-SA"/>
        </w:rPr>
        <w:t>全省平均水平（67.60立方米/公顷）</w:t>
      </w:r>
      <w:r>
        <w:rPr>
          <w:rFonts w:hint="eastAsia" w:eastAsia="仿宋_GB2312" w:cs="Times New Roman"/>
          <w:kern w:val="0"/>
          <w:sz w:val="30"/>
          <w:szCs w:val="30"/>
          <w:highlight w:val="none"/>
          <w:lang w:val="en-US" w:eastAsia="zh-CN" w:bidi="ar-SA"/>
        </w:rPr>
        <w:t>，比上期二调公顷蓄积量</w:t>
      </w:r>
      <w:r>
        <w:rPr>
          <w:rFonts w:hint="default" w:eastAsia="仿宋_GB2312" w:cs="Times New Roman"/>
          <w:kern w:val="0"/>
          <w:sz w:val="30"/>
          <w:szCs w:val="30"/>
          <w:highlight w:val="none"/>
          <w:lang w:val="en-US" w:eastAsia="zh-CN" w:bidi="ar-SA"/>
        </w:rPr>
        <w:t>78.67</w:t>
      </w:r>
      <w:r>
        <w:rPr>
          <w:rFonts w:hint="eastAsia" w:eastAsia="仿宋_GB2312" w:cs="Times New Roman"/>
          <w:kern w:val="0"/>
          <w:sz w:val="30"/>
          <w:szCs w:val="30"/>
          <w:highlight w:val="none"/>
          <w:lang w:val="en-US" w:eastAsia="zh-CN" w:bidi="ar-SA"/>
        </w:rPr>
        <w:t>立方米</w:t>
      </w:r>
      <w:r>
        <w:rPr>
          <w:rFonts w:hint="default"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公顷增加</w:t>
      </w:r>
      <w:r>
        <w:rPr>
          <w:rFonts w:hint="default"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6.72立方米</w:t>
      </w:r>
      <w:r>
        <w:rPr>
          <w:rFonts w:hint="default"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公顷；用材林面积    7651.60公顷，蓄积量487697立方米，平均每公顷蓄积为    63.74立方米，上期二调用材林平均每公顷蓄积为51.12立方米，对比增加12.62立方米/公顷。全市森林资源质量提升，体现了近年来琼海市实施的森林资源保护管理等措施所取得的成绩。</w:t>
      </w:r>
    </w:p>
    <w:p w14:paraId="75BC149D">
      <w:pPr>
        <w:pStyle w:val="4"/>
        <w:keepNext w:val="0"/>
        <w:keepLines w:val="0"/>
        <w:pageBreakBefore w:val="0"/>
        <w:widowControl w:val="0"/>
        <w:numPr>
          <w:ilvl w:val="0"/>
          <w:numId w:val="1"/>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森林覆盖率相对较高，森林面积略有下降</w:t>
      </w:r>
    </w:p>
    <w:p w14:paraId="68E663A8">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eastAsia"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琼海市本期二调森林面积为116561.84公顷，森林覆盖率为67.93%（全省同期森林覆盖率62.10%），与全省相比森林覆盖率相对较高。因上期二调时未编制林地规划，林地调查结果全部为现状调查结果，本期二调调查结果分为规划林地内和非规划林地，非规划林地仅现状有林地和国家特别规定灌木林地。因此，按可比口径对比，只比较森林面积。</w:t>
      </w:r>
    </w:p>
    <w:p w14:paraId="1BB3A707">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eastAsia"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森林总面积减少1718.82公顷，其中乔木林地面积减少2518.44公顷，红树林地面积增加18.50公顷，竹林地面积增加404.97公顷，国家特别规定灌木林地面积增加260.25公顷。森林面积减少的原因为实施的林木采伐活动以及建设项目使用林地，使其转变成无立木林地和非林地。</w:t>
      </w:r>
    </w:p>
    <w:p w14:paraId="431C7470">
      <w:pPr>
        <w:pStyle w:val="4"/>
        <w:keepNext w:val="0"/>
        <w:keepLines w:val="0"/>
        <w:pageBreakBefore w:val="0"/>
        <w:widowControl w:val="0"/>
        <w:numPr>
          <w:ilvl w:val="0"/>
          <w:numId w:val="1"/>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乔木林蓄积略有降低</w:t>
      </w:r>
    </w:p>
    <w:p w14:paraId="046219FE">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color w:val="auto"/>
          <w:kern w:val="0"/>
          <w:sz w:val="30"/>
          <w:szCs w:val="30"/>
          <w:highlight w:val="none"/>
          <w:lang w:val="en-US" w:eastAsia="zh-CN" w:bidi="ar-SA"/>
        </w:rPr>
      </w:pPr>
      <w:r>
        <w:rPr>
          <w:rFonts w:hint="eastAsia" w:ascii="Times New Roman" w:hAnsi="Times New Roman" w:eastAsia="仿宋_GB2312" w:cs="Times New Roman"/>
          <w:color w:val="auto"/>
          <w:kern w:val="0"/>
          <w:sz w:val="30"/>
          <w:szCs w:val="30"/>
          <w:highlight w:val="none"/>
          <w:lang w:val="en-US" w:eastAsia="zh-CN" w:bidi="ar-SA"/>
        </w:rPr>
        <w:t>上期</w:t>
      </w:r>
      <w:r>
        <w:rPr>
          <w:rFonts w:hint="eastAsia" w:eastAsia="仿宋_GB2312" w:cs="Times New Roman"/>
          <w:color w:val="auto"/>
          <w:kern w:val="0"/>
          <w:sz w:val="30"/>
          <w:szCs w:val="30"/>
          <w:highlight w:val="none"/>
          <w:lang w:val="en-US" w:eastAsia="zh-CN" w:bidi="ar-SA"/>
        </w:rPr>
        <w:t>二调</w:t>
      </w:r>
      <w:r>
        <w:rPr>
          <w:rFonts w:hint="eastAsia" w:ascii="Times New Roman" w:hAnsi="Times New Roman" w:eastAsia="仿宋_GB2312" w:cs="Times New Roman"/>
          <w:color w:val="auto"/>
          <w:kern w:val="0"/>
          <w:sz w:val="30"/>
          <w:szCs w:val="30"/>
          <w:highlight w:val="none"/>
          <w:lang w:val="en-US" w:eastAsia="zh-CN" w:bidi="ar-SA"/>
        </w:rPr>
        <w:t>全市乔木林蓄积量5755110立方米，本期调查全市乔木林蓄积量为5108528立方米，共减少646582立方米</w:t>
      </w:r>
      <w:r>
        <w:rPr>
          <w:rFonts w:hint="eastAsia" w:eastAsia="仿宋_GB2312" w:cs="Times New Roman"/>
          <w:color w:val="auto"/>
          <w:kern w:val="0"/>
          <w:sz w:val="30"/>
          <w:szCs w:val="30"/>
          <w:highlight w:val="none"/>
          <w:lang w:val="en-US" w:eastAsia="zh-CN" w:bidi="ar-SA"/>
        </w:rPr>
        <w:t>。</w:t>
      </w:r>
    </w:p>
    <w:p w14:paraId="1455C465">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eastAsia" w:ascii="Times New Roman" w:hAnsi="Times New Roman" w:eastAsia="仿宋_GB2312" w:cs="Times New Roman"/>
          <w:color w:val="auto"/>
          <w:kern w:val="0"/>
          <w:sz w:val="30"/>
          <w:szCs w:val="30"/>
          <w:highlight w:val="none"/>
          <w:lang w:val="en-US" w:eastAsia="zh-CN" w:bidi="ar-SA"/>
        </w:rPr>
      </w:pPr>
      <w:r>
        <w:rPr>
          <w:rFonts w:hint="eastAsia" w:ascii="Times New Roman" w:hAnsi="Times New Roman" w:eastAsia="仿宋_GB2312" w:cs="Times New Roman"/>
          <w:color w:val="auto"/>
          <w:kern w:val="0"/>
          <w:sz w:val="30"/>
          <w:szCs w:val="30"/>
          <w:highlight w:val="none"/>
          <w:lang w:val="en-US" w:eastAsia="zh-CN" w:bidi="ar-SA"/>
        </w:rPr>
        <w:t>减少的主要原因：一是高速公路等工程项目建设占用有蓄积的乔木林；二是两期小班区划最小面积不一致，前期小班最小面积为666.7</w:t>
      </w:r>
      <w:r>
        <w:rPr>
          <w:rFonts w:hint="eastAsia" w:eastAsia="仿宋_GB2312" w:cs="Times New Roman"/>
          <w:color w:val="auto"/>
          <w:kern w:val="0"/>
          <w:sz w:val="30"/>
          <w:szCs w:val="30"/>
          <w:highlight w:val="none"/>
          <w:lang w:val="en-US" w:eastAsia="zh-CN" w:bidi="ar-SA"/>
        </w:rPr>
        <w:t>0</w:t>
      </w:r>
      <w:r>
        <w:rPr>
          <w:rFonts w:hint="eastAsia" w:ascii="Times New Roman" w:hAnsi="Times New Roman" w:eastAsia="仿宋_GB2312" w:cs="Times New Roman"/>
          <w:color w:val="auto"/>
          <w:kern w:val="0"/>
          <w:sz w:val="30"/>
          <w:szCs w:val="30"/>
          <w:highlight w:val="none"/>
          <w:lang w:val="en-US" w:eastAsia="zh-CN" w:bidi="ar-SA"/>
        </w:rPr>
        <w:t>平方米，本期是100平方米，因此本期将乔木林地中的小河流、林中道路、林间空隙等无林地单独区划；三是两期小班蓄积量调查方法差异</w:t>
      </w:r>
      <w:r>
        <w:rPr>
          <w:rFonts w:hint="eastAsia" w:eastAsia="仿宋_GB2312" w:cs="Times New Roman"/>
          <w:color w:val="auto"/>
          <w:kern w:val="0"/>
          <w:sz w:val="30"/>
          <w:szCs w:val="30"/>
          <w:highlight w:val="none"/>
          <w:lang w:val="en-US" w:eastAsia="zh-CN" w:bidi="ar-SA"/>
        </w:rPr>
        <w:t>；</w:t>
      </w:r>
      <w:r>
        <w:rPr>
          <w:rFonts w:hint="eastAsia" w:ascii="Times New Roman" w:hAnsi="Times New Roman" w:eastAsia="仿宋_GB2312" w:cs="Times New Roman"/>
          <w:color w:val="auto"/>
          <w:kern w:val="0"/>
          <w:sz w:val="30"/>
          <w:szCs w:val="30"/>
          <w:highlight w:val="none"/>
          <w:lang w:val="en-US" w:eastAsia="zh-CN" w:bidi="ar-SA"/>
        </w:rPr>
        <w:t>四是采伐有蓄积量的乔木树种改种无蓄积量的乔木树种，如采伐橡胶改种槟榔和椰子等无蓄积量的经济树种。</w:t>
      </w:r>
    </w:p>
    <w:p w14:paraId="5F1CE780">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jc w:val="left"/>
        <w:textAlignment w:val="auto"/>
        <w:outlineLvl w:val="1"/>
        <w:rPr>
          <w:rFonts w:hint="default" w:ascii="楷体" w:hAnsi="楷体" w:eastAsia="楷体" w:cs="宋体"/>
          <w:kern w:val="0"/>
          <w:sz w:val="32"/>
          <w:szCs w:val="32"/>
          <w:highlight w:val="none"/>
          <w:lang w:val="en-US" w:eastAsia="zh-CN" w:bidi="ar-SA"/>
        </w:rPr>
      </w:pPr>
      <w:bookmarkStart w:id="11" w:name="_Toc16983"/>
      <w:r>
        <w:rPr>
          <w:rFonts w:hint="eastAsia" w:ascii="楷体" w:hAnsi="楷体" w:eastAsia="楷体" w:cs="宋体"/>
          <w:kern w:val="0"/>
          <w:sz w:val="32"/>
          <w:szCs w:val="32"/>
          <w:highlight w:val="none"/>
          <w:lang w:val="en-US" w:eastAsia="zh-CN" w:bidi="ar-SA"/>
        </w:rPr>
        <w:t>二、工作成效</w:t>
      </w:r>
      <w:bookmarkEnd w:id="11"/>
    </w:p>
    <w:p w14:paraId="6D9A41C0">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（一）社会经济发展用林需求得到保障</w:t>
      </w:r>
    </w:p>
    <w:p w14:paraId="344778D1">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在</w:t>
      </w:r>
      <w:r>
        <w:rPr>
          <w:rFonts w:hint="default" w:ascii="Times New Roman" w:hAnsi="Times New Roman" w:eastAsia="仿宋_GB2312" w:cs="Times New Roman"/>
          <w:kern w:val="0"/>
          <w:sz w:val="30"/>
          <w:szCs w:val="30"/>
          <w:highlight w:val="none"/>
          <w:lang w:val="en-US" w:eastAsia="zh-CN" w:bidi="ar-SA"/>
        </w:rPr>
        <w:t>2010-2020</w:t>
      </w:r>
      <w:r>
        <w:rPr>
          <w:rFonts w:hint="default" w:ascii="Times New Roman" w:hAnsi="Times New Roman" w:eastAsia="仿宋_GB2312" w:cs="Times New Roman"/>
          <w:sz w:val="30"/>
          <w:szCs w:val="30"/>
          <w:highlight w:val="none"/>
          <w:lang w:val="en-US" w:eastAsia="zh-CN"/>
        </w:rPr>
        <w:t xml:space="preserve">年间，琼海市的审批项目使用林地的数量为  </w:t>
      </w:r>
      <w:r>
        <w:rPr>
          <w:rFonts w:hint="default" w:ascii="Times New Roman" w:hAnsi="Times New Roman" w:eastAsia="仿宋_GB2312" w:cs="Times New Roman"/>
          <w:kern w:val="0"/>
          <w:sz w:val="30"/>
          <w:szCs w:val="30"/>
          <w:highlight w:val="none"/>
          <w:lang w:val="en-US" w:eastAsia="zh-CN" w:bidi="ar-SA"/>
        </w:rPr>
        <w:t>89</w:t>
      </w:r>
      <w:r>
        <w:rPr>
          <w:rFonts w:hint="default" w:ascii="Times New Roman" w:hAnsi="Times New Roman" w:eastAsia="仿宋_GB2312" w:cs="Times New Roman"/>
          <w:sz w:val="30"/>
          <w:szCs w:val="30"/>
          <w:highlight w:val="none"/>
          <w:lang w:val="en-US" w:eastAsia="zh-CN"/>
        </w:rPr>
        <w:t>个，使用林地的面积为</w:t>
      </w:r>
      <w:r>
        <w:rPr>
          <w:rFonts w:hint="default" w:ascii="Times New Roman" w:hAnsi="Times New Roman" w:eastAsia="仿宋_GB2312" w:cs="Times New Roman"/>
          <w:kern w:val="0"/>
          <w:sz w:val="30"/>
          <w:szCs w:val="30"/>
          <w:highlight w:val="none"/>
          <w:lang w:val="en-US" w:eastAsia="zh-CN" w:bidi="ar-SA"/>
        </w:rPr>
        <w:t>848.5212</w:t>
      </w:r>
      <w:r>
        <w:rPr>
          <w:rFonts w:hint="default" w:ascii="Times New Roman" w:hAnsi="Times New Roman" w:eastAsia="仿宋_GB2312" w:cs="Times New Roman"/>
          <w:sz w:val="30"/>
          <w:szCs w:val="30"/>
          <w:highlight w:val="none"/>
          <w:lang w:val="en-US" w:eastAsia="zh-CN"/>
        </w:rPr>
        <w:t>公顷，在</w:t>
      </w:r>
      <w:r>
        <w:rPr>
          <w:rFonts w:hint="default" w:ascii="Times New Roman" w:hAnsi="Times New Roman" w:eastAsia="仿宋_GB2312" w:cs="Times New Roman"/>
          <w:kern w:val="0"/>
          <w:sz w:val="30"/>
          <w:szCs w:val="30"/>
          <w:highlight w:val="none"/>
          <w:lang w:val="en-US" w:eastAsia="zh-CN" w:bidi="ar-SA"/>
        </w:rPr>
        <w:t>2020</w:t>
      </w:r>
      <w:r>
        <w:rPr>
          <w:rFonts w:hint="default" w:ascii="Times New Roman" w:hAnsi="Times New Roman" w:eastAsia="仿宋_GB2312" w:cs="Times New Roman"/>
          <w:sz w:val="30"/>
          <w:szCs w:val="30"/>
          <w:highlight w:val="none"/>
          <w:lang w:val="en-US" w:eastAsia="zh-CN"/>
        </w:rPr>
        <w:t>年使用林地后的植被恢复费总额为</w:t>
      </w:r>
      <w:r>
        <w:rPr>
          <w:rFonts w:hint="default" w:ascii="Times New Roman" w:hAnsi="Times New Roman" w:eastAsia="仿宋_GB2312" w:cs="Times New Roman"/>
          <w:kern w:val="0"/>
          <w:sz w:val="30"/>
          <w:szCs w:val="30"/>
          <w:highlight w:val="none"/>
          <w:lang w:val="en-US" w:eastAsia="zh-CN" w:bidi="ar-SA"/>
        </w:rPr>
        <w:t>171.5194</w:t>
      </w:r>
      <w:r>
        <w:rPr>
          <w:rFonts w:hint="default" w:ascii="Times New Roman" w:hAnsi="Times New Roman" w:eastAsia="仿宋_GB2312" w:cs="Times New Roman"/>
          <w:sz w:val="30"/>
          <w:szCs w:val="30"/>
          <w:highlight w:val="none"/>
          <w:lang w:val="en-US" w:eastAsia="zh-CN"/>
        </w:rPr>
        <w:t>万元，项目类型主要为基础设施项目、公共事业和民生项目、经营性项目。琼海市自然资源和规划局主动摸底年度重点项目用林需求，统筹协调全市年度林地报批指标定额，科学合理安排，优先保障省市重点项目的用林需求，全力做好林地报批服务，促进重点项目尽早落地建设，积极指导和督促业主组织报件，缩短报批时间，为项目加快推进赢得时间，使得社会经济发展用林需求得到保障。</w:t>
      </w:r>
    </w:p>
    <w:p w14:paraId="68FCD774">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（二）林地保护管理得到加强</w:t>
      </w:r>
    </w:p>
    <w:p w14:paraId="6375F429">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2"/>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2019-2021</w:t>
      </w:r>
      <w:r>
        <w:rPr>
          <w:rFonts w:hint="default" w:ascii="Times New Roman" w:hAnsi="Times New Roman" w:eastAsia="仿宋_GB2312" w:cs="Times New Roman"/>
          <w:kern w:val="2"/>
          <w:sz w:val="30"/>
          <w:szCs w:val="30"/>
          <w:highlight w:val="none"/>
          <w:lang w:val="en-US" w:eastAsia="zh-CN" w:bidi="ar-SA"/>
        </w:rPr>
        <w:t>年森林督查自查实际疑似图斑数共</w:t>
      </w:r>
      <w:r>
        <w:rPr>
          <w:rFonts w:hint="default" w:ascii="Times New Roman" w:hAnsi="Times New Roman" w:eastAsia="仿宋_GB2312" w:cs="Times New Roman"/>
          <w:kern w:val="0"/>
          <w:sz w:val="30"/>
          <w:szCs w:val="30"/>
          <w:highlight w:val="none"/>
          <w:lang w:val="en-US" w:eastAsia="zh-CN" w:bidi="ar-SA"/>
        </w:rPr>
        <w:t>1400</w:t>
      </w:r>
      <w:r>
        <w:rPr>
          <w:rFonts w:hint="default" w:ascii="Times New Roman" w:hAnsi="Times New Roman" w:eastAsia="仿宋_GB2312" w:cs="Times New Roman"/>
          <w:kern w:val="2"/>
          <w:sz w:val="30"/>
          <w:szCs w:val="30"/>
          <w:highlight w:val="none"/>
          <w:lang w:val="en-US" w:eastAsia="zh-CN" w:bidi="ar-SA"/>
        </w:rPr>
        <w:t>个，图斑判读面积共</w:t>
      </w:r>
      <w:r>
        <w:rPr>
          <w:rFonts w:hint="default" w:ascii="Times New Roman" w:hAnsi="Times New Roman" w:eastAsia="仿宋_GB2312" w:cs="Times New Roman"/>
          <w:kern w:val="0"/>
          <w:sz w:val="30"/>
          <w:szCs w:val="30"/>
          <w:highlight w:val="none"/>
          <w:lang w:val="en-US" w:eastAsia="zh-CN" w:bidi="ar-SA"/>
        </w:rPr>
        <w:t>1516.8386</w:t>
      </w:r>
      <w:r>
        <w:rPr>
          <w:rFonts w:hint="default" w:ascii="Times New Roman" w:hAnsi="Times New Roman" w:eastAsia="仿宋_GB2312" w:cs="Times New Roman"/>
          <w:kern w:val="2"/>
          <w:sz w:val="30"/>
          <w:szCs w:val="30"/>
          <w:highlight w:val="none"/>
          <w:lang w:val="en-US" w:eastAsia="zh-CN" w:bidi="ar-SA"/>
        </w:rPr>
        <w:t>公顷，违法违规图斑数为</w:t>
      </w:r>
      <w:r>
        <w:rPr>
          <w:rFonts w:hint="default" w:ascii="Times New Roman" w:hAnsi="Times New Roman" w:eastAsia="仿宋_GB2312" w:cs="Times New Roman"/>
          <w:kern w:val="0"/>
          <w:sz w:val="30"/>
          <w:szCs w:val="30"/>
          <w:highlight w:val="none"/>
          <w:lang w:val="en-US" w:eastAsia="zh-CN" w:bidi="ar-SA"/>
        </w:rPr>
        <w:t>649</w:t>
      </w:r>
      <w:r>
        <w:rPr>
          <w:rFonts w:hint="default" w:ascii="Times New Roman" w:hAnsi="Times New Roman" w:eastAsia="仿宋_GB2312" w:cs="Times New Roman"/>
          <w:kern w:val="2"/>
          <w:sz w:val="30"/>
          <w:szCs w:val="30"/>
          <w:highlight w:val="none"/>
          <w:lang w:val="en-US" w:eastAsia="zh-CN" w:bidi="ar-SA"/>
        </w:rPr>
        <w:t>个。针对违法采伐地块，将逐一进行排查，重新核对上年度或往年采伐总图和台账信息，对确实无证采伐的图斑依法进行查处，加强整改，加大打击力度，减少违法采集地块发生率。并积极采取打击毁林措施，加强执法，严格处罚毁林行为，强化对破坏森林行为的打击力度，加大对非法占用林地的查处力度，有效控制了林地逆转，林地保护管理有明显成效。</w:t>
      </w:r>
    </w:p>
    <w:p w14:paraId="192D5290">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2"/>
          <w:sz w:val="30"/>
          <w:szCs w:val="30"/>
          <w:highlight w:val="none"/>
          <w:lang w:val="en-US" w:eastAsia="zh-CN" w:bidi="ar-SA"/>
        </w:rPr>
      </w:pPr>
      <w:r>
        <w:rPr>
          <w:rFonts w:hint="default" w:ascii="Times New Roman" w:hAnsi="Times New Roman" w:eastAsia="仿宋_GB2312" w:cs="Times New Roman"/>
          <w:kern w:val="2"/>
          <w:sz w:val="30"/>
          <w:szCs w:val="30"/>
          <w:highlight w:val="none"/>
          <w:lang w:val="en-US" w:eastAsia="zh-CN" w:bidi="ar-SA"/>
        </w:rPr>
        <w:t>同时加大林地保护宣传力度，深入开展《中华人民共和国森林法》及《海南省重点公益林管理试行办法》、《海南省沿海防护林建设与保护规定》等法律法规宣传，广泛发动社会力量共同保护森林资源，积极参与义务植树，大力弘扬义务植绿、护绿、爱绿的文明新风，在各镇、村及重点林区村口、山口、路口等明显地方采取拉挂横幅方式进行宣传。</w:t>
      </w:r>
    </w:p>
    <w:p w14:paraId="780034AC">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（三）林业生态建设成效显著</w:t>
      </w:r>
    </w:p>
    <w:p w14:paraId="74707F15">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2"/>
          <w:sz w:val="30"/>
          <w:szCs w:val="30"/>
          <w:highlight w:val="none"/>
          <w:lang w:val="en-US" w:eastAsia="zh-CN" w:bidi="ar-SA"/>
        </w:rPr>
      </w:pPr>
      <w:r>
        <w:rPr>
          <w:rFonts w:hint="default" w:ascii="Times New Roman" w:hAnsi="Times New Roman" w:eastAsia="仿宋_GB2312" w:cs="Times New Roman"/>
          <w:kern w:val="2"/>
          <w:sz w:val="30"/>
          <w:szCs w:val="30"/>
          <w:highlight w:val="none"/>
          <w:lang w:val="en-US" w:eastAsia="zh-CN" w:bidi="ar-SA"/>
        </w:rPr>
        <w:t>琼海市积极宣传和严格执行《森林法》等法律法规和规章制度，不断加强护林队伍建设和森林资源保护管理，大力推进植树造林和封山育林，琼海市</w:t>
      </w:r>
      <w:r>
        <w:rPr>
          <w:rFonts w:hint="default" w:ascii="Times New Roman" w:hAnsi="Times New Roman" w:eastAsia="仿宋_GB2312" w:cs="Times New Roman"/>
          <w:kern w:val="0"/>
          <w:sz w:val="30"/>
          <w:szCs w:val="30"/>
          <w:highlight w:val="none"/>
          <w:lang w:val="en-US" w:eastAsia="zh-CN" w:bidi="ar-SA"/>
        </w:rPr>
        <w:t>2018-2020</w:t>
      </w:r>
      <w:r>
        <w:rPr>
          <w:rFonts w:hint="default" w:ascii="Times New Roman" w:hAnsi="Times New Roman" w:eastAsia="仿宋_GB2312" w:cs="Times New Roman"/>
          <w:kern w:val="2"/>
          <w:sz w:val="30"/>
          <w:szCs w:val="30"/>
          <w:highlight w:val="none"/>
          <w:lang w:val="en-US" w:eastAsia="zh-CN" w:bidi="ar-SA"/>
        </w:rPr>
        <w:t>年退塘还林面积</w:t>
      </w:r>
      <w:r>
        <w:rPr>
          <w:rFonts w:hint="default" w:ascii="Times New Roman" w:hAnsi="Times New Roman" w:eastAsia="仿宋_GB2312" w:cs="Times New Roman"/>
          <w:kern w:val="0"/>
          <w:sz w:val="30"/>
          <w:szCs w:val="30"/>
          <w:highlight w:val="none"/>
          <w:lang w:val="en-US" w:eastAsia="zh-CN" w:bidi="ar-SA"/>
        </w:rPr>
        <w:t>154.20</w:t>
      </w:r>
      <w:r>
        <w:rPr>
          <w:rFonts w:hint="default" w:ascii="Times New Roman" w:hAnsi="Times New Roman" w:eastAsia="仿宋_GB2312" w:cs="Times New Roman"/>
          <w:kern w:val="2"/>
          <w:sz w:val="30"/>
          <w:szCs w:val="30"/>
          <w:highlight w:val="none"/>
          <w:lang w:val="en-US" w:eastAsia="zh-CN" w:bidi="ar-SA"/>
        </w:rPr>
        <w:t>亩，林种均为防护林。积极开展海洋生态修复</w:t>
      </w:r>
      <w:r>
        <w:rPr>
          <w:rFonts w:hint="eastAsia" w:ascii="Times New Roman" w:hAnsi="Times New Roman" w:eastAsia="仿宋_GB2312" w:cs="Times New Roman"/>
          <w:kern w:val="2"/>
          <w:sz w:val="30"/>
          <w:szCs w:val="30"/>
          <w:highlight w:val="none"/>
          <w:lang w:val="en-US" w:eastAsia="zh-CN" w:bidi="ar-SA"/>
        </w:rPr>
        <w:t>，</w:t>
      </w:r>
      <w:r>
        <w:rPr>
          <w:rFonts w:hint="default" w:ascii="Times New Roman" w:hAnsi="Times New Roman" w:eastAsia="仿宋_GB2312" w:cs="Times New Roman"/>
          <w:kern w:val="2"/>
          <w:sz w:val="30"/>
          <w:szCs w:val="30"/>
          <w:highlight w:val="none"/>
          <w:lang w:val="en-US" w:eastAsia="zh-CN" w:bidi="ar-SA"/>
        </w:rPr>
        <w:t>琼海市博鳌南港桥西南侧通过退塘还林种植红树林面积</w:t>
      </w:r>
      <w:r>
        <w:rPr>
          <w:rFonts w:hint="default" w:ascii="Times New Roman" w:hAnsi="Times New Roman" w:eastAsia="仿宋_GB2312" w:cs="Times New Roman"/>
          <w:kern w:val="0"/>
          <w:sz w:val="30"/>
          <w:szCs w:val="30"/>
          <w:highlight w:val="none"/>
          <w:lang w:val="en-US" w:eastAsia="zh-CN" w:bidi="ar-SA"/>
        </w:rPr>
        <w:t>36.40</w:t>
      </w:r>
      <w:r>
        <w:rPr>
          <w:rFonts w:hint="default" w:ascii="Times New Roman" w:hAnsi="Times New Roman" w:eastAsia="仿宋_GB2312" w:cs="Times New Roman"/>
          <w:kern w:val="2"/>
          <w:sz w:val="30"/>
          <w:szCs w:val="30"/>
          <w:highlight w:val="none"/>
          <w:lang w:val="en-US" w:eastAsia="zh-CN" w:bidi="ar-SA"/>
        </w:rPr>
        <w:t>亩</w:t>
      </w:r>
      <w:r>
        <w:rPr>
          <w:rFonts w:hint="eastAsia" w:ascii="Times New Roman" w:hAnsi="Times New Roman" w:eastAsia="仿宋_GB2312" w:cs="Times New Roman"/>
          <w:kern w:val="2"/>
          <w:sz w:val="30"/>
          <w:szCs w:val="30"/>
          <w:highlight w:val="none"/>
          <w:lang w:val="en-US" w:eastAsia="zh-CN" w:bidi="ar-SA"/>
        </w:rPr>
        <w:t>，保护其重要生态系统，</w:t>
      </w:r>
      <w:r>
        <w:rPr>
          <w:rFonts w:hint="default" w:ascii="Times New Roman" w:hAnsi="Times New Roman" w:eastAsia="仿宋_GB2312" w:cs="Times New Roman"/>
          <w:kern w:val="2"/>
          <w:sz w:val="30"/>
          <w:szCs w:val="30"/>
          <w:highlight w:val="none"/>
          <w:lang w:val="en-US" w:eastAsia="zh-CN" w:bidi="ar-SA"/>
        </w:rPr>
        <w:t>强化自然岸线、滨海湿地保护和恢复。矿山生态修复项目成效显著</w:t>
      </w:r>
      <w:r>
        <w:rPr>
          <w:rFonts w:hint="default" w:ascii="Times New Roman" w:hAnsi="Times New Roman" w:eastAsia="仿宋_GB2312" w:cs="Times New Roman"/>
          <w:kern w:val="0"/>
          <w:sz w:val="30"/>
          <w:szCs w:val="30"/>
          <w:highlight w:val="none"/>
          <w:lang w:val="en-US" w:eastAsia="zh-CN" w:bidi="ar-SA"/>
        </w:rPr>
        <w:t>，2017-2020</w:t>
      </w:r>
      <w:r>
        <w:rPr>
          <w:rFonts w:hint="default" w:ascii="Times New Roman" w:hAnsi="Times New Roman" w:eastAsia="仿宋_GB2312" w:cs="Times New Roman"/>
          <w:kern w:val="2"/>
          <w:sz w:val="30"/>
          <w:szCs w:val="30"/>
          <w:highlight w:val="none"/>
          <w:lang w:val="en-US" w:eastAsia="zh-CN" w:bidi="ar-SA"/>
        </w:rPr>
        <w:t>年修复海锦盈石场、至诚石场</w:t>
      </w:r>
      <w:r>
        <w:rPr>
          <w:rFonts w:hint="eastAsia" w:eastAsia="仿宋_GB2312" w:cs="Times New Roman"/>
          <w:kern w:val="2"/>
          <w:sz w:val="30"/>
          <w:szCs w:val="30"/>
          <w:highlight w:val="none"/>
          <w:lang w:val="en-US" w:eastAsia="zh-CN" w:bidi="ar-SA"/>
        </w:rPr>
        <w:t>等</w:t>
      </w:r>
      <w:r>
        <w:rPr>
          <w:rFonts w:hint="default" w:ascii="Times New Roman" w:hAnsi="Times New Roman" w:eastAsia="仿宋_GB2312" w:cs="Times New Roman"/>
          <w:kern w:val="2"/>
          <w:sz w:val="30"/>
          <w:szCs w:val="30"/>
          <w:highlight w:val="none"/>
          <w:lang w:val="en-US" w:eastAsia="zh-CN" w:bidi="ar-SA"/>
        </w:rPr>
        <w:t>共</w:t>
      </w:r>
      <w:r>
        <w:rPr>
          <w:rFonts w:hint="default" w:ascii="Times New Roman" w:hAnsi="Times New Roman" w:eastAsia="仿宋_GB2312" w:cs="Times New Roman"/>
          <w:kern w:val="0"/>
          <w:sz w:val="30"/>
          <w:szCs w:val="30"/>
          <w:highlight w:val="none"/>
          <w:lang w:val="en-US" w:eastAsia="zh-CN" w:bidi="ar-SA"/>
        </w:rPr>
        <w:t>11</w:t>
      </w:r>
      <w:r>
        <w:rPr>
          <w:rFonts w:hint="default" w:ascii="Times New Roman" w:hAnsi="Times New Roman" w:eastAsia="仿宋_GB2312" w:cs="Times New Roman"/>
          <w:kern w:val="2"/>
          <w:sz w:val="30"/>
          <w:szCs w:val="30"/>
          <w:highlight w:val="none"/>
          <w:lang w:val="en-US" w:eastAsia="zh-CN" w:bidi="ar-SA"/>
        </w:rPr>
        <w:t>个矿山项目，修复面积为</w:t>
      </w:r>
      <w:r>
        <w:rPr>
          <w:rFonts w:hint="default" w:ascii="Times New Roman" w:hAnsi="Times New Roman" w:eastAsia="仿宋_GB2312" w:cs="Times New Roman"/>
          <w:kern w:val="0"/>
          <w:sz w:val="30"/>
          <w:szCs w:val="30"/>
          <w:highlight w:val="none"/>
          <w:lang w:val="en-US" w:eastAsia="zh-CN" w:bidi="ar-SA"/>
        </w:rPr>
        <w:t>1005.72</w:t>
      </w:r>
      <w:r>
        <w:rPr>
          <w:rFonts w:hint="default" w:ascii="Times New Roman" w:hAnsi="Times New Roman" w:eastAsia="仿宋_GB2312" w:cs="Times New Roman"/>
          <w:kern w:val="2"/>
          <w:sz w:val="30"/>
          <w:szCs w:val="30"/>
          <w:highlight w:val="none"/>
          <w:lang w:val="en-US" w:eastAsia="zh-CN" w:bidi="ar-SA"/>
        </w:rPr>
        <w:t>亩，投入资金</w:t>
      </w:r>
      <w:r>
        <w:rPr>
          <w:rFonts w:hint="eastAsia" w:ascii="Times New Roman" w:hAnsi="Times New Roman" w:eastAsia="仿宋_GB2312" w:cs="Times New Roman"/>
          <w:kern w:val="2"/>
          <w:sz w:val="30"/>
          <w:szCs w:val="30"/>
          <w:highlight w:val="none"/>
          <w:lang w:val="en-US" w:eastAsia="zh-CN" w:bidi="ar-SA"/>
        </w:rPr>
        <w:t>累计</w:t>
      </w:r>
      <w:r>
        <w:rPr>
          <w:rFonts w:hint="default" w:ascii="Times New Roman" w:hAnsi="Times New Roman" w:eastAsia="仿宋_GB2312" w:cs="Times New Roman"/>
          <w:kern w:val="0"/>
          <w:sz w:val="30"/>
          <w:szCs w:val="30"/>
          <w:highlight w:val="none"/>
          <w:lang w:val="en-US" w:eastAsia="zh-CN" w:bidi="ar-SA"/>
        </w:rPr>
        <w:t>1113.46</w:t>
      </w:r>
      <w:r>
        <w:rPr>
          <w:rFonts w:hint="default" w:ascii="Times New Roman" w:hAnsi="Times New Roman" w:eastAsia="仿宋_GB2312" w:cs="Times New Roman"/>
          <w:kern w:val="2"/>
          <w:sz w:val="30"/>
          <w:szCs w:val="30"/>
          <w:highlight w:val="none"/>
          <w:lang w:val="en-US" w:eastAsia="zh-CN" w:bidi="ar-SA"/>
        </w:rPr>
        <w:t>万元</w:t>
      </w:r>
      <w:r>
        <w:rPr>
          <w:rFonts w:hint="eastAsia" w:eastAsia="仿宋_GB2312" w:cs="Times New Roman"/>
          <w:kern w:val="2"/>
          <w:sz w:val="30"/>
          <w:szCs w:val="30"/>
          <w:highlight w:val="none"/>
          <w:lang w:val="en-US" w:eastAsia="zh-CN" w:bidi="ar-SA"/>
        </w:rPr>
        <w:t>，</w:t>
      </w:r>
      <w:r>
        <w:rPr>
          <w:rFonts w:hint="default" w:ascii="Times New Roman" w:hAnsi="Times New Roman" w:eastAsia="仿宋_GB2312" w:cs="Times New Roman"/>
          <w:kern w:val="2"/>
          <w:sz w:val="30"/>
          <w:szCs w:val="30"/>
          <w:highlight w:val="none"/>
          <w:lang w:val="en-US" w:eastAsia="zh-CN" w:bidi="ar-SA"/>
        </w:rPr>
        <w:t>综合治理效果明显，改善了矿区地貌景观，有效清除或缓解地质灾害隐患，增加了矿坑安全性。</w:t>
      </w:r>
    </w:p>
    <w:p w14:paraId="03E3EE3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（四）森林资源管护能力全面提升</w:t>
      </w:r>
    </w:p>
    <w:p w14:paraId="3106B4A0">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2"/>
          <w:sz w:val="30"/>
          <w:szCs w:val="30"/>
          <w:highlight w:val="none"/>
          <w:lang w:val="en-US" w:eastAsia="zh-CN" w:bidi="ar-SA"/>
        </w:rPr>
      </w:pPr>
      <w:r>
        <w:rPr>
          <w:rFonts w:hint="default" w:ascii="Times New Roman" w:hAnsi="Times New Roman" w:eastAsia="仿宋_GB2312" w:cs="Times New Roman"/>
          <w:kern w:val="2"/>
          <w:sz w:val="30"/>
          <w:szCs w:val="30"/>
          <w:highlight w:val="none"/>
          <w:lang w:val="en-US" w:eastAsia="zh-CN" w:bidi="ar-SA"/>
        </w:rPr>
        <w:t>森林防火制度建设日趋完善，组织机构逐步健全，森林防火机构和防火队伍不断扩展，森林火灾预警体系初步健全，火源管控能力明显提升。分类管理林区火源，严防人为火灾发生，全民防火意识不断增强，森林火灾扑救体系全面加强，琼海市森林防火通讯覆盖率基本达到</w:t>
      </w:r>
      <w:r>
        <w:rPr>
          <w:rFonts w:hint="default" w:ascii="Times New Roman" w:hAnsi="Times New Roman" w:eastAsia="仿宋_GB2312" w:cs="Times New Roman"/>
          <w:kern w:val="0"/>
          <w:sz w:val="30"/>
          <w:szCs w:val="30"/>
          <w:highlight w:val="none"/>
          <w:lang w:val="en-US" w:eastAsia="zh-CN" w:bidi="ar-SA"/>
        </w:rPr>
        <w:t>60%</w:t>
      </w:r>
      <w:r>
        <w:rPr>
          <w:rFonts w:hint="default" w:ascii="Times New Roman" w:hAnsi="Times New Roman" w:eastAsia="仿宋_GB2312" w:cs="Times New Roman"/>
          <w:kern w:val="2"/>
          <w:sz w:val="30"/>
          <w:szCs w:val="30"/>
          <w:highlight w:val="none"/>
          <w:lang w:val="en-US" w:eastAsia="zh-CN" w:bidi="ar-SA"/>
        </w:rPr>
        <w:t>，超短波通讯网基本形成</w:t>
      </w:r>
      <w:r>
        <w:rPr>
          <w:rFonts w:hint="eastAsia" w:ascii="Times New Roman" w:hAnsi="Times New Roman" w:eastAsia="仿宋_GB2312" w:cs="Times New Roman"/>
          <w:kern w:val="2"/>
          <w:sz w:val="30"/>
          <w:szCs w:val="30"/>
          <w:highlight w:val="none"/>
          <w:lang w:val="en-US" w:eastAsia="zh-CN" w:bidi="ar-SA"/>
        </w:rPr>
        <w:t>。</w:t>
      </w:r>
      <w:r>
        <w:rPr>
          <w:rFonts w:hint="default" w:ascii="Times New Roman" w:hAnsi="Times New Roman" w:eastAsia="仿宋_GB2312" w:cs="Times New Roman"/>
          <w:kern w:val="2"/>
          <w:sz w:val="30"/>
          <w:szCs w:val="30"/>
          <w:highlight w:val="none"/>
          <w:lang w:val="en-US" w:eastAsia="zh-CN" w:bidi="ar-SA"/>
        </w:rPr>
        <w:t>森林消防力量不断壮大，</w:t>
      </w:r>
      <w:r>
        <w:rPr>
          <w:rFonts w:hint="eastAsia" w:ascii="Times New Roman" w:hAnsi="Times New Roman" w:eastAsia="仿宋_GB2312" w:cs="Times New Roman"/>
          <w:kern w:val="0"/>
          <w:sz w:val="30"/>
          <w:szCs w:val="30"/>
          <w:highlight w:val="none"/>
          <w:lang w:val="en-US" w:eastAsia="zh-CN" w:bidi="ar-SA"/>
        </w:rPr>
        <w:t>2020</w:t>
      </w:r>
      <w:r>
        <w:rPr>
          <w:rFonts w:hint="default" w:ascii="Times New Roman" w:hAnsi="Times New Roman" w:eastAsia="仿宋_GB2312" w:cs="Times New Roman"/>
          <w:kern w:val="2"/>
          <w:sz w:val="30"/>
          <w:szCs w:val="30"/>
          <w:highlight w:val="none"/>
          <w:lang w:val="en-US" w:eastAsia="zh-CN" w:bidi="ar-SA"/>
        </w:rPr>
        <w:t>年，琼海市森林防火指挥部办公室共有专职人员</w:t>
      </w:r>
      <w:r>
        <w:rPr>
          <w:rFonts w:hint="default" w:ascii="Times New Roman" w:hAnsi="Times New Roman" w:eastAsia="仿宋_GB2312" w:cs="Times New Roman"/>
          <w:kern w:val="0"/>
          <w:sz w:val="30"/>
          <w:szCs w:val="30"/>
          <w:highlight w:val="none"/>
          <w:lang w:val="en-US" w:eastAsia="zh-CN" w:bidi="ar-SA"/>
        </w:rPr>
        <w:t>6</w:t>
      </w:r>
      <w:r>
        <w:rPr>
          <w:rFonts w:hint="default" w:ascii="Times New Roman" w:hAnsi="Times New Roman" w:eastAsia="仿宋_GB2312" w:cs="Times New Roman"/>
          <w:kern w:val="2"/>
          <w:sz w:val="30"/>
          <w:szCs w:val="30"/>
          <w:highlight w:val="none"/>
          <w:lang w:val="en-US" w:eastAsia="zh-CN" w:bidi="ar-SA"/>
        </w:rPr>
        <w:t>人</w:t>
      </w:r>
      <w:r>
        <w:rPr>
          <w:rFonts w:hint="eastAsia" w:ascii="Times New Roman" w:hAnsi="Times New Roman" w:eastAsia="仿宋_GB2312" w:cs="Times New Roman"/>
          <w:kern w:val="2"/>
          <w:sz w:val="30"/>
          <w:szCs w:val="30"/>
          <w:highlight w:val="none"/>
          <w:lang w:val="en-US" w:eastAsia="zh-CN" w:bidi="ar-SA"/>
        </w:rPr>
        <w:t>，</w:t>
      </w:r>
      <w:r>
        <w:rPr>
          <w:rFonts w:hint="default" w:ascii="Times New Roman" w:hAnsi="Times New Roman" w:eastAsia="仿宋_GB2312" w:cs="Times New Roman"/>
          <w:kern w:val="2"/>
          <w:sz w:val="30"/>
          <w:szCs w:val="30"/>
          <w:highlight w:val="none"/>
          <w:lang w:val="en-US" w:eastAsia="zh-CN" w:bidi="ar-SA"/>
        </w:rPr>
        <w:t>专业扑火队伍一支共</w:t>
      </w:r>
      <w:r>
        <w:rPr>
          <w:rFonts w:hint="default" w:ascii="Times New Roman" w:hAnsi="Times New Roman" w:eastAsia="仿宋_GB2312" w:cs="Times New Roman"/>
          <w:kern w:val="0"/>
          <w:sz w:val="30"/>
          <w:szCs w:val="30"/>
          <w:highlight w:val="none"/>
          <w:lang w:val="en-US" w:eastAsia="zh-CN" w:bidi="ar-SA"/>
        </w:rPr>
        <w:t>20</w:t>
      </w:r>
      <w:r>
        <w:rPr>
          <w:rFonts w:hint="default" w:ascii="Times New Roman" w:hAnsi="Times New Roman" w:eastAsia="仿宋_GB2312" w:cs="Times New Roman"/>
          <w:kern w:val="2"/>
          <w:sz w:val="30"/>
          <w:szCs w:val="30"/>
          <w:highlight w:val="none"/>
          <w:lang w:val="en-US" w:eastAsia="zh-CN" w:bidi="ar-SA"/>
        </w:rPr>
        <w:t>人</w:t>
      </w:r>
      <w:r>
        <w:rPr>
          <w:rFonts w:hint="eastAsia" w:ascii="Times New Roman" w:hAnsi="Times New Roman" w:eastAsia="仿宋_GB2312" w:cs="Times New Roman"/>
          <w:kern w:val="2"/>
          <w:sz w:val="30"/>
          <w:szCs w:val="30"/>
          <w:highlight w:val="none"/>
          <w:lang w:val="en-US" w:eastAsia="zh-CN" w:bidi="ar-SA"/>
        </w:rPr>
        <w:t>，</w:t>
      </w:r>
      <w:r>
        <w:rPr>
          <w:rFonts w:hint="default" w:ascii="Times New Roman" w:hAnsi="Times New Roman" w:eastAsia="仿宋_GB2312" w:cs="Times New Roman"/>
          <w:kern w:val="2"/>
          <w:sz w:val="30"/>
          <w:szCs w:val="30"/>
          <w:highlight w:val="none"/>
          <w:lang w:val="en-US" w:eastAsia="zh-CN" w:bidi="ar-SA"/>
        </w:rPr>
        <w:t>半专业扑火队</w:t>
      </w:r>
      <w:r>
        <w:rPr>
          <w:rFonts w:hint="default" w:ascii="Times New Roman" w:hAnsi="Times New Roman" w:eastAsia="仿宋_GB2312" w:cs="Times New Roman"/>
          <w:kern w:val="0"/>
          <w:sz w:val="30"/>
          <w:szCs w:val="30"/>
          <w:highlight w:val="none"/>
          <w:lang w:val="en-US" w:eastAsia="zh-CN" w:bidi="ar-SA"/>
        </w:rPr>
        <w:t>20</w:t>
      </w:r>
      <w:r>
        <w:rPr>
          <w:rFonts w:hint="default" w:ascii="Times New Roman" w:hAnsi="Times New Roman" w:eastAsia="仿宋_GB2312" w:cs="Times New Roman"/>
          <w:kern w:val="2"/>
          <w:sz w:val="30"/>
          <w:szCs w:val="30"/>
          <w:highlight w:val="none"/>
          <w:lang w:val="en-US" w:eastAsia="zh-CN" w:bidi="ar-SA"/>
        </w:rPr>
        <w:t>支共</w:t>
      </w:r>
      <w:r>
        <w:rPr>
          <w:rFonts w:hint="default" w:ascii="Times New Roman" w:hAnsi="Times New Roman" w:eastAsia="仿宋_GB2312" w:cs="Times New Roman"/>
          <w:kern w:val="0"/>
          <w:sz w:val="30"/>
          <w:szCs w:val="30"/>
          <w:highlight w:val="none"/>
          <w:lang w:val="en-US" w:eastAsia="zh-CN" w:bidi="ar-SA"/>
        </w:rPr>
        <w:t>901</w:t>
      </w:r>
      <w:r>
        <w:rPr>
          <w:rFonts w:hint="default" w:ascii="Times New Roman" w:hAnsi="Times New Roman" w:eastAsia="仿宋_GB2312" w:cs="Times New Roman"/>
          <w:kern w:val="2"/>
          <w:sz w:val="30"/>
          <w:szCs w:val="30"/>
          <w:highlight w:val="none"/>
          <w:lang w:val="en-US" w:eastAsia="zh-CN" w:bidi="ar-SA"/>
        </w:rPr>
        <w:t>人，全省居首位。全市调查统计古树名木共</w:t>
      </w:r>
      <w:r>
        <w:rPr>
          <w:rFonts w:hint="default" w:ascii="Times New Roman" w:hAnsi="Times New Roman" w:eastAsia="仿宋_GB2312" w:cs="Times New Roman"/>
          <w:kern w:val="0"/>
          <w:sz w:val="30"/>
          <w:szCs w:val="30"/>
          <w:highlight w:val="none"/>
          <w:lang w:val="en-US" w:eastAsia="zh-CN" w:bidi="ar-SA"/>
        </w:rPr>
        <w:t>207</w:t>
      </w:r>
      <w:r>
        <w:rPr>
          <w:rFonts w:hint="eastAsia" w:ascii="Times New Roman" w:hAnsi="Times New Roman" w:eastAsia="仿宋_GB2312" w:cs="Times New Roman"/>
          <w:kern w:val="2"/>
          <w:sz w:val="30"/>
          <w:szCs w:val="30"/>
          <w:highlight w:val="none"/>
          <w:lang w:val="en-US" w:eastAsia="zh-CN" w:bidi="ar-SA"/>
        </w:rPr>
        <w:t>株</w:t>
      </w:r>
      <w:r>
        <w:rPr>
          <w:rFonts w:hint="default" w:ascii="Times New Roman" w:hAnsi="Times New Roman" w:eastAsia="仿宋_GB2312" w:cs="Times New Roman"/>
          <w:kern w:val="2"/>
          <w:sz w:val="30"/>
          <w:szCs w:val="30"/>
          <w:highlight w:val="none"/>
          <w:lang w:val="en-US" w:eastAsia="zh-CN" w:bidi="ar-SA"/>
        </w:rPr>
        <w:t>，</w:t>
      </w:r>
      <w:r>
        <w:rPr>
          <w:rFonts w:hint="eastAsia" w:ascii="Times New Roman" w:hAnsi="Times New Roman" w:eastAsia="仿宋_GB2312" w:cs="Times New Roman"/>
          <w:kern w:val="2"/>
          <w:sz w:val="30"/>
          <w:szCs w:val="30"/>
          <w:highlight w:val="none"/>
          <w:lang w:val="en-US" w:eastAsia="zh-CN" w:bidi="ar-SA"/>
        </w:rPr>
        <w:t>其中一级古树13株，登记在册的古树名木都按相关要求进行了保护工作</w:t>
      </w:r>
      <w:r>
        <w:rPr>
          <w:rFonts w:hint="default" w:ascii="Times New Roman" w:hAnsi="Times New Roman" w:eastAsia="仿宋_GB2312" w:cs="Times New Roman"/>
          <w:kern w:val="2"/>
          <w:sz w:val="30"/>
          <w:szCs w:val="30"/>
          <w:highlight w:val="none"/>
          <w:lang w:val="en-US" w:eastAsia="zh-CN" w:bidi="ar-SA"/>
        </w:rPr>
        <w:t>。</w:t>
      </w:r>
    </w:p>
    <w:p w14:paraId="56C95588">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2"/>
          <w:sz w:val="30"/>
          <w:szCs w:val="30"/>
          <w:highlight w:val="none"/>
          <w:lang w:val="en-US" w:eastAsia="zh-CN" w:bidi="ar-SA"/>
        </w:rPr>
      </w:pPr>
      <w:r>
        <w:rPr>
          <w:rFonts w:hint="default" w:ascii="Times New Roman" w:hAnsi="Times New Roman" w:eastAsia="仿宋_GB2312" w:cs="Times New Roman"/>
          <w:kern w:val="2"/>
          <w:sz w:val="30"/>
          <w:szCs w:val="30"/>
          <w:highlight w:val="none"/>
          <w:lang w:val="en-US" w:eastAsia="zh-CN" w:bidi="ar-SA"/>
        </w:rPr>
        <w:t>琼海市主要林业有害生物为椰心叶甲，主要危害椰子为主的棕榈科植物，采取挂药包防治椰心叶甲和大量释放寄生蜂的措施，通过寄生蜂的迁飞作用达到持续有效防治。全年发生虫灾害面积共</w:t>
      </w:r>
      <w:r>
        <w:rPr>
          <w:rFonts w:hint="default" w:ascii="Times New Roman" w:hAnsi="Times New Roman" w:eastAsia="仿宋_GB2312" w:cs="Times New Roman"/>
          <w:kern w:val="0"/>
          <w:sz w:val="30"/>
          <w:szCs w:val="30"/>
          <w:highlight w:val="none"/>
          <w:lang w:val="en-US" w:eastAsia="zh-CN" w:bidi="ar-SA"/>
        </w:rPr>
        <w:t>8360</w:t>
      </w:r>
      <w:r>
        <w:rPr>
          <w:rFonts w:hint="default" w:ascii="Times New Roman" w:hAnsi="Times New Roman" w:eastAsia="仿宋_GB2312" w:cs="Times New Roman"/>
          <w:kern w:val="2"/>
          <w:sz w:val="30"/>
          <w:szCs w:val="30"/>
          <w:highlight w:val="none"/>
          <w:lang w:val="en-US" w:eastAsia="zh-CN" w:bidi="ar-SA"/>
        </w:rPr>
        <w:t>亩，全市均有发生，对重点区域重大林业有害生物定点监测，通过定时定点测报，及时了解有害生物发生发展趋势，有利于琼海市开展科学防控，有效控制有害生物的危害。</w:t>
      </w:r>
    </w:p>
    <w:p w14:paraId="73661C6D">
      <w:pPr>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br w:type="page"/>
      </w:r>
    </w:p>
    <w:p w14:paraId="4E17444B">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（五）林业体制改革持续推进</w:t>
      </w:r>
    </w:p>
    <w:p w14:paraId="274C73C6">
      <w:pPr>
        <w:ind w:firstLine="600" w:firstLineChars="200"/>
        <w:rPr>
          <w:rFonts w:hint="default" w:ascii="Times New Roman" w:hAnsi="Times New Roman" w:eastAsia="仿宋_GB2312" w:cs="Times New Roman"/>
          <w:kern w:val="2"/>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2020</w:t>
      </w:r>
      <w:r>
        <w:rPr>
          <w:rFonts w:hint="default" w:ascii="Times New Roman" w:hAnsi="Times New Roman" w:eastAsia="仿宋_GB2312" w:cs="Times New Roman"/>
          <w:kern w:val="2"/>
          <w:sz w:val="30"/>
          <w:szCs w:val="30"/>
          <w:highlight w:val="none"/>
          <w:lang w:val="en-US" w:eastAsia="zh-CN" w:bidi="ar-SA"/>
        </w:rPr>
        <w:t>年，在全市全面推进林长制并建立相关制度，强化森林资源监管，严格生态公益林、天然林、野生动植物和古树名木保护管理，严厉打击非法占用林地、盗伐滥伐林木、乱捕滥猎野生动物等各类违法破坏森林资源行为，积极推进专业化防治。市级林长会议每年召开一次，规范林长制市级议事程序，保障林长制工作有序运行。制定琼海市林长制工作督察制度，以加强对全市林长制工作的督察指导，健全工作机制，扎实推进林长制工作，确保各项任务目标按时保质完成；制定考核制度，促进林长制工作得到有效落实；制定公开制度，以及时了解掌握林长制工作进展情况，提高信息资源利用和共享效率</w:t>
      </w:r>
      <w:r>
        <w:rPr>
          <w:rFonts w:hint="eastAsia" w:eastAsia="仿宋_GB2312" w:cs="Times New Roman"/>
          <w:kern w:val="2"/>
          <w:sz w:val="30"/>
          <w:szCs w:val="30"/>
          <w:highlight w:val="none"/>
          <w:lang w:val="en-US" w:eastAsia="zh-CN" w:bidi="ar-SA"/>
        </w:rPr>
        <w:t>，</w:t>
      </w:r>
      <w:r>
        <w:rPr>
          <w:rFonts w:hint="default" w:ascii="Times New Roman" w:hAnsi="Times New Roman" w:eastAsia="仿宋_GB2312" w:cs="Times New Roman"/>
          <w:kern w:val="2"/>
          <w:sz w:val="30"/>
          <w:szCs w:val="30"/>
          <w:highlight w:val="none"/>
          <w:lang w:val="en-US" w:eastAsia="zh-CN" w:bidi="ar-SA"/>
        </w:rPr>
        <w:t>实现生态发展、绿色发展，人与自然和谐发展。</w:t>
      </w:r>
    </w:p>
    <w:p w14:paraId="769FDF6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jc w:val="left"/>
        <w:textAlignment w:val="auto"/>
        <w:outlineLvl w:val="1"/>
        <w:rPr>
          <w:rFonts w:hint="default" w:ascii="楷体" w:hAnsi="楷体" w:eastAsia="楷体" w:cs="宋体"/>
          <w:kern w:val="0"/>
          <w:sz w:val="32"/>
          <w:szCs w:val="32"/>
          <w:highlight w:val="none"/>
          <w:lang w:val="en-US" w:eastAsia="zh-CN" w:bidi="ar-SA"/>
        </w:rPr>
      </w:pPr>
      <w:bookmarkStart w:id="12" w:name="_Toc1662"/>
      <w:r>
        <w:rPr>
          <w:rFonts w:hint="eastAsia" w:ascii="楷体" w:hAnsi="楷体" w:eastAsia="楷体" w:cs="宋体"/>
          <w:kern w:val="0"/>
          <w:sz w:val="32"/>
          <w:szCs w:val="32"/>
          <w:highlight w:val="none"/>
          <w:lang w:val="en-US" w:eastAsia="zh-CN" w:bidi="ar-SA"/>
        </w:rPr>
        <w:t>三、存在问题</w:t>
      </w:r>
      <w:bookmarkEnd w:id="12"/>
    </w:p>
    <w:p w14:paraId="1BF35310">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default"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（一）树种、林种</w:t>
      </w:r>
      <w:r>
        <w:rPr>
          <w:rFonts w:hint="default" w:ascii="仿宋_GB2312" w:hAnsi="宋体" w:eastAsia="仿宋_GB2312" w:cs="宋体"/>
          <w:kern w:val="0"/>
          <w:sz w:val="30"/>
          <w:szCs w:val="30"/>
          <w:highlight w:val="none"/>
          <w:lang w:val="en-US" w:eastAsia="zh-CN" w:bidi="ar-SA"/>
        </w:rPr>
        <w:t>结构不合理</w:t>
      </w:r>
    </w:p>
    <w:p w14:paraId="77677D15">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全市的森林经营缺乏有力的造林政策约束和科学合理的技术指导，林农造林盲目遵循市场变化，什么树种经济效益好就种植相应树种。造林树种单一</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槟榔种植面积增幅较大，且全市的槟榔和橡胶的种植面积达到9.45万公顷，占到乔木林面积的81.84%。因此，导致现在的纯林多、混交林少，且容易出现大范围的树木病虫害，威胁森林健康</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此外，全市公益林面积较少，商品林面积比重较大，其中商品林中呈现经济林多、用材林少的现状，经济林中橡胶林多、槟榔多、其它经济树种少的现状。</w:t>
      </w:r>
    </w:p>
    <w:p w14:paraId="1CA811C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default"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（二）</w:t>
      </w:r>
      <w:r>
        <w:rPr>
          <w:rFonts w:hint="default" w:ascii="仿宋_GB2312" w:hAnsi="宋体" w:eastAsia="仿宋_GB2312" w:cs="宋体"/>
          <w:kern w:val="0"/>
          <w:sz w:val="30"/>
          <w:szCs w:val="30"/>
          <w:highlight w:val="none"/>
          <w:lang w:val="en-US" w:eastAsia="zh-CN" w:bidi="ar-SA"/>
        </w:rPr>
        <w:t>林地生产力潜力未充分挖掘</w:t>
      </w:r>
    </w:p>
    <w:p w14:paraId="520BC10B">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00" w:firstLineChars="200"/>
        <w:jc w:val="both"/>
        <w:textAlignment w:val="auto"/>
        <w:outlineLvl w:val="9"/>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琼海市地处</w:t>
      </w:r>
      <w:r>
        <w:rPr>
          <w:rFonts w:hint="default" w:ascii="Times New Roman" w:hAnsi="Times New Roman" w:eastAsia="仿宋_GB2312"/>
          <w:kern w:val="0"/>
          <w:sz w:val="30"/>
          <w:szCs w:val="30"/>
          <w:highlight w:val="none"/>
        </w:rPr>
        <w:t>热带季风及海洋湿润气候区</w:t>
      </w:r>
      <w:r>
        <w:rPr>
          <w:rFonts w:hint="default" w:ascii="Times New Roman" w:hAnsi="Times New Roman" w:eastAsia="仿宋_GB2312" w:cs="Times New Roman"/>
          <w:kern w:val="0"/>
          <w:sz w:val="30"/>
          <w:szCs w:val="30"/>
          <w:highlight w:val="none"/>
          <w:lang w:val="en-US" w:eastAsia="zh-CN" w:bidi="ar-SA"/>
        </w:rPr>
        <w:t>，光照充足，高温多雨，为植被的生长提供了很好的环境条件，非常利于乔木植被的生长。</w:t>
      </w:r>
      <w:r>
        <w:rPr>
          <w:rFonts w:hint="eastAsia" w:ascii="Times New Roman" w:hAnsi="Times New Roman" w:eastAsia="仿宋_GB2312" w:cs="Times New Roman"/>
          <w:kern w:val="0"/>
          <w:sz w:val="30"/>
          <w:szCs w:val="30"/>
          <w:highlight w:val="none"/>
          <w:lang w:val="en-US" w:eastAsia="zh-CN" w:bidi="ar-SA"/>
        </w:rPr>
        <w:t>但</w:t>
      </w:r>
      <w:r>
        <w:rPr>
          <w:rFonts w:hint="default" w:ascii="Times New Roman" w:hAnsi="Times New Roman" w:eastAsia="仿宋_GB2312" w:cs="Times New Roman"/>
          <w:kern w:val="0"/>
          <w:sz w:val="30"/>
          <w:szCs w:val="30"/>
          <w:highlight w:val="none"/>
          <w:lang w:val="en-US" w:eastAsia="zh-CN" w:bidi="ar-SA"/>
        </w:rPr>
        <w:t>由于</w:t>
      </w:r>
      <w:r>
        <w:rPr>
          <w:rFonts w:hint="eastAsia" w:ascii="Times New Roman" w:hAnsi="Times New Roman" w:eastAsia="仿宋_GB2312" w:cs="Times New Roman"/>
          <w:kern w:val="0"/>
          <w:sz w:val="30"/>
          <w:szCs w:val="30"/>
          <w:highlight w:val="none"/>
          <w:lang w:val="en-US" w:eastAsia="zh-CN" w:bidi="ar-SA"/>
        </w:rPr>
        <w:t>森林</w:t>
      </w:r>
      <w:r>
        <w:rPr>
          <w:rFonts w:hint="default" w:ascii="Times New Roman" w:hAnsi="Times New Roman" w:eastAsia="仿宋_GB2312" w:cs="Times New Roman"/>
          <w:kern w:val="0"/>
          <w:sz w:val="30"/>
          <w:szCs w:val="30"/>
          <w:highlight w:val="none"/>
          <w:lang w:val="en-US" w:eastAsia="zh-CN" w:bidi="ar-SA"/>
        </w:rPr>
        <w:t>经营管理粗放、资金和技术投入不足，导致林地生产力总体不高。因此，</w:t>
      </w:r>
      <w:r>
        <w:rPr>
          <w:rFonts w:hint="eastAsia" w:ascii="Times New Roman" w:hAnsi="Times New Roman" w:eastAsia="仿宋_GB2312" w:cs="Times New Roman"/>
          <w:kern w:val="0"/>
          <w:sz w:val="30"/>
          <w:szCs w:val="30"/>
          <w:highlight w:val="none"/>
          <w:lang w:val="en-US" w:eastAsia="zh-CN" w:bidi="ar-SA"/>
        </w:rPr>
        <w:t>需</w:t>
      </w:r>
      <w:r>
        <w:rPr>
          <w:rFonts w:hint="default" w:ascii="Times New Roman" w:hAnsi="Times New Roman" w:eastAsia="仿宋_GB2312" w:cs="Times New Roman"/>
          <w:kern w:val="0"/>
          <w:sz w:val="30"/>
          <w:szCs w:val="30"/>
          <w:highlight w:val="none"/>
          <w:lang w:val="en-US" w:eastAsia="zh-CN" w:bidi="ar-SA"/>
        </w:rPr>
        <w:t>结合生态区位和地理因素，</w:t>
      </w:r>
      <w:r>
        <w:rPr>
          <w:rFonts w:hint="default" w:ascii="Times New Roman" w:hAnsi="Times New Roman" w:eastAsia="仿宋_GB2312"/>
          <w:kern w:val="0"/>
          <w:sz w:val="30"/>
          <w:szCs w:val="30"/>
          <w:highlight w:val="none"/>
        </w:rPr>
        <w:t>加大资金投入和林业技术支撑</w:t>
      </w:r>
      <w:r>
        <w:rPr>
          <w:rFonts w:hint="eastAsia" w:ascii="Times New Roman" w:hAnsi="Times New Roman" w:eastAsia="仿宋_GB2312"/>
          <w:kern w:val="0"/>
          <w:sz w:val="30"/>
          <w:szCs w:val="30"/>
          <w:highlight w:val="none"/>
          <w:lang w:eastAsia="zh-CN"/>
        </w:rPr>
        <w:t>，</w:t>
      </w:r>
      <w:r>
        <w:rPr>
          <w:rFonts w:hint="default" w:ascii="Times New Roman" w:hAnsi="Times New Roman" w:eastAsia="仿宋_GB2312" w:cs="Times New Roman"/>
          <w:kern w:val="0"/>
          <w:sz w:val="30"/>
          <w:szCs w:val="30"/>
          <w:highlight w:val="none"/>
          <w:lang w:val="en-US" w:eastAsia="zh-CN" w:bidi="ar-SA"/>
        </w:rPr>
        <w:t>科学挖掘林地生产潜力，持续提高森林面积和森林质量</w:t>
      </w:r>
      <w:r>
        <w:rPr>
          <w:rFonts w:hint="eastAsia" w:ascii="Times New Roman" w:hAnsi="Times New Roman" w:eastAsia="仿宋_GB2312" w:cs="Times New Roman"/>
          <w:kern w:val="0"/>
          <w:sz w:val="30"/>
          <w:szCs w:val="30"/>
          <w:highlight w:val="none"/>
          <w:lang w:val="en-US" w:eastAsia="zh-CN" w:bidi="ar-SA"/>
        </w:rPr>
        <w:t>。</w:t>
      </w:r>
    </w:p>
    <w:p w14:paraId="739A2040">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default" w:ascii="仿宋_GB2312" w:hAnsi="宋体" w:eastAsia="仿宋_GB2312" w:cs="宋体"/>
          <w:kern w:val="0"/>
          <w:sz w:val="30"/>
          <w:szCs w:val="30"/>
          <w:highlight w:val="none"/>
          <w:lang w:val="en-US" w:eastAsia="zh-CN" w:bidi="ar-SA"/>
        </w:rPr>
      </w:pPr>
      <w:r>
        <w:rPr>
          <w:rFonts w:hint="eastAsia" w:ascii="仿宋_GB2312" w:hAnsi="宋体" w:eastAsia="仿宋_GB2312" w:cs="宋体"/>
          <w:kern w:val="0"/>
          <w:sz w:val="30"/>
          <w:szCs w:val="30"/>
          <w:highlight w:val="none"/>
          <w:lang w:val="en-US" w:eastAsia="zh-CN" w:bidi="ar-SA"/>
        </w:rPr>
        <w:t>（三）</w:t>
      </w:r>
      <w:r>
        <w:rPr>
          <w:rFonts w:hint="default" w:ascii="仿宋_GB2312" w:hAnsi="宋体" w:eastAsia="仿宋_GB2312" w:cs="宋体"/>
          <w:kern w:val="0"/>
          <w:sz w:val="30"/>
          <w:szCs w:val="30"/>
          <w:highlight w:val="none"/>
          <w:lang w:val="en-US" w:eastAsia="zh-CN" w:bidi="ar-SA"/>
        </w:rPr>
        <w:t>林业产业发展相对滞后</w:t>
      </w:r>
    </w:p>
    <w:p w14:paraId="23A4BB03">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kern w:val="0"/>
          <w:sz w:val="30"/>
          <w:szCs w:val="30"/>
          <w:highlight w:val="none"/>
        </w:rPr>
        <w:t>发展林业产业是拓宽农民就业渠道、促进农民增收，实现农村产业振兴、经济发展的重要途径。</w:t>
      </w:r>
      <w:r>
        <w:rPr>
          <w:rFonts w:hint="eastAsia" w:eastAsia="仿宋_GB2312" w:cs="Times New Roman"/>
          <w:kern w:val="0"/>
          <w:sz w:val="30"/>
          <w:szCs w:val="30"/>
          <w:highlight w:val="none"/>
          <w:lang w:val="en-US" w:eastAsia="zh-CN" w:bidi="ar-SA"/>
        </w:rPr>
        <w:t>琼海市</w:t>
      </w:r>
      <w:r>
        <w:rPr>
          <w:rFonts w:hint="default" w:ascii="Times New Roman" w:hAnsi="Times New Roman" w:eastAsia="仿宋_GB2312" w:cs="Times New Roman"/>
          <w:kern w:val="0"/>
          <w:sz w:val="30"/>
          <w:szCs w:val="30"/>
          <w:highlight w:val="none"/>
          <w:lang w:val="en-US" w:eastAsia="zh-CN" w:bidi="ar-SA"/>
        </w:rPr>
        <w:t>林业产业资源</w:t>
      </w:r>
      <w:r>
        <w:rPr>
          <w:rFonts w:hint="eastAsia" w:eastAsia="仿宋_GB2312" w:cs="Times New Roman"/>
          <w:kern w:val="0"/>
          <w:sz w:val="30"/>
          <w:szCs w:val="30"/>
          <w:highlight w:val="none"/>
          <w:lang w:val="en-US" w:eastAsia="zh-CN" w:bidi="ar-SA"/>
        </w:rPr>
        <w:t>当前还未</w:t>
      </w:r>
      <w:r>
        <w:rPr>
          <w:rFonts w:hint="default" w:ascii="Times New Roman" w:hAnsi="Times New Roman" w:eastAsia="仿宋_GB2312" w:cs="Times New Roman"/>
          <w:kern w:val="0"/>
          <w:sz w:val="30"/>
          <w:szCs w:val="30"/>
          <w:highlight w:val="none"/>
          <w:lang w:val="en-US" w:eastAsia="zh-CN" w:bidi="ar-SA"/>
        </w:rPr>
        <w:t>得到充分利用，林下经济发展水平相对较低，对林农增收贡献有待提高</w:t>
      </w:r>
      <w:r>
        <w:rPr>
          <w:rFonts w:hint="eastAsia" w:eastAsia="仿宋_GB2312" w:cs="Times New Roman"/>
          <w:kern w:val="0"/>
          <w:sz w:val="30"/>
          <w:szCs w:val="30"/>
          <w:highlight w:val="none"/>
          <w:lang w:val="en-US" w:eastAsia="zh-CN" w:bidi="ar-SA"/>
        </w:rPr>
        <w:t>。此外，</w:t>
      </w:r>
      <w:r>
        <w:rPr>
          <w:rFonts w:hint="default" w:ascii="Times New Roman" w:hAnsi="Times New Roman" w:eastAsia="仿宋_GB2312" w:cs="Times New Roman"/>
          <w:kern w:val="0"/>
          <w:sz w:val="30"/>
          <w:szCs w:val="30"/>
          <w:highlight w:val="none"/>
          <w:lang w:val="en-US" w:eastAsia="zh-CN" w:bidi="ar-SA"/>
        </w:rPr>
        <w:t>森林旅游</w:t>
      </w:r>
      <w:r>
        <w:rPr>
          <w:rFonts w:hint="eastAsia" w:eastAsia="仿宋_GB2312" w:cs="Times New Roman"/>
          <w:kern w:val="0"/>
          <w:sz w:val="30"/>
          <w:szCs w:val="30"/>
          <w:highlight w:val="none"/>
          <w:lang w:val="en-US" w:eastAsia="zh-CN" w:bidi="ar-SA"/>
        </w:rPr>
        <w:t>、森林康养</w:t>
      </w:r>
      <w:r>
        <w:rPr>
          <w:rFonts w:hint="default" w:ascii="Times New Roman" w:hAnsi="Times New Roman" w:eastAsia="仿宋_GB2312" w:cs="Times New Roman"/>
          <w:kern w:val="0"/>
          <w:sz w:val="30"/>
          <w:szCs w:val="30"/>
          <w:highlight w:val="none"/>
          <w:lang w:val="en-US" w:eastAsia="zh-CN" w:bidi="ar-SA"/>
        </w:rPr>
        <w:t>项目有待进一步挖掘和开发。森林自然生态系统的生态产品供给和生态公共服务能力相对滞后，生态体验设施</w:t>
      </w:r>
      <w:r>
        <w:rPr>
          <w:rFonts w:hint="eastAsia" w:eastAsia="仿宋_GB2312" w:cs="Times New Roman"/>
          <w:kern w:val="0"/>
          <w:sz w:val="30"/>
          <w:szCs w:val="30"/>
          <w:highlight w:val="none"/>
          <w:lang w:val="en-US" w:eastAsia="zh-CN" w:bidi="ar-SA"/>
        </w:rPr>
        <w:t>建设较少</w:t>
      </w:r>
      <w:r>
        <w:rPr>
          <w:rFonts w:hint="default" w:ascii="Times New Roman" w:hAnsi="Times New Roman" w:eastAsia="仿宋_GB2312" w:cs="Times New Roman"/>
          <w:kern w:val="0"/>
          <w:sz w:val="30"/>
          <w:szCs w:val="30"/>
          <w:highlight w:val="none"/>
          <w:lang w:val="en-US" w:eastAsia="zh-CN" w:bidi="ar-SA"/>
        </w:rPr>
        <w:t>，生态资源还未有效转化为优质的生态产品和公共服务</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林业巨大的生产潜力没有</w:t>
      </w:r>
      <w:r>
        <w:rPr>
          <w:rFonts w:hint="eastAsia" w:eastAsia="仿宋_GB2312" w:cs="Times New Roman"/>
          <w:kern w:val="0"/>
          <w:sz w:val="30"/>
          <w:szCs w:val="30"/>
          <w:highlight w:val="none"/>
          <w:lang w:val="en-US" w:eastAsia="zh-CN" w:bidi="ar-SA"/>
        </w:rPr>
        <w:t>得到</w:t>
      </w:r>
      <w:r>
        <w:rPr>
          <w:rFonts w:hint="default" w:ascii="Times New Roman" w:hAnsi="Times New Roman" w:eastAsia="仿宋_GB2312" w:cs="Times New Roman"/>
          <w:kern w:val="0"/>
          <w:sz w:val="30"/>
          <w:szCs w:val="30"/>
          <w:highlight w:val="none"/>
          <w:lang w:val="en-US" w:eastAsia="zh-CN" w:bidi="ar-SA"/>
        </w:rPr>
        <w:t>充分发挥。</w:t>
      </w:r>
    </w:p>
    <w:p w14:paraId="3D1AB2A1">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05295E49">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13" w:name="_Toc10248"/>
      <w:r>
        <w:rPr>
          <w:rFonts w:hint="eastAsia" w:ascii="黑体" w:hAnsi="黑体" w:eastAsia="黑体" w:cs="宋体"/>
          <w:kern w:val="0"/>
          <w:sz w:val="36"/>
          <w:szCs w:val="36"/>
          <w:highlight w:val="none"/>
          <w:lang w:val="en-US" w:eastAsia="zh-CN" w:bidi="ar-SA"/>
        </w:rPr>
        <w:t>第二章  现状分析评价</w:t>
      </w:r>
      <w:bookmarkEnd w:id="13"/>
    </w:p>
    <w:p w14:paraId="73A9DF32">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14" w:name="_Toc20377"/>
      <w:r>
        <w:rPr>
          <w:rFonts w:hint="eastAsia" w:ascii="楷体" w:hAnsi="楷体" w:eastAsia="楷体" w:cs="宋体"/>
          <w:kern w:val="0"/>
          <w:sz w:val="32"/>
          <w:szCs w:val="32"/>
          <w:highlight w:val="none"/>
          <w:lang w:val="en-US" w:eastAsia="zh-CN" w:bidi="ar-SA"/>
        </w:rPr>
        <w:t>一、琼海市概况</w:t>
      </w:r>
      <w:bookmarkEnd w:id="14"/>
    </w:p>
    <w:p w14:paraId="6891999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琼海市位于海南省东部，地处东经110°07′~110°40′、北纬18°59′~19°29′，东临南海，北与文昌市、安定县交界，西与屯昌、琼中县接壤，南与万宁县毗邻</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全市土地总面积为171587.76公顷</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市政府驻嘉积镇，嘉积镇北距海口市78公里，南距三亚市182公里。琼海市背山面海，地势自西向东呈阶梯状倾斜。东部沿海系海相沉积平原、中原为丘陵地带、西部与南部多为山区和半山区，分别占总面积的25%、43%、32%。全市最著名的山是白石岭，其位于琼海市中部，主峰登高海拔292.80米，砌有1308级石阶。琼海市</w:t>
      </w:r>
      <w:r>
        <w:rPr>
          <w:rFonts w:hint="default" w:eastAsia="仿宋_GB2312"/>
          <w:kern w:val="0"/>
          <w:sz w:val="30"/>
          <w:szCs w:val="30"/>
          <w:highlight w:val="none"/>
        </w:rPr>
        <w:t>属于热带季风及海洋湿润气候区，平均气温为24.6°C，平均降水量2053.5毫米</w:t>
      </w:r>
      <w:r>
        <w:rPr>
          <w:rFonts w:hint="default" w:ascii="Times New Roman" w:hAnsi="Times New Roman" w:eastAsia="仿宋_GB2312" w:cs="Times New Roman"/>
          <w:kern w:val="0"/>
          <w:sz w:val="30"/>
          <w:szCs w:val="30"/>
          <w:highlight w:val="none"/>
          <w:lang w:val="en-US" w:eastAsia="zh-CN" w:bidi="ar-SA"/>
        </w:rPr>
        <w:t>。土壤共分为11个土类、16个亚类、45个属、105个土种。境内河流众多，主要水系有3条：万泉河、九曲江、新园水。地下水资源总量7.16亿立方米，水资源总量20.7亿立方米（不含外市县流入），人均拥有水量4600立方米。境内有海湾3个，约有880公顷的海水养殖面积。</w:t>
      </w:r>
    </w:p>
    <w:p w14:paraId="3D9781CE">
      <w:pPr>
        <w:keepNext w:val="0"/>
        <w:keepLines w:val="0"/>
        <w:pageBreakBefore w:val="0"/>
        <w:widowControl/>
        <w:suppressLineNumbers w:val="0"/>
        <w:kinsoku/>
        <w:wordWrap/>
        <w:overflowPunct/>
        <w:topLinePunct w:val="0"/>
        <w:autoSpaceDE/>
        <w:autoSpaceDN/>
        <w:bidi w:val="0"/>
        <w:adjustRightInd/>
        <w:snapToGrid/>
        <w:spacing w:line="240" w:lineRule="auto"/>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琼海市辖嘉积、博鳌、中原、潭门、长坡、万泉、塔洋、大路、阳江、龙江、会山、石壁12个镇，</w:t>
      </w:r>
      <w:r>
        <w:rPr>
          <w:rFonts w:hint="eastAsia" w:eastAsia="仿宋_GB2312" w:cs="Times New Roman"/>
          <w:kern w:val="0"/>
          <w:sz w:val="30"/>
          <w:szCs w:val="30"/>
          <w:highlight w:val="none"/>
          <w:lang w:val="en-US" w:eastAsia="zh-CN" w:bidi="ar-SA"/>
        </w:rPr>
        <w:t>共计</w:t>
      </w:r>
      <w:r>
        <w:rPr>
          <w:rFonts w:hint="default" w:ascii="Times New Roman" w:hAnsi="Times New Roman" w:eastAsia="仿宋_GB2312" w:cs="Times New Roman"/>
          <w:kern w:val="0"/>
          <w:sz w:val="30"/>
          <w:szCs w:val="30"/>
          <w:highlight w:val="none"/>
          <w:lang w:val="en-US" w:eastAsia="zh-CN" w:bidi="ar-SA"/>
        </w:rPr>
        <w:t>209个村（居）委会。截止2020年末，全市常住人口52.82万人，其中城镇人口16.93万人，乡村人口35.59万人。2020年，琼海市完成地区生产总值292.1亿元，同比增长3.0%。其中第一产业增加值94.59亿元，同比增长4.6%；第二产业增加值40.21亿元，同比增长13.9%；第三产业增加值157.30亿元，同比下降0.5%。三次产业结构比重为32.4∶13.8∶53.8，第三产业规模保持主导地位。琼海市旅游资源丰富，有白石岭旅游风景区、多河文化谷旅游区、红娘子军纪念园、北仍村、万泉河水上人家、博鳌亚洲论坛永久会址、玉带滩、博鳌水城、万泉河峡谷漂流、龙寿洋万亩田野公园、石角温泉等，得天独厚的自然条件和旅游资源构成了海南岛东部大琼海旅游体系，是海南省重点旅游区之一。琼海市交通便利，可进入性强，</w:t>
      </w:r>
      <w:r>
        <w:rPr>
          <w:rFonts w:hint="eastAsia" w:eastAsia="仿宋_GB2312" w:cs="Times New Roman"/>
          <w:kern w:val="0"/>
          <w:sz w:val="30"/>
          <w:szCs w:val="30"/>
          <w:highlight w:val="none"/>
          <w:lang w:val="en-US" w:eastAsia="zh-CN" w:bidi="ar-SA"/>
        </w:rPr>
        <w:t>具备</w:t>
      </w:r>
      <w:r>
        <w:rPr>
          <w:rFonts w:hint="default" w:ascii="Times New Roman" w:hAnsi="Times New Roman" w:eastAsia="仿宋_GB2312" w:cs="Times New Roman"/>
          <w:kern w:val="0"/>
          <w:sz w:val="30"/>
          <w:szCs w:val="30"/>
          <w:highlight w:val="none"/>
          <w:lang w:val="en-US" w:eastAsia="zh-CN" w:bidi="ar-SA"/>
        </w:rPr>
        <w:t>海、陆、空便捷立体式交通网络，是海南省东部的重要交通枢纽。截至2022年底公路总里程约</w:t>
      </w:r>
      <w:r>
        <w:rPr>
          <w:rFonts w:hint="eastAsia" w:eastAsia="仿宋_GB2312" w:cs="Times New Roman"/>
          <w:kern w:val="0"/>
          <w:sz w:val="30"/>
          <w:szCs w:val="30"/>
          <w:highlight w:val="none"/>
          <w:lang w:val="en-US" w:eastAsia="zh-CN" w:bidi="ar-SA"/>
        </w:rPr>
        <w:t xml:space="preserve"> </w:t>
      </w:r>
      <w:r>
        <w:rPr>
          <w:rFonts w:hint="default" w:ascii="Times New Roman" w:hAnsi="Times New Roman" w:eastAsia="仿宋_GB2312" w:cs="Times New Roman"/>
          <w:kern w:val="0"/>
          <w:sz w:val="30"/>
          <w:szCs w:val="30"/>
          <w:highlight w:val="none"/>
          <w:lang w:val="en-US" w:eastAsia="zh-CN" w:bidi="ar-SA"/>
        </w:rPr>
        <w:t>3267.991千米，其中国道156.58千米，省道113.002千米，农村公路2998.409千米（其中县道190.568千米，乡道574.704千米，村道2233.137千米），公路桥梁45606延米（584座），全市公路网密度为191.11千米/百平方千米。博鳌机场位于中原镇，距琼海市区12公里，距博鳌亚洲论坛国际会议中心15公里，是博鳌亚洲论坛的重点配套项目，是海南省第三个国际航空港，通航城市达49个。2020年，港口货运量167.7239万吨，码头旅客运量34.1383万人。</w:t>
      </w:r>
    </w:p>
    <w:p w14:paraId="66C359F9">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056D4FCF">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center"/>
        <w:textAlignment w:val="auto"/>
        <w:outlineLvl w:val="9"/>
        <w:rPr>
          <w:rFonts w:hint="eastAsia"/>
          <w:b/>
          <w:bCs/>
          <w:lang w:val="en-US" w:eastAsia="zh-CN"/>
        </w:rPr>
      </w:pPr>
      <w:bookmarkStart w:id="15" w:name="_Toc29126"/>
      <w:r>
        <w:drawing>
          <wp:inline distT="0" distB="0" distL="114300" distR="114300">
            <wp:extent cx="5243830" cy="4736465"/>
            <wp:effectExtent l="0" t="0" r="1270" b="63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7"/>
                    <a:stretch>
                      <a:fillRect/>
                    </a:stretch>
                  </pic:blipFill>
                  <pic:spPr>
                    <a:xfrm>
                      <a:off x="0" y="0"/>
                      <a:ext cx="5243830" cy="4736465"/>
                    </a:xfrm>
                    <a:prstGeom prst="rect">
                      <a:avLst/>
                    </a:prstGeom>
                    <a:noFill/>
                    <a:ln>
                      <a:noFill/>
                    </a:ln>
                  </pic:spPr>
                </pic:pic>
              </a:graphicData>
            </a:graphic>
          </wp:inline>
        </w:drawing>
      </w:r>
      <w:r>
        <w:rPr>
          <w:rFonts w:hint="eastAsia" w:ascii="Times New Roman" w:hAnsi="Times New Roman" w:eastAsia="仿宋_GB2312" w:cs="Times New Roman"/>
          <w:b/>
          <w:bCs/>
          <w:kern w:val="0"/>
          <w:sz w:val="28"/>
          <w:szCs w:val="28"/>
          <w:highlight w:val="none"/>
          <w:lang w:val="en-US" w:eastAsia="zh-CN" w:bidi="ar-SA"/>
        </w:rPr>
        <w:t>琼海市行政区域范围图</w:t>
      </w:r>
    </w:p>
    <w:p w14:paraId="7114462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eastAsia" w:ascii="楷体" w:hAnsi="楷体" w:eastAsia="楷体" w:cs="宋体"/>
          <w:kern w:val="0"/>
          <w:sz w:val="32"/>
          <w:szCs w:val="32"/>
          <w:highlight w:val="none"/>
          <w:lang w:val="en-US" w:eastAsia="zh-CN" w:bidi="ar-SA"/>
        </w:rPr>
      </w:pPr>
      <w:r>
        <w:rPr>
          <w:rFonts w:hint="eastAsia" w:ascii="楷体" w:hAnsi="楷体" w:eastAsia="楷体" w:cs="宋体"/>
          <w:kern w:val="0"/>
          <w:sz w:val="32"/>
          <w:szCs w:val="32"/>
          <w:highlight w:val="none"/>
          <w:lang w:val="en-US" w:eastAsia="zh-CN" w:bidi="ar-SA"/>
        </w:rPr>
        <w:t>二、林地资源现状</w:t>
      </w:r>
      <w:bookmarkEnd w:id="15"/>
    </w:p>
    <w:p w14:paraId="541A634C">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eastAsia"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全市土地总面积为171587.76公顷，</w:t>
      </w:r>
      <w:r>
        <w:rPr>
          <w:rFonts w:hint="eastAsia" w:eastAsia="仿宋_GB2312" w:cs="Times New Roman"/>
          <w:kern w:val="0"/>
          <w:sz w:val="30"/>
          <w:szCs w:val="30"/>
          <w:highlight w:val="none"/>
          <w:lang w:val="en-US" w:eastAsia="zh-CN" w:bidi="ar-SA"/>
        </w:rPr>
        <w:t>现行总体规划（“多规合一”）</w:t>
      </w:r>
      <w:r>
        <w:rPr>
          <w:rFonts w:hint="default" w:ascii="Times New Roman" w:hAnsi="Times New Roman" w:eastAsia="仿宋_GB2312" w:cs="Times New Roman"/>
          <w:kern w:val="0"/>
          <w:sz w:val="30"/>
          <w:szCs w:val="30"/>
          <w:highlight w:val="none"/>
          <w:lang w:val="en-US" w:eastAsia="zh-CN" w:bidi="ar-SA"/>
        </w:rPr>
        <w:t>林地面积101515.0</w:t>
      </w:r>
      <w:r>
        <w:rPr>
          <w:rFonts w:hint="eastAsia" w:eastAsia="仿宋_GB2312" w:cs="Times New Roman"/>
          <w:kern w:val="0"/>
          <w:sz w:val="30"/>
          <w:szCs w:val="30"/>
          <w:highlight w:val="none"/>
          <w:lang w:val="en-US" w:eastAsia="zh-CN" w:bidi="ar-SA"/>
        </w:rPr>
        <w:t>3</w:t>
      </w:r>
      <w:r>
        <w:rPr>
          <w:rFonts w:hint="default" w:ascii="Times New Roman" w:hAnsi="Times New Roman" w:eastAsia="仿宋_GB2312" w:cs="Times New Roman"/>
          <w:kern w:val="0"/>
          <w:sz w:val="30"/>
          <w:szCs w:val="30"/>
          <w:highlight w:val="none"/>
          <w:lang w:val="en-US" w:eastAsia="zh-CN" w:bidi="ar-SA"/>
        </w:rPr>
        <w:t>公顷，占</w:t>
      </w:r>
      <w:r>
        <w:rPr>
          <w:rFonts w:hint="eastAsia" w:eastAsia="仿宋_GB2312" w:cs="Times New Roman"/>
          <w:kern w:val="0"/>
          <w:sz w:val="30"/>
          <w:szCs w:val="30"/>
          <w:highlight w:val="none"/>
          <w:lang w:val="en-US" w:eastAsia="zh-CN" w:bidi="ar-SA"/>
        </w:rPr>
        <w:t>59.16</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，非林地面积70072.73公顷，占40.84%。</w:t>
      </w:r>
    </w:p>
    <w:p w14:paraId="3A1455D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600" w:firstLine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lang w:val="en-US" w:eastAsia="zh-CN" w:bidi="ar-SA"/>
        </w:rPr>
        <w:t>（一）</w:t>
      </w:r>
      <w:r>
        <w:rPr>
          <w:rFonts w:hint="eastAsia" w:ascii="仿宋_GB2312" w:hAnsi="Times New Roman" w:eastAsia="仿宋_GB2312" w:cs="宋体"/>
          <w:kern w:val="0"/>
          <w:sz w:val="30"/>
          <w:szCs w:val="30"/>
          <w:highlight w:val="none"/>
          <w:lang w:val="en-US" w:eastAsia="zh-CN" w:bidi="ar-SA"/>
        </w:rPr>
        <w:t>地类结构</w:t>
      </w:r>
    </w:p>
    <w:p w14:paraId="1AED6687">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有林地面积116041.16公顷，占林地面积的89.70%；占比较高，能用于营林绿化的其他林地（占林地比例</w:t>
      </w:r>
      <w:r>
        <w:rPr>
          <w:rFonts w:hint="eastAsia" w:eastAsia="仿宋_GB2312" w:cs="Times New Roman"/>
          <w:kern w:val="0"/>
          <w:sz w:val="30"/>
          <w:szCs w:val="30"/>
          <w:highlight w:val="none"/>
          <w:lang w:val="en-US" w:eastAsia="zh-CN" w:bidi="ar-SA"/>
        </w:rPr>
        <w:t>9.90</w:t>
      </w:r>
      <w:r>
        <w:rPr>
          <w:rFonts w:hint="default" w:ascii="Times New Roman" w:hAnsi="Times New Roman" w:eastAsia="仿宋_GB2312" w:cs="Times New Roman"/>
          <w:kern w:val="0"/>
          <w:sz w:val="30"/>
          <w:szCs w:val="30"/>
          <w:highlight w:val="none"/>
          <w:lang w:val="en-US" w:eastAsia="zh-CN" w:bidi="ar-SA"/>
        </w:rPr>
        <w:t>%），人工造林尚有一定发展空间，科学实施人工造林，提高全市林地利用率，</w:t>
      </w:r>
      <w:r>
        <w:rPr>
          <w:rFonts w:hint="eastAsia" w:eastAsia="仿宋_GB2312" w:cs="Times New Roman"/>
          <w:kern w:val="0"/>
          <w:sz w:val="30"/>
          <w:szCs w:val="30"/>
          <w:highlight w:val="none"/>
          <w:lang w:val="en-US" w:eastAsia="zh-CN" w:bidi="ar-SA"/>
        </w:rPr>
        <w:t>是</w:t>
      </w:r>
      <w:r>
        <w:rPr>
          <w:rFonts w:hint="default" w:ascii="Times New Roman" w:hAnsi="Times New Roman" w:eastAsia="仿宋_GB2312" w:cs="Times New Roman"/>
          <w:kern w:val="0"/>
          <w:sz w:val="30"/>
          <w:szCs w:val="30"/>
          <w:highlight w:val="none"/>
          <w:lang w:val="en-US" w:eastAsia="zh-CN" w:bidi="ar-SA"/>
        </w:rPr>
        <w:t>今后增加森林面积和森林蓄积量最重要措施之一。</w:t>
      </w:r>
    </w:p>
    <w:p w14:paraId="2D05A5DC">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highlight w:val="none"/>
        </w:rPr>
      </w:pPr>
      <w:r>
        <w:rPr>
          <w:rFonts w:hint="eastAsia" w:ascii="方正小标宋简体" w:eastAsia="方正小标宋简体"/>
          <w:sz w:val="28"/>
          <w:szCs w:val="28"/>
          <w:highlight w:val="none"/>
          <w:lang w:val="en-US" w:eastAsia="zh-CN"/>
        </w:rPr>
        <w:t>表1 琼海市林地地类结构统计表</w:t>
      </w:r>
    </w:p>
    <w:tbl>
      <w:tblPr>
        <w:tblStyle w:val="10"/>
        <w:tblW w:w="517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88"/>
        <w:gridCol w:w="1687"/>
        <w:gridCol w:w="1463"/>
        <w:gridCol w:w="2325"/>
        <w:gridCol w:w="2162"/>
      </w:tblGrid>
      <w:tr w14:paraId="4B700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jc w:val="center"/>
        </w:trPr>
        <w:tc>
          <w:tcPr>
            <w:tcW w:w="16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80660">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地类</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DC58">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面积（公顷）</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99201">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占国土面积比例（%）</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579D">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占林地的比例（%）</w:t>
            </w:r>
          </w:p>
        </w:tc>
      </w:tr>
      <w:tr w14:paraId="0D067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0265B">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有林地</w:t>
            </w: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3978C4">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乔木林</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1C0114BA">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115436.69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DEF61">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67.28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93D0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89.24 </w:t>
            </w:r>
          </w:p>
        </w:tc>
      </w:tr>
      <w:tr w14:paraId="02380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7FB3">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0E687">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竹林</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6C1DE86E">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585.97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B1249">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0.34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2DFB6">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0.45 </w:t>
            </w:r>
          </w:p>
        </w:tc>
      </w:tr>
      <w:tr w14:paraId="1B429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2C44">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92CDD">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红树林</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BDA9633">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18.50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A7A6">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6B9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 </w:t>
            </w:r>
          </w:p>
        </w:tc>
      </w:tr>
      <w:tr w14:paraId="102D4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556C">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6C33A66A">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小计</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5B716613">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116041.16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2C70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67.63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51401">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89.70 </w:t>
            </w:r>
          </w:p>
        </w:tc>
      </w:tr>
      <w:tr w14:paraId="30F47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9FD43">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灌木林地</w:t>
            </w: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4674AFBE">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国家特别规定灌木林</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33C30187">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520.68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9E37E">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0.30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D8730">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0.40 </w:t>
            </w:r>
          </w:p>
        </w:tc>
      </w:tr>
      <w:tr w14:paraId="1894D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5ABE6">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620CEE01">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其他灌木林</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1BB1A80F">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D4E6">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E08E8">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 </w:t>
            </w:r>
          </w:p>
        </w:tc>
      </w:tr>
      <w:tr w14:paraId="6389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CED07">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4CA83944">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小计</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76F3C">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520.68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94979">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0.30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FD61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0.40 </w:t>
            </w:r>
          </w:p>
        </w:tc>
      </w:tr>
      <w:tr w14:paraId="18135A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79293">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其他林地</w:t>
            </w: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50BBD0FB">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疏林地</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AF5F1">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8ED71">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DAA4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0.00 </w:t>
            </w:r>
          </w:p>
        </w:tc>
      </w:tr>
      <w:tr w14:paraId="734385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CC531">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313E7E0">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未成林地</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1375445C">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14.38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9A04">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DAD6A">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0.01 </w:t>
            </w:r>
          </w:p>
        </w:tc>
      </w:tr>
      <w:tr w14:paraId="05451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088C3">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55ED50A4">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无立木林地</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950D7B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605.96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10AE">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0.35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19A99">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0.47 </w:t>
            </w:r>
          </w:p>
        </w:tc>
      </w:tr>
      <w:tr w14:paraId="245C7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A613">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22C56088">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苗圃地</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4B039F91">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233.09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2568D">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0.14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CD99">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0.18 </w:t>
            </w:r>
          </w:p>
        </w:tc>
      </w:tr>
      <w:tr w14:paraId="290AB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E7786">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25D72F7D">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其他地类</w:t>
            </w:r>
          </w:p>
        </w:tc>
        <w:tc>
          <w:tcPr>
            <w:tcW w:w="828" w:type="pct"/>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203F4137">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11947.68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D6C6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6.96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410D">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9.24 </w:t>
            </w:r>
          </w:p>
        </w:tc>
      </w:tr>
      <w:tr w14:paraId="4E76E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67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8CBDB">
            <w:pPr>
              <w:jc w:val="center"/>
              <w:rPr>
                <w:rFonts w:hint="eastAsia" w:ascii="仿宋_GB2312" w:hAnsi="Times New Roman" w:eastAsia="仿宋_GB2312" w:cs="Times New Roman"/>
                <w:kern w:val="0"/>
                <w:sz w:val="24"/>
                <w:szCs w:val="24"/>
                <w:highlight w:val="none"/>
                <w:lang w:val="en-US" w:eastAsia="zh-CN" w:bidi="ar-SA"/>
              </w:rPr>
            </w:pPr>
          </w:p>
        </w:tc>
        <w:tc>
          <w:tcPr>
            <w:tcW w:w="95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AD9F1">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小计</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0169C">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12801.11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444BF">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7.46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684F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9.90 </w:t>
            </w:r>
          </w:p>
        </w:tc>
      </w:tr>
      <w:tr w14:paraId="50C58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1628"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1BE6">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合计</w:t>
            </w:r>
          </w:p>
        </w:tc>
        <w:tc>
          <w:tcPr>
            <w:tcW w:w="8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D2555">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129362.95 </w:t>
            </w:r>
          </w:p>
        </w:tc>
        <w:tc>
          <w:tcPr>
            <w:tcW w:w="13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C7465">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75.39 </w:t>
            </w:r>
          </w:p>
        </w:tc>
        <w:tc>
          <w:tcPr>
            <w:tcW w:w="12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48C0">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 </w:t>
            </w:r>
          </w:p>
        </w:tc>
      </w:tr>
    </w:tbl>
    <w:p w14:paraId="7E8BCAB8">
      <w:pPr>
        <w:pStyle w:val="4"/>
        <w:keepNext w:val="0"/>
        <w:keepLines w:val="0"/>
        <w:pageBreakBefore w:val="0"/>
        <w:widowControl w:val="0"/>
        <w:kinsoku/>
        <w:wordWrap/>
        <w:overflowPunct/>
        <w:topLinePunct w:val="0"/>
        <w:autoSpaceDE/>
        <w:autoSpaceDN/>
        <w:bidi w:val="0"/>
        <w:adjustRightInd/>
        <w:snapToGrid/>
        <w:spacing w:before="157" w:beforeLines="50"/>
        <w:ind w:firstLine="600" w:firstLine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（二）森林经营类型</w:t>
      </w:r>
    </w:p>
    <w:p w14:paraId="29C52697">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表2 琼海市公益林统计表</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36"/>
        <w:gridCol w:w="2425"/>
        <w:gridCol w:w="2328"/>
        <w:gridCol w:w="2330"/>
      </w:tblGrid>
      <w:tr w14:paraId="30C24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0" w:hRule="atLeast"/>
        </w:trPr>
        <w:tc>
          <w:tcPr>
            <w:tcW w:w="226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1BE20">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事权等级</w:t>
            </w:r>
          </w:p>
        </w:tc>
        <w:tc>
          <w:tcPr>
            <w:tcW w:w="13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AC715">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面积（公顷）</w:t>
            </w:r>
          </w:p>
        </w:tc>
        <w:tc>
          <w:tcPr>
            <w:tcW w:w="1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31A3A">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占林地的比例（%）</w:t>
            </w:r>
          </w:p>
        </w:tc>
      </w:tr>
      <w:tr w14:paraId="3AE1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D20F2">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公益林</w:t>
            </w:r>
          </w:p>
        </w:tc>
        <w:tc>
          <w:tcPr>
            <w:tcW w:w="1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BCDB1">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国家级公益林地</w:t>
            </w:r>
          </w:p>
        </w:tc>
        <w:tc>
          <w:tcPr>
            <w:tcW w:w="2328"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4723F13C">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3080.</w:t>
            </w:r>
            <w:r>
              <w:rPr>
                <w:rFonts w:hint="eastAsia" w:cs="Times New Roman"/>
                <w:i w:val="0"/>
                <w:iCs w:val="0"/>
                <w:color w:val="000000"/>
                <w:kern w:val="0"/>
                <w:sz w:val="24"/>
                <w:szCs w:val="24"/>
                <w:u w:val="none"/>
                <w:lang w:val="en-US" w:eastAsia="zh-CN" w:bidi="ar"/>
              </w:rPr>
              <w:t>90</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AA72C">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2.38</w:t>
            </w:r>
          </w:p>
        </w:tc>
      </w:tr>
      <w:tr w14:paraId="04DED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DDAC1">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p>
        </w:tc>
        <w:tc>
          <w:tcPr>
            <w:tcW w:w="1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07D8C">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地方公益林地</w:t>
            </w:r>
          </w:p>
        </w:tc>
        <w:tc>
          <w:tcPr>
            <w:tcW w:w="2328"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19F713C3">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11345.92</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6B83">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8.77</w:t>
            </w:r>
          </w:p>
        </w:tc>
      </w:tr>
      <w:tr w14:paraId="62B2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FE629">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p>
        </w:tc>
        <w:tc>
          <w:tcPr>
            <w:tcW w:w="1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A2D56">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小计</w:t>
            </w:r>
          </w:p>
        </w:tc>
        <w:tc>
          <w:tcPr>
            <w:tcW w:w="2328"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5105EA83">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14426.82</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6E1A9">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11.15</w:t>
            </w:r>
          </w:p>
        </w:tc>
      </w:tr>
      <w:tr w14:paraId="46E2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9205">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商品林</w:t>
            </w:r>
          </w:p>
        </w:tc>
        <w:tc>
          <w:tcPr>
            <w:tcW w:w="1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CDFCC">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重点商品林地</w:t>
            </w:r>
          </w:p>
        </w:tc>
        <w:tc>
          <w:tcPr>
            <w:tcW w:w="2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4EF68">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11605.9</w:t>
            </w:r>
            <w:r>
              <w:rPr>
                <w:rFonts w:hint="eastAsia" w:eastAsia="仿宋_GB2312" w:cs="Times New Roman"/>
                <w:kern w:val="0"/>
                <w:sz w:val="24"/>
                <w:szCs w:val="24"/>
                <w:highlight w:val="none"/>
                <w:lang w:val="en-US" w:eastAsia="zh-CN" w:bidi="ar-SA"/>
              </w:rPr>
              <w:t>6</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3C2F6">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cs="Times New Roman"/>
                <w:i w:val="0"/>
                <w:iCs w:val="0"/>
                <w:color w:val="000000"/>
                <w:kern w:val="0"/>
                <w:sz w:val="24"/>
                <w:szCs w:val="24"/>
                <w:u w:val="none"/>
                <w:lang w:val="en-US" w:eastAsia="zh-CN" w:bidi="ar"/>
              </w:rPr>
              <w:t>8.97</w:t>
            </w:r>
          </w:p>
        </w:tc>
      </w:tr>
      <w:tr w14:paraId="6A99C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7D756">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p>
        </w:tc>
        <w:tc>
          <w:tcPr>
            <w:tcW w:w="1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10E5">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一般商品林地</w:t>
            </w:r>
          </w:p>
        </w:tc>
        <w:tc>
          <w:tcPr>
            <w:tcW w:w="2328"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8BDE91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103330.17</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C308F">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79.88</w:t>
            </w:r>
          </w:p>
        </w:tc>
      </w:tr>
      <w:tr w14:paraId="6FA45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8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2650E">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p>
        </w:tc>
        <w:tc>
          <w:tcPr>
            <w:tcW w:w="1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16488">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小计</w:t>
            </w:r>
          </w:p>
        </w:tc>
        <w:tc>
          <w:tcPr>
            <w:tcW w:w="2328"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61AD6BA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114936.13</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2C4C2">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88.85</w:t>
            </w:r>
          </w:p>
        </w:tc>
      </w:tr>
      <w:tr w14:paraId="3FF74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266"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4E1C">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合计</w:t>
            </w:r>
          </w:p>
        </w:tc>
        <w:tc>
          <w:tcPr>
            <w:tcW w:w="23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8DBA4">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129362.95</w:t>
            </w:r>
          </w:p>
        </w:tc>
        <w:tc>
          <w:tcPr>
            <w:tcW w:w="23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D316">
            <w:pPr>
              <w:keepNext w:val="0"/>
              <w:keepLines w:val="0"/>
              <w:widowControl/>
              <w:suppressLineNumbers w:val="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 </w:t>
            </w:r>
          </w:p>
        </w:tc>
      </w:tr>
    </w:tbl>
    <w:p w14:paraId="5AA9E948">
      <w:pPr>
        <w:keepNext w:val="0"/>
        <w:keepLines w:val="0"/>
        <w:pageBreakBefore w:val="0"/>
        <w:widowControl/>
        <w:suppressLineNumbers w:val="0"/>
        <w:kinsoku/>
        <w:wordWrap/>
        <w:overflowPunct/>
        <w:topLinePunct w:val="0"/>
        <w:autoSpaceDE/>
        <w:autoSpaceDN/>
        <w:bidi w:val="0"/>
        <w:adjustRightInd w:val="0"/>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对现有公益林地进行适当合理调整，依法将生态重要地区和生态脆弱地区的林地，区划为生态公益林地，形成集中连片的公益林保育区，最大限度地发挥森林生态效益。公益林占林业用地的比例不到50%，在满足建设用地使用林地定额的基础上，采取生态林占补平衡的措施，可以维持公益林总量稳定，确保功能效益的充分发挥。</w:t>
      </w:r>
    </w:p>
    <w:p w14:paraId="574391D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（三）森林林种结构</w:t>
      </w:r>
    </w:p>
    <w:p w14:paraId="3CE19C10">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表3 琼海市森林林种结构统计表</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26"/>
        <w:gridCol w:w="2186"/>
        <w:gridCol w:w="2271"/>
        <w:gridCol w:w="2136"/>
      </w:tblGrid>
      <w:tr w14:paraId="39176D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1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3761">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林种</w:t>
            </w:r>
          </w:p>
        </w:tc>
        <w:tc>
          <w:tcPr>
            <w:tcW w:w="1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8EE52">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面积（公顷）</w:t>
            </w:r>
          </w:p>
        </w:tc>
        <w:tc>
          <w:tcPr>
            <w:tcW w:w="13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F8088">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占林地的比例（%）</w:t>
            </w:r>
          </w:p>
        </w:tc>
        <w:tc>
          <w:tcPr>
            <w:tcW w:w="125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2DF59">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占森林的比例（%）</w:t>
            </w:r>
          </w:p>
        </w:tc>
      </w:tr>
      <w:tr w14:paraId="6FC7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2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234AB32D">
            <w:pPr>
              <w:keepNext w:val="0"/>
              <w:keepLines w:val="0"/>
              <w:widowControl/>
              <w:suppressLineNumbers w:val="0"/>
              <w:jc w:val="center"/>
              <w:textAlignment w:val="center"/>
              <w:rPr>
                <w:rFonts w:hint="eastAsia" w:ascii="仿宋_GB2312" w:hAnsi="Times New Roman" w:eastAsia="仿宋_GB2312" w:cs="Times New Roman"/>
                <w:b w:val="0"/>
                <w:bCs w:val="0"/>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防护林</w:t>
            </w:r>
          </w:p>
        </w:tc>
        <w:tc>
          <w:tcPr>
            <w:tcW w:w="218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37200A29">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12327.91</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2884">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9.53 </w:t>
            </w:r>
          </w:p>
        </w:tc>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EBBBC">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10.58 </w:t>
            </w:r>
          </w:p>
        </w:tc>
      </w:tr>
      <w:tr w14:paraId="57177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2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7C9DCDAB">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特用林</w:t>
            </w:r>
          </w:p>
        </w:tc>
        <w:tc>
          <w:tcPr>
            <w:tcW w:w="218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5FC807B9">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2041.33</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1D9A6">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1.58 </w:t>
            </w:r>
          </w:p>
        </w:tc>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59447">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1.75 </w:t>
            </w:r>
          </w:p>
        </w:tc>
      </w:tr>
      <w:tr w14:paraId="5E0A01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2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4A24ABEC">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用材林</w:t>
            </w:r>
          </w:p>
        </w:tc>
        <w:tc>
          <w:tcPr>
            <w:tcW w:w="218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6F8A5C77">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7637.22</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6E6F">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5.90 </w:t>
            </w:r>
          </w:p>
        </w:tc>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E4CDE">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6.55 </w:t>
            </w:r>
          </w:p>
        </w:tc>
      </w:tr>
      <w:tr w14:paraId="48FBB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2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115EF15">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经济林</w:t>
            </w:r>
          </w:p>
        </w:tc>
        <w:tc>
          <w:tcPr>
            <w:tcW w:w="218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7B1871DE">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94555.38</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65FDC">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73.09 </w:t>
            </w:r>
          </w:p>
        </w:tc>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A79F0">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81.12 </w:t>
            </w:r>
          </w:p>
        </w:tc>
      </w:tr>
      <w:tr w14:paraId="17172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9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4731C">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合计</w:t>
            </w:r>
          </w:p>
        </w:tc>
        <w:tc>
          <w:tcPr>
            <w:tcW w:w="2186"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0697462">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116561.84</w:t>
            </w:r>
          </w:p>
        </w:tc>
        <w:tc>
          <w:tcPr>
            <w:tcW w:w="22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87BA">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90.10 </w:t>
            </w:r>
          </w:p>
        </w:tc>
        <w:tc>
          <w:tcPr>
            <w:tcW w:w="21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C7A32">
            <w:pPr>
              <w:keepNext w:val="0"/>
              <w:keepLines w:val="0"/>
              <w:widowControl/>
              <w:suppressLineNumbers w:val="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 xml:space="preserve">100.00 </w:t>
            </w:r>
          </w:p>
        </w:tc>
      </w:tr>
    </w:tbl>
    <w:p w14:paraId="5BE61E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琼海市林地面积129362.95公顷，占国土面积7</w:t>
      </w:r>
      <w:r>
        <w:rPr>
          <w:rFonts w:hint="eastAsia" w:eastAsia="仿宋_GB2312" w:cs="Times New Roman"/>
          <w:kern w:val="0"/>
          <w:sz w:val="30"/>
          <w:szCs w:val="30"/>
          <w:highlight w:val="none"/>
          <w:lang w:val="en-US" w:eastAsia="zh-CN" w:bidi="ar-SA"/>
        </w:rPr>
        <w:t>5.39</w:t>
      </w:r>
      <w:r>
        <w:rPr>
          <w:rFonts w:hint="default" w:ascii="Times New Roman" w:hAnsi="Times New Roman" w:eastAsia="仿宋_GB2312" w:cs="Times New Roman"/>
          <w:kern w:val="0"/>
          <w:sz w:val="30"/>
          <w:szCs w:val="30"/>
          <w:highlight w:val="none"/>
          <w:lang w:val="en-US" w:eastAsia="zh-CN" w:bidi="ar-SA"/>
        </w:rPr>
        <w:t>%，其中经济林和用材林占林地面积</w:t>
      </w:r>
      <w:r>
        <w:rPr>
          <w:rFonts w:hint="eastAsia" w:eastAsia="仿宋_GB2312" w:cs="Times New Roman"/>
          <w:kern w:val="0"/>
          <w:sz w:val="30"/>
          <w:szCs w:val="30"/>
          <w:highlight w:val="none"/>
          <w:lang w:val="en-US" w:eastAsia="zh-CN" w:bidi="ar-SA"/>
        </w:rPr>
        <w:t>78.99</w:t>
      </w:r>
      <w:r>
        <w:rPr>
          <w:rFonts w:hint="default" w:ascii="Times New Roman" w:hAnsi="Times New Roman" w:eastAsia="仿宋_GB2312" w:cs="Times New Roman"/>
          <w:kern w:val="0"/>
          <w:sz w:val="30"/>
          <w:szCs w:val="30"/>
          <w:highlight w:val="none"/>
          <w:lang w:val="en-US" w:eastAsia="zh-CN" w:bidi="ar-SA"/>
        </w:rPr>
        <w:t>%，充分发挥了自然资源及经济资源的优势</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促进林业商品生产发展，取得良好的经济效果，农民群众对琼海市林地依赖性大。</w:t>
      </w:r>
    </w:p>
    <w:p w14:paraId="5A7C496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（四）乔木林龄组结构</w:t>
      </w:r>
    </w:p>
    <w:p w14:paraId="0160C319">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表4 琼海市乔木林龄组结构现状统计表</w:t>
      </w:r>
    </w:p>
    <w:tbl>
      <w:tblPr>
        <w:tblStyle w:val="1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97"/>
        <w:gridCol w:w="2160"/>
        <w:gridCol w:w="2459"/>
        <w:gridCol w:w="2203"/>
      </w:tblGrid>
      <w:tr w14:paraId="25CEC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B6950">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宋体" w:eastAsia="仿宋_GB2312" w:cs="仿宋_GB2312"/>
                <w:b/>
                <w:bCs/>
                <w:i w:val="0"/>
                <w:iCs w:val="0"/>
                <w:color w:val="000000"/>
                <w:kern w:val="0"/>
                <w:sz w:val="24"/>
                <w:szCs w:val="24"/>
                <w:u w:val="none"/>
                <w:lang w:val="en-US" w:eastAsia="zh-CN" w:bidi="ar"/>
              </w:rPr>
              <w:t>龄组</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32F81">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宋体" w:eastAsia="仿宋_GB2312" w:cs="仿宋_GB2312"/>
                <w:b/>
                <w:bCs/>
                <w:i w:val="0"/>
                <w:iCs w:val="0"/>
                <w:color w:val="000000"/>
                <w:kern w:val="0"/>
                <w:sz w:val="24"/>
                <w:szCs w:val="24"/>
                <w:u w:val="none"/>
                <w:lang w:val="en-US" w:eastAsia="zh-CN" w:bidi="ar"/>
              </w:rPr>
              <w:t>面积（公顷）</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C9E4C">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宋体" w:eastAsia="仿宋_GB2312" w:cs="仿宋_GB2312"/>
                <w:b/>
                <w:bCs/>
                <w:i w:val="0"/>
                <w:iCs w:val="0"/>
                <w:color w:val="000000"/>
                <w:kern w:val="0"/>
                <w:sz w:val="24"/>
                <w:szCs w:val="24"/>
                <w:u w:val="none"/>
                <w:lang w:val="en-US" w:eastAsia="zh-CN" w:bidi="ar"/>
              </w:rPr>
              <w:t>占乔木林的比例（%）</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D0496">
            <w:pPr>
              <w:keepNext w:val="0"/>
              <w:keepLines w:val="0"/>
              <w:widowControl/>
              <w:suppressLineNumbers w:val="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宋体" w:eastAsia="仿宋_GB2312" w:cs="仿宋_GB2312"/>
                <w:b/>
                <w:bCs/>
                <w:i w:val="0"/>
                <w:iCs w:val="0"/>
                <w:color w:val="000000"/>
                <w:kern w:val="0"/>
                <w:sz w:val="24"/>
                <w:szCs w:val="24"/>
                <w:u w:val="none"/>
                <w:lang w:val="en-US" w:eastAsia="zh-CN" w:bidi="ar"/>
              </w:rPr>
              <w:t>占林地的比例（%）</w:t>
            </w:r>
          </w:p>
        </w:tc>
      </w:tr>
      <w:tr w14:paraId="2C8AF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D9F3">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幼龄林</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2E8C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2253.92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3151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1.95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D1E7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1.74 </w:t>
            </w:r>
          </w:p>
        </w:tc>
      </w:tr>
      <w:tr w14:paraId="6EAD9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56A82">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中龄林</w:t>
            </w:r>
          </w:p>
        </w:tc>
        <w:tc>
          <w:tcPr>
            <w:tcW w:w="2160"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103833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13907.76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98AF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12.05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C32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10.75 </w:t>
            </w:r>
          </w:p>
        </w:tc>
      </w:tr>
      <w:tr w14:paraId="58DB7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2E011">
            <w:pPr>
              <w:keepNext w:val="0"/>
              <w:keepLines w:val="0"/>
              <w:widowControl/>
              <w:suppressLineNumbers w:val="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近熟林</w:t>
            </w:r>
          </w:p>
        </w:tc>
        <w:tc>
          <w:tcPr>
            <w:tcW w:w="2160"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F2876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1457.85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511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1.26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E1C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1.13 </w:t>
            </w:r>
          </w:p>
        </w:tc>
      </w:tr>
      <w:tr w14:paraId="64697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5A91D">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成熟林</w:t>
            </w:r>
          </w:p>
        </w:tc>
        <w:tc>
          <w:tcPr>
            <w:tcW w:w="2160"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0347AC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3503.26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C5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3.04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B1E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2.71 </w:t>
            </w:r>
          </w:p>
        </w:tc>
      </w:tr>
      <w:tr w14:paraId="595CB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0C371">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过熟林</w:t>
            </w:r>
          </w:p>
        </w:tc>
        <w:tc>
          <w:tcPr>
            <w:tcW w:w="2160"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422EBF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266.29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67C1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0.23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4371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0.20 </w:t>
            </w:r>
          </w:p>
        </w:tc>
      </w:tr>
      <w:tr w14:paraId="20B3E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F170B">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小计</w:t>
            </w:r>
          </w:p>
        </w:tc>
        <w:tc>
          <w:tcPr>
            <w:tcW w:w="2160" w:type="dxa"/>
            <w:tcBorders>
              <w:top w:val="single" w:color="000000" w:sz="4" w:space="0"/>
              <w:left w:val="single" w:color="000000" w:sz="4" w:space="0"/>
              <w:bottom w:val="single" w:color="000000" w:sz="4" w:space="0"/>
              <w:right w:val="single" w:color="000000" w:sz="4" w:space="0"/>
            </w:tcBorders>
            <w:shd w:val="clear" w:color="800000" w:fill="FFFFFF"/>
            <w:noWrap/>
            <w:vAlign w:val="center"/>
          </w:tcPr>
          <w:p w14:paraId="7F9F003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21389.08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43AA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18.53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0AB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16.53 </w:t>
            </w:r>
          </w:p>
        </w:tc>
      </w:tr>
      <w:tr w14:paraId="20293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BEFE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乔木经济树种</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385D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94047.61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2A8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81.47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EB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72.70 </w:t>
            </w:r>
          </w:p>
        </w:tc>
      </w:tr>
      <w:tr w14:paraId="77941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16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00BA5">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合计</w:t>
            </w:r>
          </w:p>
        </w:tc>
        <w:tc>
          <w:tcPr>
            <w:tcW w:w="21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DAC9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115436.69 </w:t>
            </w:r>
          </w:p>
        </w:tc>
        <w:tc>
          <w:tcPr>
            <w:tcW w:w="24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10FA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100.00 </w:t>
            </w:r>
          </w:p>
        </w:tc>
        <w:tc>
          <w:tcPr>
            <w:tcW w:w="22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5148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89.23 </w:t>
            </w:r>
          </w:p>
        </w:tc>
      </w:tr>
    </w:tbl>
    <w:p w14:paraId="351DEEC6">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全市乔木林面积115436.69公顷，</w:t>
      </w:r>
      <w:r>
        <w:rPr>
          <w:rFonts w:hint="eastAsia" w:ascii="Times New Roman" w:hAnsi="Times New Roman" w:eastAsia="仿宋_GB2312" w:cs="Times New Roman"/>
          <w:kern w:val="0"/>
          <w:sz w:val="30"/>
          <w:szCs w:val="30"/>
          <w:highlight w:val="none"/>
          <w:lang w:val="en-US" w:eastAsia="zh-CN" w:bidi="ar-SA"/>
        </w:rPr>
        <w:t>除乔木经济树种外，中</w:t>
      </w:r>
      <w:r>
        <w:rPr>
          <w:rFonts w:hint="default" w:ascii="Times New Roman" w:hAnsi="Times New Roman" w:eastAsia="仿宋_GB2312" w:cs="Times New Roman"/>
          <w:kern w:val="0"/>
          <w:sz w:val="30"/>
          <w:szCs w:val="30"/>
          <w:highlight w:val="none"/>
          <w:lang w:val="en-US" w:eastAsia="zh-CN" w:bidi="ar-SA"/>
        </w:rPr>
        <w:t>、幼龄林占乔木林面积的</w:t>
      </w:r>
      <w:r>
        <w:rPr>
          <w:rFonts w:hint="eastAsia" w:ascii="Times New Roman" w:hAnsi="Times New Roman" w:eastAsia="仿宋_GB2312" w:cs="Times New Roman"/>
          <w:kern w:val="0"/>
          <w:sz w:val="30"/>
          <w:szCs w:val="30"/>
          <w:highlight w:val="none"/>
          <w:lang w:val="en-US" w:eastAsia="zh-CN" w:bidi="ar-SA"/>
        </w:rPr>
        <w:t>75.56</w:t>
      </w:r>
      <w:r>
        <w:rPr>
          <w:rFonts w:hint="default" w:ascii="Times New Roman" w:hAnsi="Times New Roman" w:eastAsia="仿宋_GB2312" w:cs="Times New Roman"/>
          <w:kern w:val="0"/>
          <w:sz w:val="30"/>
          <w:szCs w:val="30"/>
          <w:highlight w:val="none"/>
          <w:lang w:val="en-US" w:eastAsia="zh-CN" w:bidi="ar-SA"/>
        </w:rPr>
        <w:t>%，比例过大，应开展科学合理中幼龄林抚育措施，促进林木生长，优化龄组结构，加快培育森林资源，进行科学的森林限额测算，合理安排林木采伐，促进森林可持续发展。</w:t>
      </w:r>
    </w:p>
    <w:p w14:paraId="0ED08D74">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（五）林地生产力</w:t>
      </w:r>
    </w:p>
    <w:p w14:paraId="054ACABB">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全市现有乔木林115436.69公顷，</w:t>
      </w:r>
      <w:r>
        <w:rPr>
          <w:rFonts w:hint="eastAsia" w:eastAsia="仿宋_GB2312" w:cs="Times New Roman"/>
          <w:kern w:val="0"/>
          <w:sz w:val="30"/>
          <w:szCs w:val="30"/>
          <w:highlight w:val="none"/>
          <w:lang w:val="en-US" w:eastAsia="zh-CN" w:bidi="ar-SA"/>
        </w:rPr>
        <w:t>有蓄积乔木林面积53556.08公顷，</w:t>
      </w:r>
      <w:r>
        <w:rPr>
          <w:rFonts w:hint="default" w:ascii="Times New Roman" w:hAnsi="Times New Roman" w:eastAsia="仿宋_GB2312" w:cs="Times New Roman"/>
          <w:kern w:val="0"/>
          <w:sz w:val="30"/>
          <w:szCs w:val="30"/>
          <w:highlight w:val="none"/>
          <w:lang w:val="en-US" w:eastAsia="zh-CN" w:bidi="ar-SA"/>
        </w:rPr>
        <w:t>林木蓄积量510852</w:t>
      </w:r>
      <w:r>
        <w:rPr>
          <w:rFonts w:hint="eastAsia" w:eastAsia="仿宋_GB2312" w:cs="Times New Roman"/>
          <w:kern w:val="0"/>
          <w:sz w:val="30"/>
          <w:szCs w:val="30"/>
          <w:highlight w:val="none"/>
          <w:lang w:val="en-US" w:eastAsia="zh-CN" w:bidi="ar-SA"/>
        </w:rPr>
        <w:t>8</w:t>
      </w:r>
      <w:r>
        <w:rPr>
          <w:rFonts w:hint="default" w:ascii="Times New Roman" w:hAnsi="Times New Roman" w:eastAsia="仿宋_GB2312" w:cs="Times New Roman"/>
          <w:kern w:val="0"/>
          <w:sz w:val="30"/>
          <w:szCs w:val="30"/>
          <w:highlight w:val="none"/>
          <w:lang w:val="en-US" w:eastAsia="zh-CN" w:bidi="ar-SA"/>
        </w:rPr>
        <w:t>立方米，乔木林</w:t>
      </w:r>
      <w:r>
        <w:rPr>
          <w:rFonts w:hint="eastAsia" w:eastAsia="仿宋_GB2312" w:cs="Times New Roman"/>
          <w:kern w:val="0"/>
          <w:sz w:val="30"/>
          <w:szCs w:val="30"/>
          <w:highlight w:val="none"/>
          <w:lang w:val="en-US" w:eastAsia="zh-CN" w:bidi="ar-SA"/>
        </w:rPr>
        <w:t>单位</w:t>
      </w:r>
      <w:r>
        <w:rPr>
          <w:rFonts w:hint="default" w:ascii="Times New Roman" w:hAnsi="Times New Roman" w:eastAsia="仿宋_GB2312" w:cs="Times New Roman"/>
          <w:kern w:val="0"/>
          <w:sz w:val="30"/>
          <w:szCs w:val="30"/>
          <w:highlight w:val="none"/>
          <w:lang w:val="en-US" w:eastAsia="zh-CN" w:bidi="ar-SA"/>
        </w:rPr>
        <w:t>公顷蓄积量</w:t>
      </w:r>
      <w:r>
        <w:rPr>
          <w:rFonts w:hint="eastAsia" w:eastAsia="仿宋_GB2312" w:cs="Times New Roman"/>
          <w:kern w:val="0"/>
          <w:sz w:val="30"/>
          <w:szCs w:val="30"/>
          <w:highlight w:val="none"/>
          <w:lang w:val="en-US" w:eastAsia="zh-CN" w:bidi="ar-SA"/>
        </w:rPr>
        <w:t>44.25</w:t>
      </w:r>
      <w:r>
        <w:rPr>
          <w:rFonts w:hint="default" w:ascii="Times New Roman" w:hAnsi="Times New Roman" w:eastAsia="仿宋_GB2312" w:cs="Times New Roman"/>
          <w:kern w:val="0"/>
          <w:sz w:val="30"/>
          <w:szCs w:val="30"/>
          <w:highlight w:val="none"/>
          <w:lang w:val="en-US" w:eastAsia="zh-CN" w:bidi="ar-SA"/>
        </w:rPr>
        <w:t>立方米/公顷</w:t>
      </w:r>
      <w:r>
        <w:rPr>
          <w:rFonts w:hint="eastAsia" w:eastAsia="仿宋_GB2312" w:cs="Times New Roman"/>
          <w:kern w:val="0"/>
          <w:sz w:val="30"/>
          <w:szCs w:val="30"/>
          <w:highlight w:val="none"/>
          <w:lang w:val="en-US" w:eastAsia="zh-CN" w:bidi="ar-SA"/>
        </w:rPr>
        <w:t>（有蓄积乔木林单位公顷蓄积量为95.39</w:t>
      </w:r>
      <w:r>
        <w:rPr>
          <w:rFonts w:hint="default" w:ascii="Times New Roman" w:hAnsi="Times New Roman" w:eastAsia="仿宋_GB2312" w:cs="Times New Roman"/>
          <w:kern w:val="0"/>
          <w:sz w:val="30"/>
          <w:szCs w:val="30"/>
          <w:highlight w:val="none"/>
          <w:lang w:val="en-US" w:eastAsia="zh-CN" w:bidi="ar-SA"/>
        </w:rPr>
        <w:t>立方米/公顷</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低于全省乔木林公顷蓄积量67.60立方米/公顷，全国乔木林公顷蓄积量93.14立方米/公顷。琼海市林地生产力（本文计乔木林单位公顷蓄积）较低，原因是乔木林里经济林（以槟榔为主）比重过大，部分经济林虽不计蓄积，但林地生产效益极为可观。</w:t>
      </w:r>
      <w:r>
        <w:rPr>
          <w:rFonts w:hint="eastAsia" w:eastAsia="仿宋_GB2312" w:cs="Times New Roman"/>
          <w:kern w:val="0"/>
          <w:sz w:val="30"/>
          <w:szCs w:val="30"/>
          <w:highlight w:val="none"/>
          <w:lang w:val="en-US" w:eastAsia="zh-CN" w:bidi="ar-SA"/>
        </w:rPr>
        <w:t>综上，琼海市</w:t>
      </w:r>
      <w:r>
        <w:rPr>
          <w:rFonts w:hint="default" w:ascii="Times New Roman" w:hAnsi="Times New Roman" w:eastAsia="仿宋_GB2312" w:cs="Times New Roman"/>
          <w:kern w:val="0"/>
          <w:sz w:val="30"/>
          <w:szCs w:val="30"/>
          <w:highlight w:val="none"/>
          <w:lang w:val="en-US" w:eastAsia="zh-CN" w:bidi="ar-SA"/>
        </w:rPr>
        <w:t>未</w:t>
      </w:r>
      <w:r>
        <w:rPr>
          <w:rFonts w:hint="eastAsia" w:eastAsia="仿宋_GB2312" w:cs="Times New Roman"/>
          <w:kern w:val="0"/>
          <w:sz w:val="30"/>
          <w:szCs w:val="30"/>
          <w:highlight w:val="none"/>
          <w:lang w:val="en-US" w:eastAsia="zh-CN" w:bidi="ar-SA"/>
        </w:rPr>
        <w:t>充分</w:t>
      </w:r>
      <w:r>
        <w:rPr>
          <w:rFonts w:hint="default" w:ascii="Times New Roman" w:hAnsi="Times New Roman" w:eastAsia="仿宋_GB2312" w:cs="Times New Roman"/>
          <w:kern w:val="0"/>
          <w:sz w:val="30"/>
          <w:szCs w:val="30"/>
          <w:highlight w:val="none"/>
          <w:lang w:val="en-US" w:eastAsia="zh-CN" w:bidi="ar-SA"/>
        </w:rPr>
        <w:t>发挥地区优越的水热条件优势，提升林地生产力的潜力空间</w:t>
      </w:r>
      <w:r>
        <w:rPr>
          <w:rFonts w:hint="eastAsia" w:eastAsia="仿宋_GB2312" w:cs="Times New Roman"/>
          <w:kern w:val="0"/>
          <w:sz w:val="30"/>
          <w:szCs w:val="30"/>
          <w:highlight w:val="none"/>
          <w:lang w:val="en-US" w:eastAsia="zh-CN" w:bidi="ar-SA"/>
        </w:rPr>
        <w:t>还</w:t>
      </w:r>
      <w:r>
        <w:rPr>
          <w:rFonts w:hint="default" w:ascii="Times New Roman" w:hAnsi="Times New Roman" w:eastAsia="仿宋_GB2312" w:cs="Times New Roman"/>
          <w:kern w:val="0"/>
          <w:sz w:val="30"/>
          <w:szCs w:val="30"/>
          <w:highlight w:val="none"/>
          <w:lang w:val="en-US" w:eastAsia="zh-CN" w:bidi="ar-SA"/>
        </w:rPr>
        <w:t>很大，需开展大径材培育、低效林改造、森林抚育等森林经营</w:t>
      </w:r>
      <w:r>
        <w:rPr>
          <w:rFonts w:hint="eastAsia" w:eastAsia="仿宋_GB2312" w:cs="Times New Roman"/>
          <w:kern w:val="0"/>
          <w:sz w:val="30"/>
          <w:szCs w:val="30"/>
          <w:highlight w:val="none"/>
          <w:lang w:val="en-US" w:eastAsia="zh-CN" w:bidi="ar-SA"/>
        </w:rPr>
        <w:t>措施</w:t>
      </w:r>
      <w:r>
        <w:rPr>
          <w:rFonts w:hint="default" w:ascii="Times New Roman" w:hAnsi="Times New Roman" w:eastAsia="仿宋_GB2312" w:cs="Times New Roman"/>
          <w:kern w:val="0"/>
          <w:sz w:val="30"/>
          <w:szCs w:val="30"/>
          <w:highlight w:val="none"/>
          <w:lang w:val="en-US" w:eastAsia="zh-CN" w:bidi="ar-SA"/>
        </w:rPr>
        <w:t>来提高林地生产力。</w:t>
      </w:r>
    </w:p>
    <w:p w14:paraId="7FB12A9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（六）林分起源</w:t>
      </w:r>
    </w:p>
    <w:p w14:paraId="577B3F4C">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全市人工林总面积114727.62公顷，占林地的</w:t>
      </w:r>
      <w:r>
        <w:rPr>
          <w:rFonts w:hint="eastAsia" w:eastAsia="仿宋_GB2312" w:cs="Times New Roman"/>
          <w:kern w:val="0"/>
          <w:sz w:val="30"/>
          <w:szCs w:val="30"/>
          <w:highlight w:val="none"/>
          <w:lang w:val="en-US" w:eastAsia="zh-CN" w:bidi="ar-SA"/>
        </w:rPr>
        <w:t>88.69</w:t>
      </w:r>
      <w:r>
        <w:rPr>
          <w:rFonts w:hint="default" w:ascii="Times New Roman" w:hAnsi="Times New Roman" w:eastAsia="仿宋_GB2312" w:cs="Times New Roman"/>
          <w:kern w:val="0"/>
          <w:sz w:val="30"/>
          <w:szCs w:val="30"/>
          <w:highlight w:val="none"/>
          <w:lang w:val="en-US" w:eastAsia="zh-CN" w:bidi="ar-SA"/>
        </w:rPr>
        <w:t>%；天然林总面积1848.60公顷，占林地的</w:t>
      </w:r>
      <w:r>
        <w:rPr>
          <w:rFonts w:hint="eastAsia" w:eastAsia="仿宋_GB2312" w:cs="Times New Roman"/>
          <w:kern w:val="0"/>
          <w:sz w:val="30"/>
          <w:szCs w:val="30"/>
          <w:highlight w:val="none"/>
          <w:lang w:val="en-US" w:eastAsia="zh-CN" w:bidi="ar-SA"/>
        </w:rPr>
        <w:t>1.43</w:t>
      </w:r>
      <w:r>
        <w:rPr>
          <w:rFonts w:hint="default" w:ascii="Times New Roman" w:hAnsi="Times New Roman" w:eastAsia="仿宋_GB2312" w:cs="Times New Roman"/>
          <w:kern w:val="0"/>
          <w:sz w:val="30"/>
          <w:szCs w:val="30"/>
          <w:highlight w:val="none"/>
          <w:lang w:val="en-US" w:eastAsia="zh-CN" w:bidi="ar-SA"/>
        </w:rPr>
        <w:t>%。人工林占比</w:t>
      </w:r>
      <w:r>
        <w:rPr>
          <w:rFonts w:hint="eastAsia" w:eastAsia="仿宋_GB2312" w:cs="Times New Roman"/>
          <w:kern w:val="0"/>
          <w:sz w:val="30"/>
          <w:szCs w:val="30"/>
          <w:highlight w:val="none"/>
          <w:lang w:val="en-US" w:eastAsia="zh-CN" w:bidi="ar-SA"/>
        </w:rPr>
        <w:t>接近</w:t>
      </w:r>
      <w:r>
        <w:rPr>
          <w:rFonts w:hint="default" w:ascii="Times New Roman" w:hAnsi="Times New Roman" w:eastAsia="仿宋_GB2312" w:cs="Times New Roman"/>
          <w:kern w:val="0"/>
          <w:sz w:val="30"/>
          <w:szCs w:val="30"/>
          <w:highlight w:val="none"/>
          <w:lang w:val="en-US" w:eastAsia="zh-CN" w:bidi="ar-SA"/>
        </w:rPr>
        <w:t>九成，天然林占比不到</w:t>
      </w:r>
      <w:r>
        <w:rPr>
          <w:rFonts w:hint="eastAsia"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val="en-US" w:eastAsia="zh-CN" w:bidi="ar-SA"/>
        </w:rPr>
        <w:t>成，一定程度反映琼海市森林质量、结构不够完善，尚有很大提升空间，下一步应加大人工林抚育改造力度，加快天然林保护和残次林修复，培育质量良好、结构稳定、功能完备、效益显著的森林生态系统。</w:t>
      </w:r>
    </w:p>
    <w:p w14:paraId="2D8BE4AE">
      <w:pPr>
        <w:pStyle w:val="4"/>
        <w:keepNext w:val="0"/>
        <w:keepLines w:val="0"/>
        <w:pageBreakBefore w:val="0"/>
        <w:widowControl w:val="0"/>
        <w:numPr>
          <w:ilvl w:val="0"/>
          <w:numId w:val="2"/>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林地权属</w:t>
      </w:r>
    </w:p>
    <w:p w14:paraId="3BF71A6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pPr>
      <w:r>
        <w:rPr>
          <w:rFonts w:hint="default" w:ascii="Times New Roman" w:hAnsi="Times New Roman" w:eastAsia="仿宋_GB2312" w:cs="Times New Roman"/>
          <w:kern w:val="0"/>
          <w:sz w:val="30"/>
          <w:szCs w:val="30"/>
          <w:highlight w:val="none"/>
          <w:lang w:val="en-US" w:eastAsia="zh-CN" w:bidi="ar-SA"/>
        </w:rPr>
        <w:t>琼海市林地分国有和集体两种类型。国有林地面积 61095.84公顷，占林地总面积的</w:t>
      </w:r>
      <w:r>
        <w:rPr>
          <w:rFonts w:hint="eastAsia" w:eastAsia="仿宋_GB2312" w:cs="Times New Roman"/>
          <w:kern w:val="0"/>
          <w:sz w:val="30"/>
          <w:szCs w:val="30"/>
          <w:highlight w:val="none"/>
          <w:lang w:val="en-US" w:eastAsia="zh-CN" w:bidi="ar-SA"/>
        </w:rPr>
        <w:t>47.23</w:t>
      </w:r>
      <w:r>
        <w:rPr>
          <w:rFonts w:hint="default" w:ascii="Times New Roman" w:hAnsi="Times New Roman" w:eastAsia="仿宋_GB2312" w:cs="Times New Roman"/>
          <w:kern w:val="0"/>
          <w:sz w:val="30"/>
          <w:szCs w:val="30"/>
          <w:highlight w:val="none"/>
          <w:lang w:val="en-US" w:eastAsia="zh-CN" w:bidi="ar-SA"/>
        </w:rPr>
        <w:t>%；集体林地面积68267.11公顷，占</w:t>
      </w:r>
      <w:r>
        <w:rPr>
          <w:rFonts w:hint="eastAsia" w:eastAsia="仿宋_GB2312" w:cs="Times New Roman"/>
          <w:kern w:val="0"/>
          <w:sz w:val="30"/>
          <w:szCs w:val="30"/>
          <w:highlight w:val="none"/>
          <w:lang w:val="en-US" w:eastAsia="zh-CN" w:bidi="ar-SA"/>
        </w:rPr>
        <w:t>52.77</w:t>
      </w:r>
      <w:r>
        <w:rPr>
          <w:rFonts w:hint="default" w:ascii="Times New Roman" w:hAnsi="Times New Roman" w:eastAsia="仿宋_GB2312" w:cs="Times New Roman"/>
          <w:kern w:val="0"/>
          <w:sz w:val="30"/>
          <w:szCs w:val="30"/>
          <w:highlight w:val="none"/>
          <w:lang w:val="en-US" w:eastAsia="zh-CN" w:bidi="ar-SA"/>
        </w:rPr>
        <w:t>%。林地</w:t>
      </w:r>
      <w:r>
        <w:rPr>
          <w:rFonts w:hint="eastAsia" w:eastAsia="仿宋_GB2312" w:cs="Times New Roman"/>
          <w:kern w:val="0"/>
          <w:sz w:val="30"/>
          <w:szCs w:val="30"/>
          <w:highlight w:val="none"/>
          <w:lang w:val="en-US" w:eastAsia="zh-CN" w:bidi="ar-SA"/>
        </w:rPr>
        <w:t>权属</w:t>
      </w:r>
      <w:r>
        <w:rPr>
          <w:rFonts w:hint="default" w:ascii="Times New Roman" w:hAnsi="Times New Roman" w:eastAsia="仿宋_GB2312" w:cs="Times New Roman"/>
          <w:kern w:val="0"/>
          <w:sz w:val="30"/>
          <w:szCs w:val="30"/>
          <w:highlight w:val="none"/>
          <w:lang w:val="en-US" w:eastAsia="zh-CN" w:bidi="ar-SA"/>
        </w:rPr>
        <w:t>占比</w:t>
      </w:r>
      <w:r>
        <w:rPr>
          <w:rFonts w:hint="eastAsia" w:eastAsia="仿宋_GB2312" w:cs="Times New Roman"/>
          <w:kern w:val="0"/>
          <w:sz w:val="30"/>
          <w:szCs w:val="30"/>
          <w:highlight w:val="none"/>
          <w:lang w:val="en-US" w:eastAsia="zh-CN" w:bidi="ar-SA"/>
        </w:rPr>
        <w:t>均衡</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国有林地</w:t>
      </w:r>
      <w:r>
        <w:rPr>
          <w:rFonts w:hint="default" w:ascii="Times New Roman" w:hAnsi="Times New Roman" w:eastAsia="仿宋_GB2312" w:cs="Times New Roman"/>
          <w:kern w:val="0"/>
          <w:sz w:val="30"/>
          <w:szCs w:val="30"/>
          <w:highlight w:val="none"/>
          <w:lang w:val="en-US" w:eastAsia="zh-CN" w:bidi="ar-SA"/>
        </w:rPr>
        <w:t>便于集中管理，技术支撑足，经营集约化水平高，可充分发挥土地利用潜力</w:t>
      </w:r>
      <w:r>
        <w:rPr>
          <w:rFonts w:hint="eastAsia" w:eastAsia="仿宋_GB2312" w:cs="Times New Roman"/>
          <w:kern w:val="0"/>
          <w:sz w:val="30"/>
          <w:szCs w:val="30"/>
          <w:highlight w:val="none"/>
          <w:lang w:val="en-US" w:eastAsia="zh-CN" w:bidi="ar-SA"/>
        </w:rPr>
        <w:t>；集体林地将林业生产经营权利交给农民，充分提高林地资源利用，促进农民增收</w:t>
      </w:r>
      <w:r>
        <w:rPr>
          <w:rFonts w:hint="default" w:ascii="Times New Roman" w:hAnsi="Times New Roman" w:eastAsia="仿宋_GB2312" w:cs="Times New Roman"/>
          <w:kern w:val="0"/>
          <w:sz w:val="30"/>
          <w:szCs w:val="30"/>
          <w:highlight w:val="none"/>
          <w:lang w:val="en-US" w:eastAsia="zh-CN" w:bidi="ar-SA"/>
        </w:rPr>
        <w:t>。</w:t>
      </w:r>
    </w:p>
    <w:p w14:paraId="63BE509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16" w:name="_Toc18516"/>
      <w:r>
        <w:rPr>
          <w:rFonts w:hint="eastAsia" w:ascii="Times New Roman" w:hAnsi="Times New Roman" w:eastAsia="楷体" w:cs="Times New Roman"/>
          <w:kern w:val="0"/>
          <w:sz w:val="32"/>
          <w:szCs w:val="32"/>
          <w:highlight w:val="none"/>
          <w:lang w:val="en-US" w:eastAsia="zh-CN" w:bidi="ar-SA"/>
        </w:rPr>
        <w:t>三</w:t>
      </w:r>
      <w:r>
        <w:rPr>
          <w:rFonts w:hint="default" w:ascii="Times New Roman" w:hAnsi="Times New Roman" w:eastAsia="楷体" w:cs="Times New Roman"/>
          <w:kern w:val="0"/>
          <w:sz w:val="32"/>
          <w:szCs w:val="32"/>
          <w:highlight w:val="none"/>
          <w:lang w:val="en-US" w:eastAsia="zh-CN" w:bidi="ar-SA"/>
        </w:rPr>
        <w:t>、林地保护</w:t>
      </w:r>
      <w:r>
        <w:rPr>
          <w:rFonts w:hint="eastAsia" w:ascii="Times New Roman" w:hAnsi="Times New Roman" w:eastAsia="楷体" w:cs="Times New Roman"/>
          <w:kern w:val="0"/>
          <w:sz w:val="32"/>
          <w:szCs w:val="32"/>
          <w:highlight w:val="none"/>
          <w:lang w:val="en-US" w:eastAsia="zh-CN" w:bidi="ar-SA"/>
        </w:rPr>
        <w:t>面临的机遇与</w:t>
      </w:r>
      <w:r>
        <w:rPr>
          <w:rFonts w:hint="default" w:ascii="Times New Roman" w:hAnsi="Times New Roman" w:eastAsia="楷体" w:cs="Times New Roman"/>
          <w:kern w:val="0"/>
          <w:sz w:val="32"/>
          <w:szCs w:val="32"/>
          <w:highlight w:val="none"/>
          <w:lang w:val="en-US" w:eastAsia="zh-CN" w:bidi="ar-SA"/>
        </w:rPr>
        <w:t>挑战</w:t>
      </w:r>
      <w:bookmarkEnd w:id="16"/>
    </w:p>
    <w:p w14:paraId="14E44AE6">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（一）面临的机遇</w:t>
      </w:r>
    </w:p>
    <w:p w14:paraId="1FBA523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1.生态文明建设新进步的要求赋予林业发展新使命</w:t>
      </w:r>
    </w:p>
    <w:p w14:paraId="66A29880">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eastAsia" w:ascii="Times New Roman" w:hAnsi="Times New Roman" w:eastAsia="仿宋_GB2312" w:cs="Times New Roman"/>
          <w:kern w:val="0"/>
          <w:sz w:val="30"/>
          <w:szCs w:val="30"/>
          <w:highlight w:val="none"/>
          <w:lang w:val="en-US" w:eastAsia="zh-CN" w:bidi="ar-SA"/>
        </w:rPr>
      </w:pPr>
      <w:r>
        <w:rPr>
          <w:rFonts w:hint="eastAsia" w:ascii="Times New Roman" w:hAnsi="Times New Roman" w:eastAsia="仿宋_GB2312" w:cs="Times New Roman"/>
          <w:kern w:val="0"/>
          <w:sz w:val="30"/>
          <w:szCs w:val="30"/>
          <w:highlight w:val="none"/>
          <w:lang w:val="en-US" w:eastAsia="zh-CN" w:bidi="ar-SA"/>
        </w:rPr>
        <w:t>新一轮林地保护利用规划是我国全面建成小康社会、实现第一个百年奋斗目标之后，乘势而上开启全面建设社会主义现代化国家新征程、向第二个百年奋斗目标进军的第一个林业专项规划。站在新的历史起点上，党的十九届五中全会擘画了生态文明建设的新蓝图，我国生态文明建设提出了更高目标，要求生态文明建设实现新进步</w:t>
      </w:r>
      <w:r>
        <w:rPr>
          <w:rFonts w:hint="eastAsia" w:eastAsia="仿宋_GB2312" w:cs="Times New Roman"/>
          <w:kern w:val="0"/>
          <w:sz w:val="30"/>
          <w:szCs w:val="30"/>
          <w:highlight w:val="none"/>
          <w:lang w:val="en-US" w:eastAsia="zh-CN" w:bidi="ar-SA"/>
        </w:rPr>
        <w:t>，</w:t>
      </w:r>
      <w:r>
        <w:rPr>
          <w:rFonts w:hint="eastAsia" w:ascii="Times New Roman" w:hAnsi="Times New Roman" w:eastAsia="仿宋_GB2312" w:cs="Times New Roman"/>
          <w:kern w:val="0"/>
          <w:sz w:val="30"/>
          <w:szCs w:val="30"/>
          <w:highlight w:val="none"/>
          <w:lang w:val="en-US" w:eastAsia="zh-CN" w:bidi="ar-SA"/>
        </w:rPr>
        <w:t>推动绿色发展</w:t>
      </w:r>
      <w:r>
        <w:rPr>
          <w:rFonts w:hint="eastAsia" w:eastAsia="仿宋_GB2312" w:cs="Times New Roman"/>
          <w:kern w:val="0"/>
          <w:sz w:val="30"/>
          <w:szCs w:val="30"/>
          <w:highlight w:val="none"/>
          <w:lang w:val="en-US" w:eastAsia="zh-CN" w:bidi="ar-SA"/>
        </w:rPr>
        <w:t>，</w:t>
      </w:r>
      <w:r>
        <w:rPr>
          <w:rFonts w:hint="eastAsia" w:ascii="Times New Roman" w:hAnsi="Times New Roman" w:eastAsia="仿宋_GB2312" w:cs="Times New Roman"/>
          <w:kern w:val="0"/>
          <w:sz w:val="30"/>
          <w:szCs w:val="30"/>
          <w:highlight w:val="none"/>
          <w:lang w:val="en-US" w:eastAsia="zh-CN" w:bidi="ar-SA"/>
        </w:rPr>
        <w:t>深入实施可持续发展战略。</w:t>
      </w:r>
      <w:r>
        <w:rPr>
          <w:rFonts w:hint="eastAsia" w:eastAsia="仿宋_GB2312" w:cs="Times New Roman"/>
          <w:color w:val="auto"/>
          <w:kern w:val="0"/>
          <w:sz w:val="30"/>
          <w:szCs w:val="30"/>
          <w:highlight w:val="none"/>
          <w:lang w:eastAsia="zh-CN"/>
        </w:rPr>
        <w:t>2020年我国在联合国大会上明确提出，二氧化碳排放力争于2030年前达到峰值，努力争取2060年前实现碳中和。</w:t>
      </w:r>
      <w:r>
        <w:rPr>
          <w:rFonts w:hint="eastAsia" w:ascii="Times New Roman" w:hAnsi="Times New Roman" w:eastAsia="仿宋_GB2312" w:cs="Times New Roman"/>
          <w:i w:val="0"/>
          <w:iCs w:val="0"/>
          <w:caps w:val="0"/>
          <w:color w:val="auto"/>
          <w:spacing w:val="0"/>
          <w:kern w:val="0"/>
          <w:sz w:val="30"/>
          <w:szCs w:val="30"/>
          <w:highlight w:val="none"/>
        </w:rPr>
        <w:t>2021年全国两会，碳达峰和碳中和首次被写入政府工作报告。</w:t>
      </w:r>
      <w:r>
        <w:rPr>
          <w:rFonts w:hint="eastAsia" w:eastAsia="仿宋_GB2312"/>
          <w:kern w:val="0"/>
          <w:sz w:val="30"/>
          <w:szCs w:val="30"/>
          <w:highlight w:val="none"/>
        </w:rPr>
        <w:t>森林是陆地生态系统最重要的贮碳库</w:t>
      </w:r>
      <w:r>
        <w:rPr>
          <w:rFonts w:hint="eastAsia" w:eastAsia="仿宋_GB2312"/>
          <w:kern w:val="0"/>
          <w:sz w:val="30"/>
          <w:szCs w:val="30"/>
          <w:highlight w:val="none"/>
          <w:lang w:eastAsia="zh-CN"/>
        </w:rPr>
        <w:t>，</w:t>
      </w:r>
      <w:r>
        <w:rPr>
          <w:rFonts w:hint="eastAsia" w:eastAsia="仿宋_GB2312"/>
          <w:kern w:val="0"/>
          <w:sz w:val="30"/>
          <w:szCs w:val="30"/>
          <w:highlight w:val="none"/>
        </w:rPr>
        <w:t>加强林地和森林资源保护，这对我国</w:t>
      </w:r>
      <w:r>
        <w:rPr>
          <w:rFonts w:hint="eastAsia" w:ascii="Times New Roman" w:hAnsi="Times New Roman" w:eastAsia="仿宋_GB2312" w:cs="Times New Roman"/>
          <w:i w:val="0"/>
          <w:iCs w:val="0"/>
          <w:caps w:val="0"/>
          <w:spacing w:val="0"/>
          <w:kern w:val="0"/>
          <w:sz w:val="30"/>
          <w:szCs w:val="30"/>
          <w:highlight w:val="none"/>
        </w:rPr>
        <w:t>碳达峰和碳中和</w:t>
      </w:r>
      <w:r>
        <w:rPr>
          <w:rFonts w:hint="eastAsia" w:eastAsia="仿宋_GB2312" w:cs="Times New Roman"/>
          <w:i w:val="0"/>
          <w:iCs w:val="0"/>
          <w:caps w:val="0"/>
          <w:spacing w:val="0"/>
          <w:kern w:val="0"/>
          <w:sz w:val="30"/>
          <w:szCs w:val="30"/>
          <w:highlight w:val="none"/>
          <w:lang w:val="en-US" w:eastAsia="zh-CN"/>
        </w:rPr>
        <w:t>的实现</w:t>
      </w:r>
      <w:r>
        <w:rPr>
          <w:rFonts w:hint="eastAsia" w:eastAsia="仿宋_GB2312"/>
          <w:kern w:val="0"/>
          <w:sz w:val="30"/>
          <w:szCs w:val="30"/>
          <w:highlight w:val="none"/>
        </w:rPr>
        <w:t>具有重要</w:t>
      </w:r>
      <w:r>
        <w:rPr>
          <w:rFonts w:hint="eastAsia" w:eastAsia="仿宋_GB2312"/>
          <w:kern w:val="0"/>
          <w:sz w:val="30"/>
          <w:szCs w:val="30"/>
          <w:highlight w:val="none"/>
          <w:lang w:val="en-US" w:eastAsia="zh-CN"/>
        </w:rPr>
        <w:t>意义</w:t>
      </w:r>
      <w:r>
        <w:rPr>
          <w:rFonts w:hint="eastAsia" w:eastAsia="仿宋_GB2312"/>
          <w:kern w:val="0"/>
          <w:sz w:val="30"/>
          <w:szCs w:val="30"/>
          <w:highlight w:val="none"/>
        </w:rPr>
        <w:t>。</w:t>
      </w:r>
    </w:p>
    <w:p w14:paraId="30077E94">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00" w:firstLineChars="200"/>
        <w:jc w:val="both"/>
        <w:textAlignment w:val="auto"/>
        <w:outlineLvl w:val="9"/>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2019年11月30日，省委七届七次全会审议通过《中共海南省委关于提升治理体系和治理能力现代化水平加快推进海南自由贸易港建设的决定》，要求紧扣坚持和完善生态文明制度体系，加快建设国家生态文明试验区。</w:t>
      </w:r>
      <w:r>
        <w:rPr>
          <w:rFonts w:hint="eastAsia" w:ascii="Times New Roman" w:hAnsi="Times New Roman" w:eastAsia="仿宋_GB2312" w:cs="Times New Roman"/>
          <w:kern w:val="0"/>
          <w:sz w:val="30"/>
          <w:szCs w:val="30"/>
          <w:highlight w:val="none"/>
          <w:lang w:val="en-US" w:eastAsia="zh-CN" w:bidi="ar-SA"/>
        </w:rPr>
        <w:t>琼海市</w:t>
      </w:r>
      <w:r>
        <w:rPr>
          <w:rFonts w:hint="default" w:ascii="Times New Roman" w:hAnsi="Times New Roman" w:eastAsia="仿宋_GB2312" w:cs="Times New Roman"/>
          <w:kern w:val="0"/>
          <w:sz w:val="30"/>
          <w:szCs w:val="30"/>
          <w:highlight w:val="none"/>
          <w:lang w:val="en-US" w:eastAsia="zh-CN" w:bidi="ar-SA"/>
        </w:rPr>
        <w:t>政府《</w:t>
      </w:r>
      <w:r>
        <w:rPr>
          <w:rFonts w:hint="eastAsia" w:ascii="Times New Roman" w:hAnsi="Times New Roman" w:eastAsia="仿宋_GB2312" w:cs="Times New Roman"/>
          <w:kern w:val="0"/>
          <w:sz w:val="30"/>
          <w:szCs w:val="30"/>
          <w:highlight w:val="none"/>
          <w:lang w:val="en-US" w:eastAsia="zh-CN" w:bidi="ar-SA"/>
        </w:rPr>
        <w:t>琼海市</w:t>
      </w:r>
      <w:r>
        <w:rPr>
          <w:rFonts w:hint="default" w:ascii="Times New Roman" w:hAnsi="Times New Roman" w:eastAsia="仿宋_GB2312" w:cs="Times New Roman"/>
          <w:kern w:val="0"/>
          <w:sz w:val="30"/>
          <w:szCs w:val="30"/>
          <w:highlight w:val="none"/>
          <w:lang w:val="en-US" w:eastAsia="zh-CN" w:bidi="ar-SA"/>
        </w:rPr>
        <w:t>国民经济和社会发展第十四个五年规划和二〇三五年远景目标纲要》对生态文明建设提出</w:t>
      </w:r>
      <w:r>
        <w:rPr>
          <w:rFonts w:hint="eastAsia" w:ascii="Times New Roman" w:hAnsi="Times New Roman" w:eastAsia="仿宋_GB2312" w:cs="Times New Roman"/>
          <w:kern w:val="0"/>
          <w:sz w:val="30"/>
          <w:szCs w:val="30"/>
          <w:highlight w:val="none"/>
          <w:lang w:val="en-US" w:eastAsia="zh-CN" w:bidi="ar-SA"/>
        </w:rPr>
        <w:t>“深入实施可持续发展战略，促进经济社会发展全面绿色转型，在更高水平上建设国家生态文明战略示范区，力保生态环境质量继续保持全国领先水平”</w:t>
      </w:r>
      <w:r>
        <w:rPr>
          <w:rFonts w:hint="default" w:ascii="Times New Roman" w:hAnsi="Times New Roman" w:eastAsia="仿宋_GB2312" w:cs="Times New Roman"/>
          <w:kern w:val="0"/>
          <w:sz w:val="30"/>
          <w:szCs w:val="30"/>
          <w:highlight w:val="none"/>
          <w:lang w:val="en-US" w:eastAsia="zh-CN" w:bidi="ar-SA"/>
        </w:rPr>
        <w:t>的要求。林业部门作为生态文明建设的重要部门，既要守好自然生态底线，筑牢绿色发展基础，又要处理好利用和保护的关系，协调好林业改革创新发展，为生态文明建设实现新进步不断发力。</w:t>
      </w:r>
      <w:r>
        <w:rPr>
          <w:rFonts w:hint="eastAsia" w:ascii="Times New Roman" w:hAnsi="Times New Roman" w:eastAsia="仿宋_GB2312" w:cs="Times New Roman"/>
          <w:kern w:val="0"/>
          <w:sz w:val="30"/>
          <w:szCs w:val="30"/>
          <w:highlight w:val="none"/>
          <w:lang w:val="en-US" w:eastAsia="zh-CN" w:bidi="ar-SA"/>
        </w:rPr>
        <w:t>琼海市</w:t>
      </w:r>
      <w:r>
        <w:rPr>
          <w:rFonts w:hint="default" w:ascii="Times New Roman" w:hAnsi="Times New Roman" w:eastAsia="仿宋_GB2312" w:cs="Times New Roman"/>
          <w:kern w:val="0"/>
          <w:sz w:val="30"/>
          <w:szCs w:val="30"/>
          <w:highlight w:val="none"/>
          <w:lang w:val="en-US" w:eastAsia="zh-CN" w:bidi="ar-SA"/>
        </w:rPr>
        <w:t>森林覆盖率</w:t>
      </w:r>
      <w:r>
        <w:rPr>
          <w:rFonts w:hint="eastAsia" w:ascii="Times New Roman" w:hAnsi="Times New Roman" w:eastAsia="仿宋_GB2312" w:cs="Times New Roman"/>
          <w:kern w:val="0"/>
          <w:sz w:val="30"/>
          <w:szCs w:val="30"/>
          <w:highlight w:val="none"/>
          <w:lang w:val="en-US" w:eastAsia="zh-CN" w:bidi="ar-SA"/>
        </w:rPr>
        <w:t>超过全省平均水平</w:t>
      </w:r>
      <w:r>
        <w:rPr>
          <w:rFonts w:hint="default" w:ascii="Times New Roman" w:hAnsi="Times New Roman" w:eastAsia="仿宋_GB2312" w:cs="Times New Roman"/>
          <w:kern w:val="0"/>
          <w:sz w:val="30"/>
          <w:szCs w:val="30"/>
          <w:highlight w:val="none"/>
          <w:lang w:val="en-US" w:eastAsia="zh-CN" w:bidi="ar-SA"/>
        </w:rPr>
        <w:t>，林业发展对全</w:t>
      </w:r>
      <w:r>
        <w:rPr>
          <w:rFonts w:hint="eastAsia" w:ascii="Times New Roman" w:hAnsi="Times New Roman" w:eastAsia="仿宋_GB2312" w:cs="Times New Roman"/>
          <w:kern w:val="0"/>
          <w:sz w:val="30"/>
          <w:szCs w:val="30"/>
          <w:highlight w:val="none"/>
          <w:lang w:val="en-US" w:eastAsia="zh-CN" w:bidi="ar-SA"/>
        </w:rPr>
        <w:t>市</w:t>
      </w:r>
      <w:r>
        <w:rPr>
          <w:rFonts w:hint="default" w:ascii="Times New Roman" w:hAnsi="Times New Roman" w:eastAsia="仿宋_GB2312" w:cs="Times New Roman"/>
          <w:kern w:val="0"/>
          <w:sz w:val="30"/>
          <w:szCs w:val="30"/>
          <w:highlight w:val="none"/>
          <w:lang w:val="en-US" w:eastAsia="zh-CN" w:bidi="ar-SA"/>
        </w:rPr>
        <w:t>发展影响深远，在着力实现生态文明建设新进步，</w:t>
      </w:r>
      <w:r>
        <w:rPr>
          <w:rFonts w:hint="eastAsia" w:ascii="Times New Roman" w:hAnsi="Times New Roman" w:eastAsia="仿宋_GB2312" w:cs="Times New Roman"/>
          <w:kern w:val="0"/>
          <w:sz w:val="30"/>
          <w:szCs w:val="30"/>
          <w:highlight w:val="none"/>
          <w:lang w:val="en-US" w:eastAsia="zh-CN" w:bidi="ar-SA"/>
        </w:rPr>
        <w:t>琼海市</w:t>
      </w:r>
      <w:r>
        <w:rPr>
          <w:rFonts w:hint="default" w:ascii="Times New Roman" w:hAnsi="Times New Roman" w:eastAsia="仿宋_GB2312" w:cs="Times New Roman"/>
          <w:kern w:val="0"/>
          <w:sz w:val="30"/>
          <w:szCs w:val="30"/>
          <w:highlight w:val="none"/>
          <w:lang w:val="en-US" w:eastAsia="zh-CN" w:bidi="ar-SA"/>
        </w:rPr>
        <w:t>林业迎来了良好的发展机遇。</w:t>
      </w:r>
    </w:p>
    <w:p w14:paraId="445A76B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2</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“三区一中心”</w:t>
      </w:r>
      <w:r>
        <w:rPr>
          <w:rFonts w:hint="default" w:ascii="Times New Roman" w:hAnsi="Times New Roman" w:eastAsia="仿宋_GB2312" w:cs="Times New Roman"/>
          <w:kern w:val="0"/>
          <w:sz w:val="30"/>
          <w:szCs w:val="30"/>
          <w:highlight w:val="none"/>
          <w:lang w:val="en-US" w:eastAsia="zh-CN" w:bidi="ar-SA"/>
        </w:rPr>
        <w:t>带来新机遇</w:t>
      </w:r>
    </w:p>
    <w:p w14:paraId="40F42E01">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00" w:firstLineChars="200"/>
        <w:jc w:val="both"/>
        <w:textAlignment w:val="auto"/>
        <w:outlineLvl w:val="9"/>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2020年，</w:t>
      </w:r>
      <w:r>
        <w:rPr>
          <w:rFonts w:hint="eastAsia" w:ascii="Times New Roman" w:hAnsi="Times New Roman" w:eastAsia="仿宋_GB2312" w:cs="Times New Roman"/>
          <w:kern w:val="0"/>
          <w:sz w:val="30"/>
          <w:szCs w:val="30"/>
          <w:highlight w:val="none"/>
          <w:lang w:val="en-US" w:eastAsia="zh-CN" w:bidi="ar-SA"/>
        </w:rPr>
        <w:t>中共中央、国务院</w:t>
      </w:r>
      <w:r>
        <w:rPr>
          <w:rFonts w:hint="default" w:ascii="Times New Roman" w:hAnsi="Times New Roman" w:eastAsia="仿宋_GB2312" w:cs="Times New Roman"/>
          <w:kern w:val="0"/>
          <w:sz w:val="30"/>
          <w:szCs w:val="30"/>
          <w:highlight w:val="none"/>
          <w:lang w:val="en-US" w:eastAsia="zh-CN" w:bidi="ar-SA"/>
        </w:rPr>
        <w:t>印发《海南自由贸易港建设总体方案》，紧紧围绕国家赋予海南建设全面深化改革开放试验区、国家生态文明试验区、国际旅游消费中心和国家重大战略服务保障区的战略定位</w:t>
      </w:r>
      <w:r>
        <w:rPr>
          <w:rFonts w:hint="eastAsia" w:ascii="Times New Roman" w:hAnsi="Times New Roman" w:eastAsia="仿宋_GB2312" w:cs="Times New Roman"/>
          <w:kern w:val="0"/>
          <w:sz w:val="30"/>
          <w:szCs w:val="30"/>
          <w:highlight w:val="none"/>
          <w:lang w:val="en-US" w:eastAsia="zh-CN" w:bidi="ar-SA"/>
        </w:rPr>
        <w:t>。坚持生态优先、绿色发展，围绕国际旅游消费中心建设，提升博鳌乐城国际医疗旅游先行区发展水平，推动旅游与文化体育、健康医疗、养老养生等深度融合，发展特色旅游产业集群，培育旅游新业态新模式，创建全域旅游示范省。琼海市拥有独特的</w:t>
      </w:r>
      <w:r>
        <w:rPr>
          <w:rFonts w:hint="default" w:ascii="Times New Roman" w:hAnsi="Times New Roman" w:eastAsia="仿宋_GB2312" w:cs="Times New Roman"/>
          <w:kern w:val="0"/>
          <w:sz w:val="30"/>
          <w:szCs w:val="30"/>
          <w:highlight w:val="none"/>
          <w:lang w:val="en-US" w:eastAsia="zh-CN" w:bidi="ar-SA"/>
        </w:rPr>
        <w:t>地理区位以及自然资源丰富等优势，</w:t>
      </w:r>
      <w:r>
        <w:rPr>
          <w:rFonts w:hint="eastAsia" w:ascii="Times New Roman" w:hAnsi="Times New Roman" w:eastAsia="仿宋_GB2312" w:cs="Times New Roman"/>
          <w:kern w:val="0"/>
          <w:sz w:val="30"/>
          <w:szCs w:val="30"/>
          <w:highlight w:val="none"/>
          <w:lang w:val="en-US" w:eastAsia="zh-CN" w:bidi="ar-SA"/>
        </w:rPr>
        <w:t>该</w:t>
      </w:r>
      <w:r>
        <w:rPr>
          <w:rFonts w:hint="default" w:ascii="Times New Roman" w:hAnsi="Times New Roman" w:eastAsia="仿宋_GB2312" w:cs="Times New Roman"/>
          <w:kern w:val="0"/>
          <w:sz w:val="30"/>
          <w:szCs w:val="30"/>
          <w:highlight w:val="none"/>
          <w:lang w:val="en-US" w:eastAsia="zh-CN" w:bidi="ar-SA"/>
        </w:rPr>
        <w:t>战略将为</w:t>
      </w:r>
      <w:r>
        <w:rPr>
          <w:rFonts w:hint="eastAsia" w:ascii="Times New Roman" w:hAnsi="Times New Roman" w:eastAsia="仿宋_GB2312" w:cs="Times New Roman"/>
          <w:kern w:val="0"/>
          <w:sz w:val="30"/>
          <w:szCs w:val="30"/>
          <w:highlight w:val="none"/>
          <w:lang w:val="en-US" w:eastAsia="zh-CN" w:bidi="ar-SA"/>
        </w:rPr>
        <w:t>全市</w:t>
      </w:r>
      <w:r>
        <w:rPr>
          <w:rFonts w:hint="default" w:ascii="Times New Roman" w:hAnsi="Times New Roman" w:eastAsia="仿宋_GB2312" w:cs="Times New Roman"/>
          <w:kern w:val="0"/>
          <w:sz w:val="30"/>
          <w:szCs w:val="30"/>
          <w:highlight w:val="none"/>
          <w:lang w:val="en-US" w:eastAsia="zh-CN" w:bidi="ar-SA"/>
        </w:rPr>
        <w:t>进一步发展壮大生态经济，发展旅游业、现代服务业和高新技术产业，促进产业融合深度发展</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提供难得机遇。</w:t>
      </w:r>
    </w:p>
    <w:p w14:paraId="39C2C7F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3</w:t>
      </w:r>
      <w:r>
        <w:rPr>
          <w:rFonts w:hint="default" w:ascii="Times New Roman" w:hAnsi="Times New Roman" w:eastAsia="仿宋_GB2312" w:cs="Times New Roman"/>
          <w:kern w:val="0"/>
          <w:sz w:val="30"/>
          <w:szCs w:val="30"/>
          <w:highlight w:val="none"/>
          <w:lang w:val="en-US" w:eastAsia="zh-CN" w:bidi="ar-SA"/>
        </w:rPr>
        <w:t>.山水林田湖草系统治理引领林业发展新方向</w:t>
      </w:r>
    </w:p>
    <w:p w14:paraId="22C1E170">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00" w:firstLineChars="200"/>
        <w:jc w:val="both"/>
        <w:textAlignment w:val="auto"/>
        <w:outlineLvl w:val="9"/>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val="en-US" w:eastAsia="zh-CN" w:bidi="ar-SA"/>
        </w:rPr>
        <w:t>党的十九大报告指出，统筹山水林田湖草系统治理，加大生态系统保护力度，实施重要生态系统保护和修复重大工程，优化生态安全屏障体系</w:t>
      </w:r>
      <w:r>
        <w:rPr>
          <w:rFonts w:hint="eastAsia" w:ascii="仿宋_GB2312" w:hAnsi="Times New Roman" w:eastAsia="仿宋_GB2312" w:cs="宋体"/>
          <w:kern w:val="0"/>
          <w:sz w:val="30"/>
          <w:szCs w:val="30"/>
          <w:highlight w:val="none"/>
          <w:lang w:val="en-US" w:eastAsia="zh-CN" w:bidi="ar-SA"/>
        </w:rPr>
        <w:t>。</w:t>
      </w:r>
      <w:r>
        <w:rPr>
          <w:rFonts w:hint="default" w:ascii="仿宋_GB2312" w:hAnsi="Times New Roman" w:eastAsia="仿宋_GB2312" w:cs="宋体"/>
          <w:kern w:val="0"/>
          <w:sz w:val="30"/>
          <w:szCs w:val="30"/>
          <w:highlight w:val="none"/>
          <w:lang w:val="en-US" w:eastAsia="zh-CN" w:bidi="ar-SA"/>
        </w:rPr>
        <w:t>实施山水林田湖草系统治理是推进生态文明和美丽中国建设的必然要求，是林业工作的主线，也是推动林业发展的迫切需要</w:t>
      </w:r>
      <w:r>
        <w:rPr>
          <w:rFonts w:hint="eastAsia" w:ascii="仿宋_GB2312" w:hAnsi="Times New Roman" w:eastAsia="仿宋_GB2312" w:cs="宋体"/>
          <w:kern w:val="0"/>
          <w:sz w:val="30"/>
          <w:szCs w:val="30"/>
          <w:highlight w:val="none"/>
          <w:lang w:val="en-US" w:eastAsia="zh-CN" w:bidi="ar-SA"/>
        </w:rPr>
        <w:t>，规划</w:t>
      </w:r>
      <w:r>
        <w:rPr>
          <w:rFonts w:hint="default" w:ascii="仿宋_GB2312" w:hAnsi="Times New Roman" w:eastAsia="仿宋_GB2312" w:cs="宋体"/>
          <w:kern w:val="0"/>
          <w:sz w:val="30"/>
          <w:szCs w:val="30"/>
          <w:highlight w:val="none"/>
          <w:lang w:val="en-US" w:eastAsia="zh-CN" w:bidi="ar-SA"/>
        </w:rPr>
        <w:t>期间，</w:t>
      </w:r>
      <w:r>
        <w:rPr>
          <w:rFonts w:hint="eastAsia" w:ascii="仿宋_GB2312" w:hAnsi="Times New Roman" w:eastAsia="仿宋_GB2312" w:cs="宋体"/>
          <w:kern w:val="0"/>
          <w:sz w:val="30"/>
          <w:szCs w:val="30"/>
          <w:highlight w:val="none"/>
          <w:lang w:val="en-US" w:eastAsia="zh-CN" w:bidi="ar-SA"/>
        </w:rPr>
        <w:t>琼海市</w:t>
      </w:r>
      <w:r>
        <w:rPr>
          <w:rFonts w:hint="default" w:ascii="仿宋_GB2312" w:hAnsi="Times New Roman" w:eastAsia="仿宋_GB2312" w:cs="宋体"/>
          <w:kern w:val="0"/>
          <w:sz w:val="30"/>
          <w:szCs w:val="30"/>
          <w:highlight w:val="none"/>
          <w:lang w:val="en-US" w:eastAsia="zh-CN" w:bidi="ar-SA"/>
        </w:rPr>
        <w:t>必将坚持以山水林田湖草系统治理观引领林业的发展方向。结合《全国重要生态系统保护和</w:t>
      </w:r>
      <w:r>
        <w:rPr>
          <w:rFonts w:hint="default" w:ascii="Times New Roman" w:hAnsi="Times New Roman" w:eastAsia="仿宋_GB2312" w:cs="Times New Roman"/>
          <w:kern w:val="0"/>
          <w:sz w:val="30"/>
          <w:szCs w:val="30"/>
          <w:highlight w:val="none"/>
          <w:lang w:val="en-US" w:eastAsia="zh-CN" w:bidi="ar-SA"/>
        </w:rPr>
        <w:t>修复重大工程总体规划（2021</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2035年）》，</w:t>
      </w:r>
      <w:r>
        <w:rPr>
          <w:rFonts w:hint="eastAsia" w:ascii="Times New Roman" w:hAnsi="Times New Roman" w:eastAsia="仿宋_GB2312" w:cs="Times New Roman"/>
          <w:kern w:val="0"/>
          <w:sz w:val="30"/>
          <w:szCs w:val="30"/>
          <w:highlight w:val="none"/>
          <w:lang w:val="en-US" w:eastAsia="zh-CN" w:bidi="ar-SA"/>
        </w:rPr>
        <w:t>海南省将</w:t>
      </w:r>
      <w:r>
        <w:rPr>
          <w:rFonts w:hint="default" w:ascii="Times New Roman" w:hAnsi="Times New Roman" w:eastAsia="仿宋_GB2312" w:cs="Times New Roman"/>
          <w:kern w:val="0"/>
          <w:sz w:val="30"/>
          <w:szCs w:val="30"/>
          <w:highlight w:val="none"/>
          <w:lang w:val="en-US" w:eastAsia="zh-CN" w:bidi="ar-SA"/>
        </w:rPr>
        <w:t>全面保护修复热</w:t>
      </w:r>
      <w:r>
        <w:rPr>
          <w:rFonts w:hint="default" w:ascii="仿宋_GB2312" w:hAnsi="Times New Roman" w:eastAsia="仿宋_GB2312" w:cs="宋体"/>
          <w:kern w:val="0"/>
          <w:sz w:val="30"/>
          <w:szCs w:val="30"/>
          <w:highlight w:val="none"/>
          <w:lang w:val="en-US" w:eastAsia="zh-CN" w:bidi="ar-SA"/>
        </w:rPr>
        <w:t>带雨林生态系统，加强珍稀濒危野生动植物栖息地保护恢复，建设生物多样性保护和河流生态廊道。以红树林、珊瑚礁、海草床等典型生态系统为重点，加强综合整治和重要生境修复，强化自然岸线、滨海湿地保护和恢复。</w:t>
      </w:r>
    </w:p>
    <w:p w14:paraId="34189E50">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（二）面临的挑战</w:t>
      </w:r>
    </w:p>
    <w:p w14:paraId="60C9C6E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1</w:t>
      </w:r>
      <w:r>
        <w:rPr>
          <w:rFonts w:hint="default" w:ascii="Times New Roman" w:hAnsi="Times New Roman" w:eastAsia="仿宋_GB2312" w:cs="Times New Roman"/>
          <w:kern w:val="0"/>
          <w:sz w:val="30"/>
          <w:szCs w:val="30"/>
          <w:highlight w:val="none"/>
          <w:lang w:val="en-US" w:eastAsia="zh-CN" w:bidi="ar-SA"/>
        </w:rPr>
        <w:t>.生态</w:t>
      </w:r>
      <w:r>
        <w:rPr>
          <w:rFonts w:hint="eastAsia" w:eastAsia="仿宋_GB2312" w:cs="Times New Roman"/>
          <w:kern w:val="0"/>
          <w:sz w:val="30"/>
          <w:szCs w:val="30"/>
          <w:highlight w:val="none"/>
          <w:lang w:val="en-US" w:eastAsia="zh-CN" w:bidi="ar-SA"/>
        </w:rPr>
        <w:t>安全</w:t>
      </w:r>
      <w:r>
        <w:rPr>
          <w:rFonts w:hint="default" w:ascii="Times New Roman" w:hAnsi="Times New Roman" w:eastAsia="仿宋_GB2312" w:cs="Times New Roman"/>
          <w:kern w:val="0"/>
          <w:sz w:val="30"/>
          <w:szCs w:val="30"/>
          <w:highlight w:val="none"/>
          <w:lang w:val="en-US" w:eastAsia="zh-CN" w:bidi="ar-SA"/>
        </w:rPr>
        <w:t>压力大</w:t>
      </w:r>
    </w:p>
    <w:p w14:paraId="5183CF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琼海市地处</w:t>
      </w:r>
      <w:r>
        <w:rPr>
          <w:rFonts w:hint="default" w:eastAsia="仿宋_GB2312"/>
          <w:kern w:val="0"/>
          <w:sz w:val="30"/>
          <w:szCs w:val="30"/>
          <w:highlight w:val="none"/>
        </w:rPr>
        <w:t>热带季风及海洋湿润气候区</w:t>
      </w:r>
      <w:r>
        <w:rPr>
          <w:rFonts w:hint="default" w:ascii="Times New Roman" w:hAnsi="Times New Roman" w:eastAsia="仿宋_GB2312" w:cs="Times New Roman"/>
          <w:kern w:val="0"/>
          <w:sz w:val="30"/>
          <w:szCs w:val="30"/>
          <w:highlight w:val="none"/>
          <w:lang w:val="en-US" w:eastAsia="zh-CN" w:bidi="ar-SA"/>
        </w:rPr>
        <w:t>，光照充足，高温多雨</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林地保护面积大、任务重</w:t>
      </w:r>
      <w:r>
        <w:rPr>
          <w:rFonts w:hint="eastAsia" w:eastAsia="仿宋_GB2312" w:cs="Times New Roman"/>
          <w:kern w:val="0"/>
          <w:sz w:val="30"/>
          <w:szCs w:val="30"/>
          <w:highlight w:val="none"/>
          <w:lang w:val="en-US" w:eastAsia="zh-CN" w:bidi="ar-SA"/>
        </w:rPr>
        <w:t>。西南内陆</w:t>
      </w:r>
      <w:r>
        <w:rPr>
          <w:rFonts w:hint="default" w:ascii="Times New Roman" w:hAnsi="Times New Roman" w:eastAsia="仿宋_GB2312" w:cs="Times New Roman"/>
          <w:kern w:val="0"/>
          <w:sz w:val="30"/>
          <w:szCs w:val="30"/>
          <w:highlight w:val="none"/>
          <w:lang w:val="en-US" w:eastAsia="zh-CN" w:bidi="ar-SA"/>
        </w:rPr>
        <w:t>林区林农交错分布，对森林火灾和林业有害生物防控压力大</w:t>
      </w:r>
      <w:r>
        <w:rPr>
          <w:rFonts w:hint="eastAsia" w:eastAsia="仿宋_GB2312" w:cs="Times New Roman"/>
          <w:kern w:val="0"/>
          <w:sz w:val="30"/>
          <w:szCs w:val="30"/>
          <w:highlight w:val="none"/>
          <w:lang w:val="en-US" w:eastAsia="zh-CN" w:bidi="ar-SA"/>
        </w:rPr>
        <w:t>；海岸线林农非法占用防护林，顾眼前利益毁林开池，</w:t>
      </w:r>
      <w:r>
        <w:rPr>
          <w:rFonts w:hint="default" w:ascii="Times New Roman" w:hAnsi="Times New Roman" w:eastAsia="仿宋_GB2312" w:cs="Times New Roman"/>
          <w:kern w:val="0"/>
          <w:sz w:val="30"/>
          <w:szCs w:val="30"/>
          <w:highlight w:val="none"/>
          <w:lang w:val="en-US" w:eastAsia="zh-CN" w:bidi="ar-SA"/>
        </w:rPr>
        <w:t>林地保护难度大。如何保护好琼海市森林生态安全，是琼海市林业发展的一个重大挑战。</w:t>
      </w:r>
    </w:p>
    <w:p w14:paraId="6BBCCBE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2.管理水平和林业基础设施落后，森林资源管理难度大</w:t>
      </w:r>
    </w:p>
    <w:p w14:paraId="7ED50D8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林地科学管理是林地保护利用各项指标能否顺利完成的重要保障。目前琼海市的林业技术力量相对薄弱，林业基础设施</w:t>
      </w:r>
      <w:r>
        <w:rPr>
          <w:rFonts w:hint="eastAsia" w:eastAsia="仿宋_GB2312" w:cs="Times New Roman"/>
          <w:kern w:val="0"/>
          <w:sz w:val="30"/>
          <w:szCs w:val="30"/>
          <w:highlight w:val="none"/>
          <w:lang w:val="en-US" w:eastAsia="zh-CN" w:bidi="ar-SA"/>
        </w:rPr>
        <w:t>还不够完善，</w:t>
      </w:r>
      <w:r>
        <w:rPr>
          <w:rFonts w:hint="default" w:ascii="Times New Roman" w:hAnsi="Times New Roman" w:eastAsia="仿宋_GB2312" w:cs="Times New Roman"/>
          <w:kern w:val="0"/>
          <w:sz w:val="30"/>
          <w:szCs w:val="30"/>
          <w:highlight w:val="none"/>
          <w:lang w:val="en-US" w:eastAsia="zh-CN" w:bidi="ar-SA"/>
        </w:rPr>
        <w:t>林地管理方法比较简单，管理方式单一，管理队伍老化；林业科技实用型人才短缺，中高级以上专业技术人员偏少，林业工作者长时间在基层从事基础工作，业务上缺乏系统培训与理论学习，在指导林业技术和生产建设上力量比较薄弱，与林业发展的形势不相适应。</w:t>
      </w:r>
    </w:p>
    <w:p w14:paraId="162D9E3F">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577FF3A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3</w:t>
      </w:r>
      <w:r>
        <w:rPr>
          <w:rFonts w:hint="default" w:ascii="Times New Roman" w:hAnsi="Times New Roman" w:eastAsia="仿宋_GB2312" w:cs="Times New Roman"/>
          <w:kern w:val="0"/>
          <w:sz w:val="30"/>
          <w:szCs w:val="30"/>
          <w:highlight w:val="none"/>
          <w:lang w:val="en-US" w:eastAsia="zh-CN" w:bidi="ar-SA"/>
        </w:rPr>
        <w:t>.后疫情时代对林业发展存在新挑战</w:t>
      </w:r>
    </w:p>
    <w:p w14:paraId="6779AB46">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自2020年年初以来，新冠肺炎疫情肆虐全球，影响了人们的生活、生产，对经济发展产生了巨大影响，经济全球化遭遇逆流。当下疫情防控进入常态化，后疫情时代要统筹好疫情防控、社会经济发展和生态文明建设之间的关系，就要更加强调绿色创造发展的引领性，更加突出绿色发展对经济增长潜力的持续性，从而促就业、促消费、增加收入，实现绿色增长、绿色财富、绿色福祉的统一。林业在公共健康改善和疫情防控中发挥了重要作用，但面临着经济增长追求的生态资源与环境限度挑战、现行生产与经济模式的生态风险及其管控挑战、经济发展与生态可持续性挑战。林业需要积极应对后疫情时代的市场变革、拓展林业建设资金来源、降低疫情给林业企业带来的损失，防范森林康养旅游风险等挑战，从而不断推进林业可持续高质量发展。</w:t>
      </w:r>
    </w:p>
    <w:p w14:paraId="0963EAF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4.绿色发展面临考验</w:t>
      </w:r>
    </w:p>
    <w:p w14:paraId="51F05F32">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在国家实行能源双控，严守生态保护红线的大背景下，琼海市经济社会发展与资源环境保护的矛盾将越来越突出，</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绿水青山</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转化为</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金山银山</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的难度会越来越大，亟待解放思想、深化改革，探索创新生态价值实现的体制机制和有效模式，加快提升琼海市绿色振兴的能力，在高水平保护中实现高质量发展。</w:t>
      </w:r>
    </w:p>
    <w:p w14:paraId="42B34B89">
      <w:pPr>
        <w:rPr>
          <w:rFonts w:hint="eastAsia" w:ascii="仿宋_GB2312" w:hAnsi="Times New Roman" w:eastAsia="仿宋_GB2312" w:cs="Times New Roman"/>
          <w:kern w:val="0"/>
          <w:sz w:val="30"/>
          <w:szCs w:val="30"/>
          <w:highlight w:val="none"/>
          <w:lang w:val="en-US" w:eastAsia="zh-CN" w:bidi="ar-SA"/>
        </w:rPr>
      </w:pPr>
      <w:r>
        <w:rPr>
          <w:rFonts w:hint="eastAsia" w:ascii="仿宋_GB2312" w:hAnsi="Times New Roman" w:eastAsia="仿宋_GB2312" w:cs="Times New Roman"/>
          <w:kern w:val="0"/>
          <w:sz w:val="30"/>
          <w:szCs w:val="30"/>
          <w:highlight w:val="none"/>
          <w:lang w:val="en-US" w:eastAsia="zh-CN" w:bidi="ar-SA"/>
        </w:rPr>
        <w:br w:type="page"/>
      </w:r>
    </w:p>
    <w:p w14:paraId="7DAFFD48">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17" w:name="_Toc13912"/>
      <w:r>
        <w:rPr>
          <w:rFonts w:hint="eastAsia" w:ascii="黑体" w:hAnsi="黑体" w:eastAsia="黑体" w:cs="宋体"/>
          <w:kern w:val="0"/>
          <w:sz w:val="36"/>
          <w:szCs w:val="36"/>
          <w:highlight w:val="none"/>
          <w:lang w:val="en-US" w:eastAsia="zh-CN" w:bidi="ar-SA"/>
        </w:rPr>
        <w:t>第三章  指导思想与任务目标</w:t>
      </w:r>
      <w:bookmarkEnd w:id="17"/>
    </w:p>
    <w:p w14:paraId="7E12C502">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both"/>
        <w:textAlignment w:val="auto"/>
        <w:outlineLvl w:val="1"/>
        <w:rPr>
          <w:rFonts w:hint="default" w:ascii="Times New Roman" w:hAnsi="Times New Roman" w:eastAsia="楷体" w:cs="Times New Roman"/>
          <w:kern w:val="0"/>
          <w:sz w:val="32"/>
          <w:szCs w:val="32"/>
          <w:highlight w:val="none"/>
          <w:lang w:val="en-US" w:eastAsia="zh-CN" w:bidi="ar-SA"/>
        </w:rPr>
      </w:pPr>
      <w:bookmarkStart w:id="18" w:name="_Toc23663"/>
      <w:r>
        <w:rPr>
          <w:rFonts w:hint="default" w:ascii="Times New Roman" w:hAnsi="Times New Roman" w:eastAsia="楷体" w:cs="Times New Roman"/>
          <w:kern w:val="0"/>
          <w:sz w:val="32"/>
          <w:szCs w:val="32"/>
          <w:highlight w:val="none"/>
          <w:lang w:val="en-US" w:eastAsia="zh-CN" w:bidi="ar-SA"/>
        </w:rPr>
        <w:t>一</w:t>
      </w:r>
      <w:r>
        <w:rPr>
          <w:rFonts w:hint="default" w:ascii="Times New Roman" w:hAnsi="Times New Roman" w:eastAsia="楷体" w:cs="Times New Roman"/>
          <w:kern w:val="0"/>
          <w:sz w:val="32"/>
          <w:szCs w:val="32"/>
          <w:highlight w:val="none"/>
          <w:lang w:eastAsia="zh-CN" w:bidi="ar-SA"/>
        </w:rPr>
        <w:t>、</w:t>
      </w:r>
      <w:r>
        <w:rPr>
          <w:rFonts w:hint="default" w:ascii="Times New Roman" w:hAnsi="Times New Roman" w:eastAsia="楷体" w:cs="Times New Roman"/>
          <w:kern w:val="0"/>
          <w:sz w:val="32"/>
          <w:szCs w:val="32"/>
          <w:highlight w:val="none"/>
          <w:lang w:val="en-US" w:eastAsia="zh-CN" w:bidi="ar-SA"/>
        </w:rPr>
        <w:t>指导思想</w:t>
      </w:r>
      <w:bookmarkEnd w:id="18"/>
    </w:p>
    <w:p w14:paraId="7AF46C06">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以习近平新时代中国特色社会主义思想为指导，深入贯彻党</w:t>
      </w:r>
      <w:r>
        <w:rPr>
          <w:rFonts w:hint="eastAsia" w:ascii="Times New Roman" w:hAnsi="Times New Roman" w:eastAsia="仿宋_GB2312" w:cs="Times New Roman"/>
          <w:kern w:val="0"/>
          <w:sz w:val="30"/>
          <w:szCs w:val="30"/>
          <w:highlight w:val="none"/>
          <w:lang w:val="en-US" w:eastAsia="zh-CN" w:bidi="ar-SA"/>
        </w:rPr>
        <w:t>的二十大</w:t>
      </w:r>
      <w:r>
        <w:rPr>
          <w:rFonts w:hint="default" w:ascii="Times New Roman" w:hAnsi="Times New Roman" w:eastAsia="仿宋_GB2312" w:cs="Times New Roman"/>
          <w:kern w:val="0"/>
          <w:sz w:val="30"/>
          <w:szCs w:val="30"/>
          <w:highlight w:val="none"/>
          <w:lang w:val="en-US" w:eastAsia="zh-CN" w:bidi="ar-SA"/>
        </w:rPr>
        <w:t>精神，</w:t>
      </w:r>
      <w:r>
        <w:rPr>
          <w:rFonts w:hint="default" w:ascii="Times New Roman" w:hAnsi="Times New Roman" w:eastAsia="仿宋_GB2312"/>
          <w:kern w:val="0"/>
          <w:sz w:val="30"/>
          <w:szCs w:val="30"/>
          <w:highlight w:val="none"/>
        </w:rPr>
        <w:t>牢固树立和践行绿水青山就是金山银山的理念，站在人与自然和谐共生的高度谋划发展</w:t>
      </w:r>
      <w:r>
        <w:rPr>
          <w:rFonts w:hint="default" w:ascii="Times New Roman" w:hAnsi="Times New Roman" w:eastAsia="仿宋_GB2312" w:cs="Times New Roman"/>
          <w:kern w:val="0"/>
          <w:sz w:val="30"/>
          <w:szCs w:val="30"/>
          <w:highlight w:val="none"/>
          <w:lang w:val="en-US" w:eastAsia="zh-CN" w:bidi="ar-SA"/>
        </w:rPr>
        <w:t>，坚持节约资源和保护生态环境基本国策，坚持</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严格保护、积极发展、科学经营、持续利用</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方针，在国土空间规划的统领下，牢牢把握林地保护利用的目标定位</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明确林业发展空间，严守生态红线，以优化结构、强化调控、科学管理为手段，以创新林地管理体制机制和科技为动力，统筹协调林地保护与利用的关系，引导全社会严格保护林地资源、节约集约利用林地、优化资源配置，提高保护利用效率，充分发挥森林的生态、经济和社会效益。为海南发挥</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全国最好的生态环境、全国最大的经济特区、全国唯一的国际旅游岛</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三大优势提供保障，为践行</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将海南建设成为全省人民的幸福家园、中华民族的四季花园、中外游客的度假天堂</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三大愿景奠定基础。为打造海南省</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全面深化改革开放试验区、国家生态文明试验区、国际旅游消费中心、国家重大战略服务保障区</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名片作出更大贡献</w:t>
      </w:r>
      <w:r>
        <w:rPr>
          <w:rFonts w:hint="eastAsia" w:ascii="Times New Roman" w:hAnsi="Times New Roman" w:eastAsia="仿宋_GB2312" w:cs="Times New Roman"/>
          <w:kern w:val="0"/>
          <w:sz w:val="30"/>
          <w:szCs w:val="30"/>
          <w:highlight w:val="none"/>
          <w:lang w:val="en-US" w:eastAsia="zh-CN" w:bidi="ar-SA"/>
        </w:rPr>
        <w:t>。</w:t>
      </w:r>
    </w:p>
    <w:p w14:paraId="052E4D67">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both"/>
        <w:textAlignment w:val="auto"/>
        <w:outlineLvl w:val="1"/>
        <w:rPr>
          <w:rFonts w:hint="default" w:ascii="Times New Roman" w:hAnsi="Times New Roman" w:eastAsia="楷体" w:cs="Times New Roman"/>
          <w:kern w:val="0"/>
          <w:sz w:val="32"/>
          <w:szCs w:val="32"/>
          <w:highlight w:val="none"/>
          <w:lang w:val="en-US" w:eastAsia="zh-CN" w:bidi="ar-SA"/>
        </w:rPr>
      </w:pPr>
      <w:bookmarkStart w:id="19" w:name="_Toc2614"/>
      <w:r>
        <w:rPr>
          <w:rFonts w:hint="default" w:ascii="Times New Roman" w:hAnsi="Times New Roman" w:eastAsia="楷体" w:cs="Times New Roman"/>
          <w:kern w:val="0"/>
          <w:sz w:val="32"/>
          <w:szCs w:val="32"/>
          <w:highlight w:val="none"/>
          <w:lang w:val="en-US" w:eastAsia="zh-CN" w:bidi="ar-SA"/>
        </w:rPr>
        <w:t>二</w:t>
      </w:r>
      <w:r>
        <w:rPr>
          <w:rFonts w:hint="default" w:ascii="Times New Roman" w:hAnsi="Times New Roman" w:eastAsia="楷体" w:cs="Times New Roman"/>
          <w:kern w:val="0"/>
          <w:sz w:val="32"/>
          <w:szCs w:val="32"/>
          <w:highlight w:val="none"/>
          <w:lang w:eastAsia="zh-CN" w:bidi="ar-SA"/>
        </w:rPr>
        <w:t>、</w:t>
      </w:r>
      <w:r>
        <w:rPr>
          <w:rFonts w:hint="default" w:ascii="Times New Roman" w:hAnsi="Times New Roman" w:eastAsia="楷体" w:cs="Times New Roman"/>
          <w:kern w:val="0"/>
          <w:sz w:val="32"/>
          <w:szCs w:val="32"/>
          <w:highlight w:val="none"/>
          <w:lang w:val="en-US" w:eastAsia="zh-CN" w:bidi="ar-SA"/>
        </w:rPr>
        <w:t>基本原则</w:t>
      </w:r>
      <w:bookmarkEnd w:id="19"/>
    </w:p>
    <w:p w14:paraId="00BE699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both"/>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（一）</w:t>
      </w:r>
      <w:r>
        <w:rPr>
          <w:rFonts w:hint="default" w:ascii="Times New Roman" w:hAnsi="Times New Roman" w:eastAsia="仿宋_GB2312" w:cs="Times New Roman"/>
          <w:kern w:val="0"/>
          <w:sz w:val="30"/>
          <w:szCs w:val="30"/>
          <w:highlight w:val="none"/>
          <w:lang w:val="en-US" w:eastAsia="zh-CN" w:bidi="ar-SA"/>
        </w:rPr>
        <w:t>依法依规、严格保护</w:t>
      </w:r>
    </w:p>
    <w:p w14:paraId="1F08E99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严格遵循《中华人民共和国森林法》《中华人民共和国森林法实施条例》《</w:t>
      </w:r>
      <w:r>
        <w:rPr>
          <w:rFonts w:hint="default" w:eastAsia="仿宋_GB2312"/>
          <w:kern w:val="0"/>
          <w:sz w:val="30"/>
          <w:szCs w:val="30"/>
          <w:highlight w:val="none"/>
        </w:rPr>
        <w:t>海南经济特区林地管理条例</w:t>
      </w:r>
      <w:r>
        <w:rPr>
          <w:rFonts w:hint="default" w:ascii="Times New Roman" w:hAnsi="Times New Roman" w:eastAsia="仿宋_GB2312" w:cs="Times New Roman"/>
          <w:kern w:val="0"/>
          <w:sz w:val="30"/>
          <w:szCs w:val="30"/>
          <w:highlight w:val="none"/>
          <w:lang w:val="en-US" w:eastAsia="zh-CN" w:bidi="ar-SA"/>
        </w:rPr>
        <w:t>》等相关法律法规的要求，按照现代林业发展和生态文明建设的战略要求，严格保护现有林业资源，积极拓展绿色生态空间，对生态区位重要和生态脆弱区域林地进行重点保护。</w:t>
      </w:r>
    </w:p>
    <w:p w14:paraId="27353C5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both"/>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（二）</w:t>
      </w:r>
      <w:r>
        <w:rPr>
          <w:rFonts w:hint="default" w:ascii="Times New Roman" w:hAnsi="Times New Roman" w:eastAsia="仿宋_GB2312" w:cs="Times New Roman"/>
          <w:kern w:val="0"/>
          <w:sz w:val="30"/>
          <w:szCs w:val="30"/>
          <w:highlight w:val="none"/>
          <w:lang w:val="en-US" w:eastAsia="zh-CN" w:bidi="ar-SA"/>
        </w:rPr>
        <w:t>上下联动，统筹协调</w:t>
      </w:r>
    </w:p>
    <w:p w14:paraId="73E9CF9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林地保护利用规划属于国土空间规划中的专项规划，国土空间规划对其具有指导约束作用，林地保护利用规划不得违背国土空间规划强制性内容。同时要强化与三条控制线划定、自然保护地勘界等工作相互协同。充分听取各地各部门的意见，了解全市各地生态建设、经济社会发展对林地的需求，做好与相关规划的衔接。</w:t>
      </w:r>
    </w:p>
    <w:p w14:paraId="223AFBB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both"/>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（三）</w:t>
      </w:r>
      <w:r>
        <w:rPr>
          <w:rFonts w:hint="default" w:ascii="Times New Roman" w:hAnsi="Times New Roman" w:eastAsia="仿宋_GB2312" w:cs="Times New Roman"/>
          <w:kern w:val="0"/>
          <w:sz w:val="30"/>
          <w:szCs w:val="30"/>
          <w:highlight w:val="none"/>
          <w:lang w:val="en-US" w:eastAsia="zh-CN" w:bidi="ar-SA"/>
        </w:rPr>
        <w:t>合理布局，科学管理</w:t>
      </w:r>
    </w:p>
    <w:p w14:paraId="5383183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both"/>
        <w:textAlignment w:val="auto"/>
        <w:rPr>
          <w:rFonts w:hint="default" w:ascii="Times New Roman" w:hAnsi="Times New Roman" w:cs="Times New Roman"/>
          <w:highlight w:val="none"/>
        </w:rPr>
      </w:pPr>
      <w:r>
        <w:rPr>
          <w:rFonts w:hint="default" w:ascii="Times New Roman" w:hAnsi="Times New Roman" w:eastAsia="仿宋_GB2312" w:cs="Times New Roman"/>
          <w:kern w:val="0"/>
          <w:sz w:val="30"/>
          <w:szCs w:val="30"/>
          <w:highlight w:val="none"/>
          <w:lang w:val="en-US" w:eastAsia="zh-CN" w:bidi="ar-SA"/>
        </w:rPr>
        <w:t>优化林地保护利用结构和空间布局，统筹生态、生产、生活使用林地需求，明确区域的林地保护利用方向和重点，合理科学配置林地资源。立足林业生态建设和林地实际需求，开展专题研究，多方调研，研究确定可行的规划指标，明确各项目标和任务，坚持科学决策，注重多方参与，沟通协调，提高编制的民主化与智慧化水平。</w:t>
      </w:r>
    </w:p>
    <w:p w14:paraId="3F8BC3C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both"/>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（四）</w:t>
      </w:r>
      <w:r>
        <w:rPr>
          <w:rFonts w:hint="default" w:ascii="Times New Roman" w:hAnsi="Times New Roman" w:eastAsia="仿宋_GB2312" w:cs="Times New Roman"/>
          <w:kern w:val="0"/>
          <w:sz w:val="30"/>
          <w:szCs w:val="30"/>
          <w:highlight w:val="none"/>
          <w:lang w:val="en-US" w:eastAsia="zh-CN" w:bidi="ar-SA"/>
        </w:rPr>
        <w:t>注重操作，提高效率</w:t>
      </w:r>
    </w:p>
    <w:p w14:paraId="6096182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明确规划约束性指标和刚性管控要求，相关指标必须是易获取、可考核、可分解、可汇总、可传导，可比性强。同时健全规划实施传导机制，确保规划能用、管用、好用。转变林业发展和林地利用方式，科学使用林地，充分发挥林地生产力，促进林地利用从粗放低效向集约高效转变。</w:t>
      </w:r>
    </w:p>
    <w:p w14:paraId="5601DE6C">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20" w:name="_Toc3948"/>
      <w:r>
        <w:rPr>
          <w:rFonts w:hint="default" w:ascii="Times New Roman" w:hAnsi="Times New Roman" w:eastAsia="楷体" w:cs="Times New Roman"/>
          <w:kern w:val="0"/>
          <w:sz w:val="32"/>
          <w:szCs w:val="32"/>
          <w:highlight w:val="none"/>
          <w:lang w:eastAsia="zh-CN" w:bidi="ar-SA"/>
        </w:rPr>
        <w:t>三、</w:t>
      </w:r>
      <w:r>
        <w:rPr>
          <w:rFonts w:hint="default" w:ascii="Times New Roman" w:hAnsi="Times New Roman" w:eastAsia="楷体" w:cs="Times New Roman"/>
          <w:kern w:val="0"/>
          <w:sz w:val="32"/>
          <w:szCs w:val="32"/>
          <w:highlight w:val="none"/>
          <w:lang w:val="en-US" w:eastAsia="zh-CN" w:bidi="ar-SA"/>
        </w:rPr>
        <w:t>编制依据</w:t>
      </w:r>
      <w:bookmarkEnd w:id="20"/>
    </w:p>
    <w:p w14:paraId="3F1184B7">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（一）</w:t>
      </w:r>
      <w:r>
        <w:rPr>
          <w:rFonts w:hint="default" w:ascii="Times New Roman" w:hAnsi="Times New Roman" w:eastAsia="仿宋_GB2312" w:cs="Times New Roman"/>
          <w:kern w:val="0"/>
          <w:sz w:val="30"/>
          <w:szCs w:val="30"/>
          <w:highlight w:val="none"/>
          <w:lang w:val="en-US" w:eastAsia="zh-CN" w:bidi="ar-SA"/>
        </w:rPr>
        <w:t>法律法规</w:t>
      </w:r>
    </w:p>
    <w:p w14:paraId="7DE864DE">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1.《中华人民共和国土地管理法》（2019年8月26日修正）；</w:t>
      </w:r>
    </w:p>
    <w:p w14:paraId="7801C04F">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2.《中华人民共和国森林法》（2019年12月28日修订）；</w:t>
      </w:r>
    </w:p>
    <w:p w14:paraId="306A1D1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3.《中华人民共和国森林法实施条例》（2018年3月19日修正）；</w:t>
      </w:r>
    </w:p>
    <w:p w14:paraId="2C862044">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4.《海南经济特区林地管理条例》（2018年4月3日修正）；</w:t>
      </w:r>
    </w:p>
    <w:p w14:paraId="0D73219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5.《海南省森林保护管理条例》（2022年5月31日修正）；</w:t>
      </w:r>
    </w:p>
    <w:p w14:paraId="52B588B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6.《海南省沿海防护林建设与保护规定》（2022年5月31日修正）。</w:t>
      </w:r>
    </w:p>
    <w:p w14:paraId="4125424F">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（二）</w:t>
      </w:r>
      <w:r>
        <w:rPr>
          <w:rFonts w:hint="default" w:ascii="Times New Roman" w:hAnsi="Times New Roman" w:eastAsia="仿宋_GB2312" w:cs="Times New Roman"/>
          <w:kern w:val="0"/>
          <w:sz w:val="30"/>
          <w:szCs w:val="30"/>
          <w:highlight w:val="none"/>
          <w:lang w:val="en-US" w:eastAsia="zh-CN" w:bidi="ar-SA"/>
        </w:rPr>
        <w:t>政策文件</w:t>
      </w:r>
    </w:p>
    <w:p w14:paraId="6E30D0B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1.习近平总书记关于</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生态文明建设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和</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建设美丽中国</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的系列重要论述文件；</w:t>
      </w:r>
    </w:p>
    <w:p w14:paraId="5FDCBF2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2.习近平总书记在中央财经领导小组第十二次会议就森林生态安全问题的重要讲话明确提出了森林关系国家生态安全的重要论断；</w:t>
      </w:r>
    </w:p>
    <w:p w14:paraId="5D35F70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3.《中共中央国务院关于建立国土空间规划体系并监督实施的若干意见》（中发〔2019〕18号）；</w:t>
      </w:r>
    </w:p>
    <w:p w14:paraId="238A9A5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4.中共中央办公厅《关于在国土空间规划中统筹划定落实三条控制线的指导意见》（厅字〔2019〕48号）；</w:t>
      </w:r>
    </w:p>
    <w:p w14:paraId="25B77C08">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5</w:t>
      </w:r>
      <w:r>
        <w:rPr>
          <w:rFonts w:hint="default" w:ascii="Times New Roman" w:hAnsi="Times New Roman" w:eastAsia="仿宋_GB2312" w:cs="Times New Roman"/>
          <w:kern w:val="0"/>
          <w:sz w:val="30"/>
          <w:szCs w:val="30"/>
          <w:highlight w:val="none"/>
          <w:lang w:val="en-US" w:eastAsia="zh-CN" w:bidi="ar-SA"/>
        </w:rPr>
        <w:t>.国家林业和草原局关于印发《新一轮林地保护利用规划编制工作方案》和《新一轮林地保护利用规划编制技术方案》的通知（林资发〔2020〕95号）；</w:t>
      </w:r>
    </w:p>
    <w:p w14:paraId="69F78909">
      <w:pPr>
        <w:pStyle w:val="2"/>
        <w:ind w:firstLine="600" w:firstLineChars="200"/>
        <w:rPr>
          <w:rFonts w:hint="default"/>
          <w:lang w:val="en-US" w:eastAsia="zh-CN"/>
        </w:rPr>
      </w:pPr>
      <w:r>
        <w:rPr>
          <w:rFonts w:hint="eastAsia" w:eastAsia="仿宋_GB2312" w:cs="Times New Roman"/>
          <w:kern w:val="0"/>
          <w:sz w:val="30"/>
          <w:szCs w:val="30"/>
          <w:highlight w:val="none"/>
          <w:lang w:val="en-US" w:eastAsia="zh-CN" w:bidi="ar-SA"/>
        </w:rPr>
        <w:t>6.《自然资源部 国家林业和草原局关于以第三次全国国土调查成果为基础明确林地管理边界规范林地管理的通知》</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自然</w:t>
      </w:r>
      <w:r>
        <w:rPr>
          <w:rFonts w:hint="default" w:ascii="Times New Roman" w:hAnsi="Times New Roman" w:eastAsia="仿宋_GB2312" w:cs="Times New Roman"/>
          <w:kern w:val="0"/>
          <w:sz w:val="30"/>
          <w:szCs w:val="30"/>
          <w:highlight w:val="none"/>
          <w:lang w:val="en-US" w:eastAsia="zh-CN" w:bidi="ar-SA"/>
        </w:rPr>
        <w:t>资发〔202</w:t>
      </w:r>
      <w:r>
        <w:rPr>
          <w:rFonts w:hint="eastAsia" w:eastAsia="仿宋_GB2312" w:cs="Times New Roman"/>
          <w:kern w:val="0"/>
          <w:sz w:val="30"/>
          <w:szCs w:val="30"/>
          <w:highlight w:val="none"/>
          <w:lang w:val="en-US" w:eastAsia="zh-CN" w:bidi="ar-SA"/>
        </w:rPr>
        <w:t>3</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53</w:t>
      </w:r>
      <w:r>
        <w:rPr>
          <w:rFonts w:hint="default" w:ascii="Times New Roman" w:hAnsi="Times New Roman" w:eastAsia="仿宋_GB2312" w:cs="Times New Roman"/>
          <w:kern w:val="0"/>
          <w:sz w:val="30"/>
          <w:szCs w:val="30"/>
          <w:highlight w:val="none"/>
          <w:lang w:val="en-US" w:eastAsia="zh-CN" w:bidi="ar-SA"/>
        </w:rPr>
        <w:t>号）</w:t>
      </w:r>
      <w:r>
        <w:rPr>
          <w:rFonts w:hint="eastAsia" w:eastAsia="仿宋_GB2312" w:cs="Times New Roman"/>
          <w:kern w:val="0"/>
          <w:sz w:val="30"/>
          <w:szCs w:val="30"/>
          <w:highlight w:val="none"/>
          <w:lang w:val="en-US" w:eastAsia="zh-CN" w:bidi="ar-SA"/>
        </w:rPr>
        <w:t>；</w:t>
      </w:r>
    </w:p>
    <w:p w14:paraId="18C4D10B">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7</w:t>
      </w:r>
      <w:r>
        <w:rPr>
          <w:rFonts w:hint="default" w:ascii="Times New Roman" w:hAnsi="Times New Roman" w:eastAsia="仿宋_GB2312" w:cs="Times New Roman"/>
          <w:kern w:val="0"/>
          <w:sz w:val="30"/>
          <w:szCs w:val="30"/>
          <w:highlight w:val="none"/>
          <w:lang w:val="en-US" w:eastAsia="zh-CN" w:bidi="ar-SA"/>
        </w:rPr>
        <w:t>.《国家林业局关于进一步改革和完善集体林采伐管理的意见》（林资发〔2014〕61号）；</w:t>
      </w:r>
    </w:p>
    <w:p w14:paraId="0C75BC56">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8</w:t>
      </w:r>
      <w:r>
        <w:rPr>
          <w:rFonts w:hint="default" w:ascii="Times New Roman" w:hAnsi="Times New Roman" w:eastAsia="仿宋_GB2312" w:cs="Times New Roman"/>
          <w:kern w:val="0"/>
          <w:sz w:val="30"/>
          <w:szCs w:val="30"/>
          <w:highlight w:val="none"/>
          <w:lang w:val="en-US" w:eastAsia="zh-CN" w:bidi="ar-SA"/>
        </w:rPr>
        <w:t>.《林业局财政部关于印发〈国家级公益林区划界定办法〉和〈国家级公益林管理办法〉的通知》（林资发〔2017〕34号）；</w:t>
      </w:r>
    </w:p>
    <w:p w14:paraId="2D04E40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9</w:t>
      </w:r>
      <w:r>
        <w:rPr>
          <w:rFonts w:hint="default" w:ascii="Times New Roman" w:hAnsi="Times New Roman" w:eastAsia="仿宋_GB2312" w:cs="Times New Roman"/>
          <w:kern w:val="0"/>
          <w:sz w:val="30"/>
          <w:szCs w:val="30"/>
          <w:highlight w:val="none"/>
          <w:lang w:val="en-US" w:eastAsia="zh-CN" w:bidi="ar-SA"/>
        </w:rPr>
        <w:t>.《中共海南省委关于进一步加强生态文明建设谱写美丽中国海南篇章的决定》（2017年）；</w:t>
      </w:r>
    </w:p>
    <w:p w14:paraId="1509F2D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10</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中共海南省委</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关于提升治理体系和治理能力现代化水平加快推进海南自由贸易港建设的决定》</w:t>
      </w:r>
      <w:r>
        <w:rPr>
          <w:rFonts w:hint="eastAsia" w:eastAsia="仿宋_GB2312" w:cs="Times New Roman"/>
          <w:kern w:val="0"/>
          <w:sz w:val="30"/>
          <w:szCs w:val="30"/>
          <w:highlight w:val="none"/>
          <w:lang w:val="en-US" w:eastAsia="zh-CN" w:bidi="ar-SA"/>
        </w:rPr>
        <w:t>（2019年）；</w:t>
      </w:r>
    </w:p>
    <w:p w14:paraId="638D8BD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11</w:t>
      </w:r>
      <w:r>
        <w:rPr>
          <w:rFonts w:hint="default" w:ascii="Times New Roman" w:hAnsi="Times New Roman" w:eastAsia="仿宋_GB2312" w:cs="Times New Roman"/>
          <w:kern w:val="0"/>
          <w:sz w:val="30"/>
          <w:szCs w:val="30"/>
          <w:highlight w:val="none"/>
          <w:lang w:val="en-US" w:eastAsia="zh-CN" w:bidi="ar-SA"/>
        </w:rPr>
        <w:t>.《海南省人民政府办公厅关于印发〈海南省</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十四五</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生态环境保护规划〉的通知》（琼府办〔2021〕36号）；</w:t>
      </w:r>
    </w:p>
    <w:p w14:paraId="6EDDEE62">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2</w:t>
      </w:r>
      <w:r>
        <w:rPr>
          <w:rFonts w:hint="default" w:ascii="Times New Roman" w:hAnsi="Times New Roman" w:eastAsia="仿宋_GB2312" w:cs="Times New Roman"/>
          <w:kern w:val="0"/>
          <w:sz w:val="30"/>
          <w:szCs w:val="30"/>
          <w:highlight w:val="none"/>
          <w:lang w:val="en-US" w:eastAsia="zh-CN" w:bidi="ar-SA"/>
        </w:rPr>
        <w:t>.《海南省占用征收林地审核审批管理办法》（2014年7月1日施行）；</w:t>
      </w:r>
    </w:p>
    <w:p w14:paraId="31378BAE">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3</w:t>
      </w:r>
      <w:r>
        <w:rPr>
          <w:rFonts w:hint="default" w:ascii="Times New Roman" w:hAnsi="Times New Roman" w:eastAsia="仿宋_GB2312" w:cs="Times New Roman"/>
          <w:kern w:val="0"/>
          <w:sz w:val="30"/>
          <w:szCs w:val="30"/>
          <w:highlight w:val="none"/>
          <w:lang w:val="en-US" w:eastAsia="zh-CN" w:bidi="ar-SA"/>
        </w:rPr>
        <w:t>.《海南省生态保护红线管理规定》（</w:t>
      </w:r>
      <w:r>
        <w:rPr>
          <w:rFonts w:hint="eastAsia" w:eastAsia="仿宋_GB2312" w:cs="Times New Roman"/>
          <w:kern w:val="0"/>
          <w:sz w:val="30"/>
          <w:szCs w:val="30"/>
          <w:highlight w:val="none"/>
          <w:lang w:val="en-US" w:eastAsia="zh-CN" w:bidi="ar-SA"/>
        </w:rPr>
        <w:t>2022年修改</w:t>
      </w:r>
      <w:r>
        <w:rPr>
          <w:rFonts w:hint="default" w:ascii="Times New Roman" w:hAnsi="Times New Roman" w:eastAsia="仿宋_GB2312" w:cs="Times New Roman"/>
          <w:kern w:val="0"/>
          <w:sz w:val="30"/>
          <w:szCs w:val="30"/>
          <w:highlight w:val="none"/>
          <w:lang w:val="en-US" w:eastAsia="zh-CN" w:bidi="ar-SA"/>
        </w:rPr>
        <w:t>）；</w:t>
      </w:r>
    </w:p>
    <w:p w14:paraId="1736429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4</w:t>
      </w:r>
      <w:r>
        <w:rPr>
          <w:rFonts w:hint="default" w:ascii="Times New Roman" w:hAnsi="Times New Roman" w:eastAsia="仿宋_GB2312" w:cs="Times New Roman"/>
          <w:kern w:val="0"/>
          <w:sz w:val="30"/>
          <w:szCs w:val="30"/>
          <w:highlight w:val="none"/>
          <w:lang w:val="en-US" w:eastAsia="zh-CN" w:bidi="ar-SA"/>
        </w:rPr>
        <w:t>.《海南省林业局关于印发〈海南省重点公益林管理办法〉的通知》（琼林〔2006〕215号）；</w:t>
      </w:r>
    </w:p>
    <w:p w14:paraId="16EDC24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5</w:t>
      </w:r>
      <w:r>
        <w:rPr>
          <w:rFonts w:hint="default" w:ascii="Times New Roman" w:hAnsi="Times New Roman" w:eastAsia="仿宋_GB2312" w:cs="Times New Roman"/>
          <w:kern w:val="0"/>
          <w:sz w:val="30"/>
          <w:szCs w:val="30"/>
          <w:highlight w:val="none"/>
          <w:lang w:val="en-US" w:eastAsia="zh-CN" w:bidi="ar-SA"/>
        </w:rPr>
        <w:t>.《海南省人民政府办公厅关于印发海南省林地占补平衡管理办法的通知》（琼府办〔2017〕194号）；</w:t>
      </w:r>
    </w:p>
    <w:p w14:paraId="2AAC28DF">
      <w:pPr>
        <w:pStyle w:val="2"/>
        <w:ind w:firstLine="600" w:firstLineChars="200"/>
        <w:rPr>
          <w:rFonts w:hint="default" w:eastAsia="仿宋_GB2312" w:cs="Times New Roman"/>
          <w:color w:val="auto"/>
          <w:kern w:val="0"/>
          <w:sz w:val="30"/>
          <w:szCs w:val="30"/>
          <w:highlight w:val="none"/>
          <w:lang w:val="en-US" w:eastAsia="zh-CN"/>
        </w:rPr>
      </w:pPr>
      <w:r>
        <w:rPr>
          <w:rFonts w:hint="default" w:eastAsia="仿宋_GB2312" w:cs="Times New Roman"/>
          <w:color w:val="auto"/>
          <w:kern w:val="0"/>
          <w:sz w:val="30"/>
          <w:szCs w:val="30"/>
          <w:highlight w:val="none"/>
          <w:lang w:val="en-US" w:eastAsia="zh-CN"/>
        </w:rPr>
        <w:t>1</w:t>
      </w:r>
      <w:r>
        <w:rPr>
          <w:rFonts w:hint="eastAsia" w:eastAsia="仿宋_GB2312" w:cs="Times New Roman"/>
          <w:color w:val="auto"/>
          <w:kern w:val="0"/>
          <w:sz w:val="30"/>
          <w:szCs w:val="30"/>
          <w:highlight w:val="none"/>
          <w:lang w:val="en-US" w:eastAsia="zh-CN"/>
        </w:rPr>
        <w:t>6</w:t>
      </w:r>
      <w:r>
        <w:rPr>
          <w:rFonts w:hint="default" w:eastAsia="仿宋_GB2312" w:cs="Times New Roman"/>
          <w:color w:val="auto"/>
          <w:kern w:val="0"/>
          <w:sz w:val="30"/>
          <w:szCs w:val="30"/>
          <w:highlight w:val="none"/>
          <w:lang w:val="en-US" w:eastAsia="zh-CN"/>
        </w:rPr>
        <w:t>.《海南省林业局关于印发&lt;海南省林地保护利用规划编制工作方案&gt;的通知》（琼林</w:t>
      </w:r>
      <w:r>
        <w:rPr>
          <w:rFonts w:hint="default" w:ascii="Times New Roman" w:hAnsi="Times New Roman" w:eastAsia="仿宋_GB2312" w:cs="Times New Roman"/>
          <w:color w:val="auto"/>
          <w:kern w:val="0"/>
          <w:sz w:val="30"/>
          <w:szCs w:val="30"/>
          <w:highlight w:val="none"/>
          <w:lang w:val="en-US" w:eastAsia="zh-CN" w:bidi="ar-SA"/>
        </w:rPr>
        <w:t>〔2006〕215号</w:t>
      </w:r>
      <w:r>
        <w:rPr>
          <w:rFonts w:hint="default" w:eastAsia="仿宋_GB2312" w:cs="Times New Roman"/>
          <w:color w:val="auto"/>
          <w:kern w:val="0"/>
          <w:sz w:val="30"/>
          <w:szCs w:val="30"/>
          <w:highlight w:val="none"/>
          <w:lang w:val="en-US" w:eastAsia="zh-CN"/>
        </w:rPr>
        <w:t>）</w:t>
      </w:r>
      <w:r>
        <w:rPr>
          <w:rFonts w:hint="eastAsia" w:eastAsia="仿宋_GB2312" w:cs="Times New Roman"/>
          <w:color w:val="auto"/>
          <w:kern w:val="0"/>
          <w:sz w:val="30"/>
          <w:szCs w:val="30"/>
          <w:highlight w:val="none"/>
          <w:lang w:val="en-US" w:eastAsia="zh-CN"/>
        </w:rPr>
        <w:t>；</w:t>
      </w:r>
    </w:p>
    <w:p w14:paraId="62D16C4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7</w:t>
      </w:r>
      <w:r>
        <w:rPr>
          <w:rFonts w:hint="default" w:ascii="Times New Roman" w:hAnsi="Times New Roman" w:eastAsia="仿宋_GB2312" w:cs="Times New Roman"/>
          <w:kern w:val="0"/>
          <w:sz w:val="30"/>
          <w:szCs w:val="30"/>
          <w:highlight w:val="none"/>
          <w:lang w:val="en-US" w:eastAsia="zh-CN" w:bidi="ar-SA"/>
        </w:rPr>
        <w:t>.省委、省政府及省林业局出台的关于生态建设、林地管理、森林保护等方面的相关文件，以及自然资源、发改委等部门加强土地管理、促进产业结构调整的政策性文件。</w:t>
      </w:r>
    </w:p>
    <w:p w14:paraId="7A6BADC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（三）</w:t>
      </w:r>
      <w:r>
        <w:rPr>
          <w:rFonts w:hint="default" w:ascii="Times New Roman" w:hAnsi="Times New Roman" w:eastAsia="仿宋_GB2312" w:cs="Times New Roman"/>
          <w:kern w:val="0"/>
          <w:sz w:val="30"/>
          <w:szCs w:val="30"/>
          <w:highlight w:val="none"/>
          <w:lang w:val="en-US" w:eastAsia="zh-CN" w:bidi="ar-SA"/>
        </w:rPr>
        <w:t>技术规范</w:t>
      </w:r>
    </w:p>
    <w:p w14:paraId="61B0407E">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第三次全国国土调查技术规程</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（TD/T</w:t>
      </w:r>
      <w:r>
        <w:rPr>
          <w:rFonts w:hint="eastAsia" w:eastAsia="仿宋_GB2312" w:cs="Times New Roman"/>
          <w:kern w:val="0"/>
          <w:sz w:val="30"/>
          <w:szCs w:val="30"/>
          <w:highlight w:val="none"/>
          <w:lang w:val="en-US" w:eastAsia="zh-CN" w:bidi="ar-SA"/>
        </w:rPr>
        <w:t xml:space="preserve"> </w:t>
      </w:r>
      <w:r>
        <w:rPr>
          <w:rFonts w:hint="default" w:ascii="Times New Roman" w:hAnsi="Times New Roman" w:eastAsia="仿宋_GB2312" w:cs="Times New Roman"/>
          <w:kern w:val="0"/>
          <w:sz w:val="30"/>
          <w:szCs w:val="30"/>
          <w:highlight w:val="none"/>
          <w:lang w:val="en-US" w:eastAsia="zh-CN" w:bidi="ar-SA"/>
        </w:rPr>
        <w:t>1055-2019）；</w:t>
      </w:r>
    </w:p>
    <w:p w14:paraId="7A253BD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林地变更调查技术规程</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（LY/T2893-2017）；</w:t>
      </w:r>
    </w:p>
    <w:p w14:paraId="50D8400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3.《国土空间调查、规划、用途管制用地用海分类指南（试行）》（自然资办发〔2020〕51号）；</w:t>
      </w:r>
    </w:p>
    <w:p w14:paraId="2AB14431">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4.《土地利用现状分类》（GB/T</w:t>
      </w:r>
      <w:r>
        <w:rPr>
          <w:rFonts w:hint="eastAsia" w:eastAsia="仿宋_GB2312" w:cs="Times New Roman"/>
          <w:kern w:val="0"/>
          <w:sz w:val="30"/>
          <w:szCs w:val="30"/>
          <w:highlight w:val="none"/>
          <w:lang w:val="en-US" w:eastAsia="zh-CN" w:bidi="ar-SA"/>
        </w:rPr>
        <w:t xml:space="preserve"> </w:t>
      </w:r>
      <w:r>
        <w:rPr>
          <w:rFonts w:hint="default" w:ascii="Times New Roman" w:hAnsi="Times New Roman" w:eastAsia="仿宋_GB2312" w:cs="Times New Roman"/>
          <w:kern w:val="0"/>
          <w:sz w:val="30"/>
          <w:szCs w:val="30"/>
          <w:highlight w:val="none"/>
          <w:lang w:val="en-US" w:eastAsia="zh-CN" w:bidi="ar-SA"/>
        </w:rPr>
        <w:t>21010-2017</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w:t>
      </w:r>
    </w:p>
    <w:p w14:paraId="5F18B5D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5.</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森林资源连续清查技术规程</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（GB/T</w:t>
      </w:r>
      <w:r>
        <w:rPr>
          <w:rFonts w:hint="eastAsia" w:eastAsia="仿宋_GB2312" w:cs="Times New Roman"/>
          <w:kern w:val="0"/>
          <w:sz w:val="30"/>
          <w:szCs w:val="30"/>
          <w:highlight w:val="none"/>
          <w:lang w:val="en-US" w:eastAsia="zh-CN" w:bidi="ar-SA"/>
        </w:rPr>
        <w:t xml:space="preserve"> </w:t>
      </w:r>
      <w:r>
        <w:rPr>
          <w:rFonts w:hint="default" w:ascii="Times New Roman" w:hAnsi="Times New Roman" w:eastAsia="仿宋_GB2312" w:cs="Times New Roman"/>
          <w:kern w:val="0"/>
          <w:sz w:val="30"/>
          <w:szCs w:val="30"/>
          <w:highlight w:val="none"/>
          <w:lang w:val="en-US" w:eastAsia="zh-CN" w:bidi="ar-SA"/>
        </w:rPr>
        <w:t>38590-2020）；</w:t>
      </w:r>
    </w:p>
    <w:p w14:paraId="7527C0B4">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6.《森林资源规划设计调查技术规程》（GB/T</w:t>
      </w:r>
      <w:r>
        <w:rPr>
          <w:rFonts w:hint="eastAsia" w:eastAsia="仿宋_GB2312" w:cs="Times New Roman"/>
          <w:kern w:val="0"/>
          <w:sz w:val="30"/>
          <w:szCs w:val="30"/>
          <w:highlight w:val="none"/>
          <w:lang w:val="en-US" w:eastAsia="zh-CN" w:bidi="ar-SA"/>
        </w:rPr>
        <w:t xml:space="preserve"> </w:t>
      </w:r>
      <w:r>
        <w:rPr>
          <w:rFonts w:hint="default" w:ascii="Times New Roman" w:hAnsi="Times New Roman" w:eastAsia="仿宋_GB2312" w:cs="Times New Roman"/>
          <w:kern w:val="0"/>
          <w:sz w:val="30"/>
          <w:szCs w:val="30"/>
          <w:highlight w:val="none"/>
          <w:lang w:val="en-US" w:eastAsia="zh-CN" w:bidi="ar-SA"/>
        </w:rPr>
        <w:t>26424-2010）；</w:t>
      </w:r>
    </w:p>
    <w:p w14:paraId="277E6AD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7.</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国家级公益林区划界定办法</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（林资发〔2020〕34号）；</w:t>
      </w:r>
    </w:p>
    <w:p w14:paraId="74278C2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8.《森林资源规划设计调查主要技术规定》（林资发〔2003〕61号）；</w:t>
      </w:r>
    </w:p>
    <w:p w14:paraId="3B7974A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9</w:t>
      </w:r>
      <w:r>
        <w:rPr>
          <w:rFonts w:hint="default" w:ascii="Times New Roman" w:hAnsi="Times New Roman" w:eastAsia="仿宋_GB2312" w:cs="Times New Roman"/>
          <w:kern w:val="0"/>
          <w:sz w:val="30"/>
          <w:szCs w:val="30"/>
          <w:highlight w:val="none"/>
          <w:lang w:val="en-US" w:eastAsia="zh-CN" w:bidi="ar-SA"/>
        </w:rPr>
        <w:t>.《建设项目使用林地审核审批管理规范》（林资规〔2021〕5号）；</w:t>
      </w:r>
    </w:p>
    <w:p w14:paraId="52BF483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10</w:t>
      </w:r>
      <w:r>
        <w:rPr>
          <w:rFonts w:hint="default" w:ascii="Times New Roman" w:hAnsi="Times New Roman" w:eastAsia="仿宋_GB2312" w:cs="Times New Roman"/>
          <w:kern w:val="0"/>
          <w:sz w:val="30"/>
          <w:szCs w:val="30"/>
          <w:highlight w:val="none"/>
          <w:lang w:val="en-US" w:eastAsia="zh-CN" w:bidi="ar-SA"/>
        </w:rPr>
        <w:t>.《新一轮林地保护利用规划编制工作方案》（2020年）；</w:t>
      </w:r>
    </w:p>
    <w:p w14:paraId="3900287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1</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林草湿数据与第三次全国国土调查数据对接融合工作方案</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（2021年）；</w:t>
      </w:r>
    </w:p>
    <w:p w14:paraId="648F3251">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2</w:t>
      </w:r>
      <w:r>
        <w:rPr>
          <w:rFonts w:hint="default" w:ascii="Times New Roman" w:hAnsi="Times New Roman" w:eastAsia="仿宋_GB2312" w:cs="Times New Roman"/>
          <w:kern w:val="0"/>
          <w:sz w:val="30"/>
          <w:szCs w:val="30"/>
          <w:highlight w:val="none"/>
          <w:lang w:val="en-US" w:eastAsia="zh-CN" w:bidi="ar-SA"/>
        </w:rPr>
        <w:t>.《市级国土空间总体规划编制指南（试行）》（自然资办发〔2020〕46号）；</w:t>
      </w:r>
    </w:p>
    <w:p w14:paraId="787F26F3">
      <w:pPr>
        <w:pStyle w:val="2"/>
        <w:spacing w:line="560" w:lineRule="exact"/>
        <w:ind w:firstLine="600" w:firstLineChars="200"/>
        <w:rPr>
          <w:rFonts w:hint="default"/>
          <w:lang w:val="en-US" w:eastAsia="zh-CN"/>
        </w:rPr>
      </w:pPr>
      <w:r>
        <w:rPr>
          <w:rFonts w:hint="eastAsia" w:eastAsia="仿宋_GB2312" w:cs="Times New Roman"/>
          <w:kern w:val="0"/>
          <w:sz w:val="30"/>
          <w:szCs w:val="30"/>
          <w:highlight w:val="none"/>
          <w:lang w:val="en-US" w:eastAsia="zh-CN" w:bidi="ar-SA"/>
        </w:rPr>
        <w:t>13.</w:t>
      </w:r>
      <w:r>
        <w:rPr>
          <w:rFonts w:ascii="Times New Roman" w:hAnsi="Times New Roman" w:eastAsia="仿宋_GB2312" w:cs="Times New Roman"/>
          <w:i w:val="0"/>
          <w:iCs w:val="0"/>
          <w:caps w:val="0"/>
          <w:color w:val="auto"/>
          <w:spacing w:val="0"/>
          <w:kern w:val="0"/>
          <w:sz w:val="30"/>
          <w:szCs w:val="30"/>
          <w:highlight w:val="none"/>
          <w:shd w:val="clear" w:fill="auto"/>
        </w:rPr>
        <w:t>《海南省新一轮林地保护利用规划编制操作细则（试行）》</w:t>
      </w:r>
      <w:r>
        <w:rPr>
          <w:rFonts w:hint="default" w:ascii="Times New Roman" w:hAnsi="Times New Roman" w:eastAsia="仿宋_GB2312" w:cs="Times New Roman"/>
          <w:color w:val="auto"/>
          <w:kern w:val="0"/>
          <w:sz w:val="30"/>
          <w:szCs w:val="30"/>
          <w:highlight w:val="none"/>
          <w:lang w:val="en-US" w:eastAsia="zh-CN" w:bidi="ar-SA"/>
        </w:rPr>
        <w:t>；</w:t>
      </w:r>
    </w:p>
    <w:p w14:paraId="35DC094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w:t>
      </w:r>
      <w:r>
        <w:rPr>
          <w:rFonts w:hint="eastAsia" w:eastAsia="仿宋_GB2312" w:cs="Times New Roman"/>
          <w:kern w:val="0"/>
          <w:sz w:val="30"/>
          <w:szCs w:val="30"/>
          <w:highlight w:val="none"/>
          <w:lang w:val="en-US" w:eastAsia="zh-CN" w:bidi="ar-SA"/>
        </w:rPr>
        <w:t>4</w:t>
      </w:r>
      <w:r>
        <w:rPr>
          <w:rFonts w:hint="default" w:ascii="Times New Roman" w:hAnsi="Times New Roman" w:eastAsia="仿宋_GB2312" w:cs="Times New Roman"/>
          <w:kern w:val="0"/>
          <w:sz w:val="30"/>
          <w:szCs w:val="30"/>
          <w:highlight w:val="none"/>
          <w:lang w:val="en-US" w:eastAsia="zh-CN" w:bidi="ar-SA"/>
        </w:rPr>
        <w:t>.海南省森林资源连续清查、森林资源规划设计调查、公益林区划界定等技术标准资料。</w:t>
      </w:r>
    </w:p>
    <w:p w14:paraId="56AAC597">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9"/>
        <w:rPr>
          <w:rFonts w:hint="default" w:ascii="Times New Roman" w:hAnsi="Times New Roman" w:eastAsia="仿宋_GB2312" w:cs="Times New Roman"/>
          <w:kern w:val="0"/>
          <w:sz w:val="30"/>
          <w:szCs w:val="30"/>
          <w:highlight w:val="none"/>
          <w:lang w:eastAsia="zh-CN" w:bidi="ar-SA"/>
        </w:rPr>
      </w:pPr>
      <w:r>
        <w:rPr>
          <w:rFonts w:hint="default" w:ascii="Times New Roman" w:hAnsi="Times New Roman" w:eastAsia="仿宋_GB2312" w:cs="Times New Roman"/>
          <w:kern w:val="0"/>
          <w:sz w:val="30"/>
          <w:szCs w:val="30"/>
          <w:highlight w:val="none"/>
          <w:lang w:eastAsia="zh-CN" w:bidi="ar-SA"/>
        </w:rPr>
        <w:br w:type="page"/>
      </w:r>
    </w:p>
    <w:p w14:paraId="3E4A844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（四）</w:t>
      </w:r>
      <w:r>
        <w:rPr>
          <w:rFonts w:hint="default" w:ascii="Times New Roman" w:hAnsi="Times New Roman" w:eastAsia="仿宋_GB2312" w:cs="Times New Roman"/>
          <w:kern w:val="0"/>
          <w:sz w:val="30"/>
          <w:szCs w:val="30"/>
          <w:highlight w:val="none"/>
          <w:lang w:val="en-US" w:eastAsia="zh-CN" w:bidi="ar-SA"/>
        </w:rPr>
        <w:t>相关规划</w:t>
      </w:r>
    </w:p>
    <w:p w14:paraId="09690EB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1.《海南省森林经营规划（2016-2050年）》；</w:t>
      </w:r>
    </w:p>
    <w:p w14:paraId="7E0D3922">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2.《海南省主体功能区规划》（2010-2020年）；</w:t>
      </w:r>
    </w:p>
    <w:p w14:paraId="5C8EBED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3</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海南省土地资源利用和保护</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十四五</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规划（2021-2025年）</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w:t>
      </w:r>
    </w:p>
    <w:p w14:paraId="7DEB558B">
      <w:pPr>
        <w:pStyle w:val="2"/>
        <w:ind w:firstLine="600" w:firstLineChars="200"/>
        <w:rPr>
          <w:rFonts w:hint="eastAsia" w:eastAsia="仿宋_GB2312" w:cs="Times New Roman"/>
          <w:color w:val="auto"/>
          <w:kern w:val="0"/>
          <w:sz w:val="30"/>
          <w:szCs w:val="30"/>
          <w:highlight w:val="none"/>
          <w:lang w:val="en-US" w:eastAsia="zh-CN"/>
        </w:rPr>
      </w:pPr>
      <w:r>
        <w:rPr>
          <w:rFonts w:hint="eastAsia" w:eastAsia="仿宋_GB2312" w:cs="Times New Roman"/>
          <w:kern w:val="0"/>
          <w:sz w:val="30"/>
          <w:szCs w:val="30"/>
          <w:highlight w:val="none"/>
          <w:lang w:val="en-US" w:eastAsia="zh-CN" w:bidi="ar-SA"/>
        </w:rPr>
        <w:t>4</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color w:val="auto"/>
          <w:kern w:val="0"/>
          <w:sz w:val="30"/>
          <w:szCs w:val="30"/>
          <w:highlight w:val="none"/>
        </w:rPr>
        <w:t>《海南省油茶产业高质量发展中长期规划（2021-2035年）》</w:t>
      </w:r>
      <w:r>
        <w:rPr>
          <w:rFonts w:hint="eastAsia" w:eastAsia="仿宋_GB2312" w:cs="Times New Roman"/>
          <w:color w:val="auto"/>
          <w:kern w:val="0"/>
          <w:sz w:val="30"/>
          <w:szCs w:val="30"/>
          <w:highlight w:val="none"/>
          <w:lang w:eastAsia="zh-CN"/>
        </w:rPr>
        <w:t>；</w:t>
      </w:r>
    </w:p>
    <w:p w14:paraId="6FF6530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5.</w:t>
      </w:r>
      <w:r>
        <w:rPr>
          <w:rFonts w:hint="default" w:ascii="Times New Roman" w:hAnsi="Times New Roman" w:eastAsia="仿宋_GB2312" w:cs="Times New Roman"/>
          <w:kern w:val="0"/>
          <w:sz w:val="30"/>
          <w:szCs w:val="30"/>
          <w:highlight w:val="none"/>
          <w:lang w:val="en-US" w:eastAsia="zh-CN" w:bidi="ar-SA"/>
        </w:rPr>
        <w:t>《海南省林火阻隔系统建设规划（2023-2035年）》</w:t>
      </w:r>
      <w:r>
        <w:rPr>
          <w:rFonts w:hint="eastAsia" w:eastAsia="仿宋_GB2312" w:cs="Times New Roman"/>
          <w:kern w:val="0"/>
          <w:sz w:val="30"/>
          <w:szCs w:val="30"/>
          <w:highlight w:val="none"/>
          <w:lang w:val="en-US" w:eastAsia="zh-CN" w:bidi="ar-SA"/>
        </w:rPr>
        <w:t>；</w:t>
      </w:r>
    </w:p>
    <w:p w14:paraId="1FC6C1E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olor w:val="auto"/>
          <w:kern w:val="0"/>
          <w:sz w:val="30"/>
          <w:szCs w:val="30"/>
          <w:highlight w:val="none"/>
          <w:lang w:val="en-US" w:eastAsia="zh-CN"/>
        </w:rPr>
        <w:t>6</w:t>
      </w:r>
      <w:r>
        <w:rPr>
          <w:rFonts w:hint="eastAsia" w:ascii="Times New Roman" w:hAnsi="Times New Roman" w:eastAsia="仿宋_GB2312" w:cs="Times New Roman"/>
          <w:color w:val="auto"/>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《琼海市国民经济和社会发展第十四个五年规划和   2035年远景目标纲要》；</w:t>
      </w:r>
    </w:p>
    <w:p w14:paraId="62918A06">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7</w:t>
      </w:r>
      <w:r>
        <w:rPr>
          <w:rFonts w:hint="default" w:ascii="Times New Roman" w:hAnsi="Times New Roman" w:eastAsia="仿宋_GB2312" w:cs="Times New Roman"/>
          <w:kern w:val="0"/>
          <w:sz w:val="30"/>
          <w:szCs w:val="30"/>
          <w:highlight w:val="none"/>
          <w:lang w:val="en-US" w:eastAsia="zh-CN" w:bidi="ar-SA"/>
        </w:rPr>
        <w:t>.《琼海市总体规划（空间类2015-2030）》；</w:t>
      </w:r>
    </w:p>
    <w:p w14:paraId="47A6BCF2">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8</w:t>
      </w:r>
      <w:r>
        <w:rPr>
          <w:rFonts w:hint="default" w:ascii="Times New Roman" w:hAnsi="Times New Roman" w:eastAsia="仿宋_GB2312" w:cs="Times New Roman"/>
          <w:kern w:val="0"/>
          <w:sz w:val="30"/>
          <w:szCs w:val="30"/>
          <w:highlight w:val="none"/>
          <w:lang w:val="en-US" w:eastAsia="zh-CN" w:bidi="ar-SA"/>
        </w:rPr>
        <w:t>.《琼海市森林经营规划（2018-2050年）》；</w:t>
      </w:r>
    </w:p>
    <w:p w14:paraId="7C2E507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9</w:t>
      </w:r>
      <w:r>
        <w:rPr>
          <w:rFonts w:hint="default" w:ascii="Times New Roman" w:hAnsi="Times New Roman" w:eastAsia="仿宋_GB2312" w:cs="Times New Roman"/>
          <w:kern w:val="0"/>
          <w:sz w:val="30"/>
          <w:szCs w:val="30"/>
          <w:highlight w:val="none"/>
          <w:lang w:val="en-US" w:eastAsia="zh-CN" w:bidi="ar-SA"/>
        </w:rPr>
        <w:t>.琼海市自然资源、交通、水利等涉及土地利用的各类规划。</w:t>
      </w:r>
    </w:p>
    <w:p w14:paraId="17B7416B">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21" w:name="_Toc18453"/>
      <w:r>
        <w:rPr>
          <w:rFonts w:hint="default" w:ascii="Times New Roman" w:hAnsi="Times New Roman" w:eastAsia="楷体" w:cs="Times New Roman"/>
          <w:kern w:val="0"/>
          <w:sz w:val="32"/>
          <w:szCs w:val="32"/>
          <w:highlight w:val="none"/>
          <w:lang w:eastAsia="zh-CN" w:bidi="ar-SA"/>
        </w:rPr>
        <w:t>四、</w:t>
      </w:r>
      <w:r>
        <w:rPr>
          <w:rFonts w:hint="default" w:ascii="Times New Roman" w:hAnsi="Times New Roman" w:eastAsia="楷体" w:cs="Times New Roman"/>
          <w:kern w:val="0"/>
          <w:sz w:val="32"/>
          <w:szCs w:val="32"/>
          <w:highlight w:val="none"/>
          <w:lang w:val="en-US" w:eastAsia="zh-CN" w:bidi="ar-SA"/>
        </w:rPr>
        <w:t>规划范围</w:t>
      </w:r>
      <w:bookmarkEnd w:id="21"/>
    </w:p>
    <w:p w14:paraId="6987FD9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本规划的规划范围为琼海市行政区内的所有林地和依法可用于林业发展的其他土地</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包括嘉积镇、博鳌镇、中原镇、潭门镇、长坡镇、万泉镇、塔洋镇、大路镇、阳江镇、龙江镇、会山镇、石壁镇12个镇</w:t>
      </w:r>
      <w:r>
        <w:rPr>
          <w:rFonts w:hint="eastAsia" w:eastAsia="仿宋_GB2312" w:cs="Times New Roman"/>
          <w:kern w:val="0"/>
          <w:sz w:val="30"/>
          <w:szCs w:val="30"/>
          <w:highlight w:val="none"/>
          <w:lang w:val="en-US" w:eastAsia="zh-CN" w:bidi="ar-SA"/>
        </w:rPr>
        <w:t>（</w:t>
      </w:r>
      <w:r>
        <w:rPr>
          <w:rFonts w:hint="eastAsia" w:ascii="Times New Roman" w:hAnsi="Times New Roman" w:eastAsia="仿宋_GB2312" w:cs="Times New Roman"/>
          <w:kern w:val="0"/>
          <w:sz w:val="30"/>
          <w:szCs w:val="30"/>
          <w:highlight w:val="none"/>
          <w:lang w:val="en-US" w:eastAsia="zh-CN" w:bidi="ar-SA"/>
        </w:rPr>
        <w:t>含</w:t>
      </w:r>
      <w:r>
        <w:rPr>
          <w:rFonts w:hint="default" w:ascii="Times New Roman" w:hAnsi="Times New Roman" w:eastAsia="仿宋_GB2312" w:cs="Times New Roman"/>
          <w:kern w:val="0"/>
          <w:sz w:val="30"/>
          <w:szCs w:val="30"/>
          <w:highlight w:val="none"/>
          <w:lang w:val="en-US" w:eastAsia="zh-CN" w:bidi="ar-SA"/>
        </w:rPr>
        <w:fldChar w:fldCharType="begin"/>
      </w:r>
      <w:r>
        <w:rPr>
          <w:rFonts w:hint="default" w:ascii="Times New Roman" w:hAnsi="Times New Roman" w:eastAsia="仿宋_GB2312" w:cs="Times New Roman"/>
          <w:kern w:val="0"/>
          <w:sz w:val="30"/>
          <w:szCs w:val="30"/>
          <w:highlight w:val="none"/>
          <w:lang w:val="en-US" w:eastAsia="zh-CN" w:bidi="ar-SA"/>
        </w:rPr>
        <w:instrText xml:space="preserve"> HYPERLINK "https://baike.baidu.com/item/%E5%BD%AC%E6%9D%91%E5%B1%B1%E5%8D%8E%E4%BE%A8%E5%86%9C%E5%9C%BA/265295?fromModule=lemma_inlink" \t "https://baike.baidu.com/item/%E7%90%BC%E6%B5%B7%E5%B8%82/_blank" </w:instrText>
      </w:r>
      <w:r>
        <w:rPr>
          <w:rFonts w:hint="default" w:ascii="Times New Roman" w:hAnsi="Times New Roman" w:eastAsia="仿宋_GB2312" w:cs="Times New Roman"/>
          <w:kern w:val="0"/>
          <w:sz w:val="30"/>
          <w:szCs w:val="30"/>
          <w:highlight w:val="none"/>
          <w:lang w:val="en-US" w:eastAsia="zh-CN" w:bidi="ar-SA"/>
        </w:rPr>
        <w:fldChar w:fldCharType="separate"/>
      </w:r>
      <w:r>
        <w:rPr>
          <w:rFonts w:hint="default" w:ascii="Times New Roman" w:hAnsi="Times New Roman" w:eastAsia="仿宋_GB2312" w:cs="Times New Roman"/>
          <w:kern w:val="0"/>
          <w:sz w:val="30"/>
          <w:szCs w:val="30"/>
          <w:highlight w:val="none"/>
          <w:lang w:val="en-US" w:eastAsia="zh-CN" w:bidi="ar-SA"/>
        </w:rPr>
        <w:t>彬村山华侨农场</w:t>
      </w:r>
      <w:r>
        <w:rPr>
          <w:rFonts w:hint="default" w:ascii="Times New Roman" w:hAnsi="Times New Roman" w:eastAsia="仿宋_GB2312" w:cs="Times New Roman"/>
          <w:kern w:val="0"/>
          <w:sz w:val="30"/>
          <w:szCs w:val="30"/>
          <w:highlight w:val="none"/>
          <w:lang w:val="en-US" w:eastAsia="zh-CN" w:bidi="ar-SA"/>
        </w:rPr>
        <w:fldChar w:fldCharType="end"/>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w:t>
      </w:r>
    </w:p>
    <w:p w14:paraId="766D0A54">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22" w:name="_Toc10601"/>
      <w:r>
        <w:rPr>
          <w:rFonts w:hint="default" w:ascii="Times New Roman" w:hAnsi="Times New Roman" w:eastAsia="楷体" w:cs="Times New Roman"/>
          <w:kern w:val="0"/>
          <w:sz w:val="32"/>
          <w:szCs w:val="32"/>
          <w:highlight w:val="none"/>
          <w:lang w:val="en-US" w:eastAsia="zh-CN" w:bidi="ar-SA"/>
        </w:rPr>
        <w:t>五、规划期限</w:t>
      </w:r>
      <w:bookmarkEnd w:id="22"/>
    </w:p>
    <w:p w14:paraId="36F24B41">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本规划的规划期限为2021-2035年。2020年为规划基准年，2021-2025年为规划近期，2026-2035年为规划中远期。</w:t>
      </w:r>
      <w:bookmarkStart w:id="23" w:name="_Toc30452"/>
    </w:p>
    <w:p w14:paraId="386E63E8">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08B36F4C">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jc w:val="left"/>
        <w:textAlignment w:val="auto"/>
        <w:outlineLvl w:val="1"/>
        <w:rPr>
          <w:rFonts w:hint="eastAsia" w:ascii="楷体" w:hAnsi="楷体" w:eastAsia="楷体" w:cs="宋体"/>
          <w:kern w:val="0"/>
          <w:sz w:val="32"/>
          <w:szCs w:val="32"/>
          <w:highlight w:val="none"/>
          <w:lang w:val="en-US" w:eastAsia="zh-CN" w:bidi="ar-SA"/>
        </w:rPr>
      </w:pPr>
      <w:r>
        <w:rPr>
          <w:rFonts w:hint="eastAsia" w:ascii="楷体" w:hAnsi="楷体" w:eastAsia="楷体" w:cs="宋体"/>
          <w:kern w:val="0"/>
          <w:sz w:val="32"/>
          <w:szCs w:val="32"/>
          <w:highlight w:val="none"/>
          <w:lang w:val="en-US" w:eastAsia="zh-CN" w:bidi="ar-SA"/>
        </w:rPr>
        <w:t>六、规划基数</w:t>
      </w:r>
      <w:bookmarkEnd w:id="23"/>
    </w:p>
    <w:p w14:paraId="6DC98AB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依据</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国土三调</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结果，以最新的</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林草湿资源图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年度变更成果数据为基础数据，落实规划基数。</w:t>
      </w:r>
    </w:p>
    <w:p w14:paraId="6669A652">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eastAsia="zh-CN" w:bidi="ar-SA"/>
        </w:rPr>
      </w:pPr>
      <w:bookmarkStart w:id="24" w:name="_Toc16241"/>
      <w:r>
        <w:rPr>
          <w:rFonts w:hint="default" w:ascii="楷体" w:hAnsi="楷体" w:eastAsia="楷体" w:cs="宋体"/>
          <w:kern w:val="0"/>
          <w:sz w:val="32"/>
          <w:szCs w:val="32"/>
          <w:highlight w:val="none"/>
          <w:lang w:eastAsia="zh-CN" w:bidi="ar-SA"/>
        </w:rPr>
        <w:t>七</w:t>
      </w:r>
      <w:r>
        <w:rPr>
          <w:rFonts w:hint="eastAsia" w:ascii="楷体" w:hAnsi="楷体" w:eastAsia="楷体" w:cs="宋体"/>
          <w:kern w:val="0"/>
          <w:sz w:val="32"/>
          <w:szCs w:val="32"/>
          <w:highlight w:val="none"/>
          <w:lang w:val="en-US" w:eastAsia="zh-CN" w:bidi="ar-SA"/>
        </w:rPr>
        <w:t>、</w:t>
      </w:r>
      <w:r>
        <w:rPr>
          <w:rFonts w:hint="default" w:ascii="楷体" w:hAnsi="楷体" w:eastAsia="楷体" w:cs="宋体"/>
          <w:kern w:val="0"/>
          <w:sz w:val="32"/>
          <w:szCs w:val="32"/>
          <w:highlight w:val="none"/>
          <w:lang w:eastAsia="zh-CN" w:bidi="ar-SA"/>
        </w:rPr>
        <w:t>规划目标及任务</w:t>
      </w:r>
      <w:bookmarkEnd w:id="24"/>
    </w:p>
    <w:p w14:paraId="3EDCE6F5">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总体目标</w:t>
      </w:r>
    </w:p>
    <w:p w14:paraId="0C1C4B79">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leftChars="0" w:firstLine="600" w:firstLineChars="200"/>
        <w:jc w:val="both"/>
        <w:textAlignment w:val="auto"/>
        <w:outlineLvl w:val="9"/>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kern w:val="0"/>
          <w:sz w:val="30"/>
          <w:szCs w:val="30"/>
          <w:highlight w:val="none"/>
        </w:rPr>
        <w:t>根据生态文明建设和现代林业建设的要求，优化林地资源配置，提高林地利用效益，健全基于森林资源管理</w:t>
      </w:r>
      <w:r>
        <w:rPr>
          <w:rFonts w:hint="eastAsia" w:ascii="Times New Roman" w:hAnsi="Times New Roman" w:eastAsia="仿宋_GB2312"/>
          <w:kern w:val="0"/>
          <w:sz w:val="30"/>
          <w:szCs w:val="30"/>
          <w:highlight w:val="none"/>
          <w:lang w:eastAsia="zh-CN"/>
        </w:rPr>
        <w:t>“</w:t>
      </w:r>
      <w:r>
        <w:rPr>
          <w:rFonts w:hint="default" w:ascii="Times New Roman" w:hAnsi="Times New Roman" w:eastAsia="仿宋_GB2312"/>
          <w:kern w:val="0"/>
          <w:sz w:val="30"/>
          <w:szCs w:val="30"/>
          <w:highlight w:val="none"/>
        </w:rPr>
        <w:t>一张图</w:t>
      </w:r>
      <w:r>
        <w:rPr>
          <w:rFonts w:hint="eastAsia" w:ascii="Times New Roman" w:hAnsi="Times New Roman" w:eastAsia="仿宋_GB2312"/>
          <w:kern w:val="0"/>
          <w:sz w:val="30"/>
          <w:szCs w:val="30"/>
          <w:highlight w:val="none"/>
          <w:lang w:eastAsia="zh-CN"/>
        </w:rPr>
        <w:t>”</w:t>
      </w:r>
      <w:r>
        <w:rPr>
          <w:rFonts w:hint="default" w:ascii="Times New Roman" w:hAnsi="Times New Roman" w:eastAsia="仿宋_GB2312"/>
          <w:kern w:val="0"/>
          <w:sz w:val="30"/>
          <w:szCs w:val="30"/>
          <w:highlight w:val="none"/>
        </w:rPr>
        <w:t>年度更新的林地保护利用规划监测评价体系；完善林地用途管制制度，提升林地定额管理水平，优化林地空间治理体系，开展规划监测评价，基本形成与经济社会高质量发展要求相适应的林地保护利用空间格局。</w:t>
      </w:r>
      <w:r>
        <w:rPr>
          <w:rFonts w:hint="default" w:ascii="Times New Roman" w:hAnsi="Times New Roman" w:eastAsia="仿宋_GB2312" w:cs="Times New Roman"/>
          <w:kern w:val="0"/>
          <w:sz w:val="30"/>
          <w:szCs w:val="30"/>
          <w:highlight w:val="none"/>
          <w:lang w:val="en-US" w:eastAsia="zh-CN" w:bidi="ar-SA"/>
        </w:rPr>
        <w:t>全面对照《中共琼海市委关于制定琼海市国民经济和社会发展第十四个五年规划和二〇三五年远景目标的建议》，奋力开启新时代琼海高质量发展新征程。建设国家生态文明战略示范区，建立以国家公园为主体的自然保护地管理体系。保持和展现小镇特色和</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美丽乡村</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的田园风光，建设国家级休闲外交基地，成为海南省对外展示生态文明建设成果的靓丽名片。严格落实生态文明建设责任制，完善以绿色低碳发展为导向的评价考核体系。</w:t>
      </w:r>
    </w:p>
    <w:p w14:paraId="6D57E186">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342D1049">
      <w:pPr>
        <w:pStyle w:val="4"/>
        <w:keepNext w:val="0"/>
        <w:keepLines w:val="0"/>
        <w:pageBreakBefore w:val="0"/>
        <w:widowControl w:val="0"/>
        <w:numPr>
          <w:ilvl w:val="0"/>
          <w:numId w:val="3"/>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具体指标</w:t>
      </w:r>
    </w:p>
    <w:p w14:paraId="4194F5C3">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表5 琼海市林地保护利用具体规划指标</w:t>
      </w:r>
    </w:p>
    <w:tbl>
      <w:tblPr>
        <w:tblStyle w:val="10"/>
        <w:tblW w:w="5126" w:type="pct"/>
        <w:tblInd w:w="-21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237"/>
        <w:gridCol w:w="1365"/>
        <w:gridCol w:w="1971"/>
        <w:gridCol w:w="2199"/>
        <w:gridCol w:w="966"/>
      </w:tblGrid>
      <w:tr w14:paraId="159D3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541C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highlight w:val="none"/>
                <w:u w:val="none"/>
                <w:lang w:val="en-US" w:eastAsia="zh-CN" w:bidi="ar"/>
              </w:rPr>
              <w:t>指标</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344EF">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highlight w:val="none"/>
                <w:u w:val="none"/>
                <w:lang w:val="en-US" w:eastAsia="zh-CN" w:bidi="ar"/>
              </w:rPr>
              <w:t>规划基数</w:t>
            </w:r>
          </w:p>
          <w:p w14:paraId="69C56109">
            <w:pPr>
              <w:keepNext w:val="0"/>
              <w:keepLines w:val="0"/>
              <w:widowControl/>
              <w:suppressLineNumbers w:val="0"/>
              <w:jc w:val="center"/>
              <w:textAlignment w:val="center"/>
              <w:rPr>
                <w:rFonts w:hint="default"/>
                <w:highlight w:val="none"/>
                <w:lang w:val="en-US" w:eastAsia="zh-CN"/>
              </w:rPr>
            </w:pPr>
            <w:r>
              <w:rPr>
                <w:rFonts w:hint="eastAsia" w:ascii="Times New Roman" w:hAnsi="Times New Roman" w:eastAsia="仿宋_GB2312" w:cs="Times New Roman"/>
                <w:b/>
                <w:bCs/>
                <w:i w:val="0"/>
                <w:iCs w:val="0"/>
                <w:color w:val="000000"/>
                <w:kern w:val="0"/>
                <w:sz w:val="24"/>
                <w:szCs w:val="24"/>
                <w:highlight w:val="none"/>
                <w:u w:val="none"/>
                <w:lang w:val="en-US" w:eastAsia="zh-CN" w:bidi="ar"/>
              </w:rPr>
              <w:t>（2020年）</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A868C">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highlight w:val="none"/>
                <w:u w:val="none"/>
                <w:lang w:val="en-US" w:eastAsia="zh-CN" w:bidi="ar"/>
              </w:rPr>
              <w:t>规划近期目标值</w:t>
            </w:r>
          </w:p>
          <w:p w14:paraId="100F1980">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highlight w:val="none"/>
                <w:u w:val="none"/>
                <w:lang w:val="en-US" w:eastAsia="zh-CN" w:bidi="ar"/>
              </w:rPr>
              <w:t>（2021-2025年）</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8751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highlight w:val="none"/>
                <w:u w:val="none"/>
                <w:lang w:val="en-US" w:eastAsia="zh-CN" w:bidi="ar"/>
              </w:rPr>
              <w:t>规划中远期目标值</w:t>
            </w:r>
          </w:p>
          <w:p w14:paraId="55D47FBD">
            <w:pPr>
              <w:keepNext w:val="0"/>
              <w:keepLines w:val="0"/>
              <w:widowControl/>
              <w:suppressLineNumbers w:val="0"/>
              <w:jc w:val="center"/>
              <w:textAlignment w:val="center"/>
              <w:rPr>
                <w:rFonts w:hint="default" w:ascii="Times New Roman" w:hAnsi="Times New Roman" w:eastAsia="仿宋_GB2312" w:cs="Times New Roman"/>
                <w:b/>
                <w:bCs/>
                <w:i w:val="0"/>
                <w:iCs w:val="0"/>
                <w:color w:val="000000"/>
                <w:kern w:val="0"/>
                <w:sz w:val="24"/>
                <w:szCs w:val="24"/>
                <w:highlight w:val="none"/>
                <w:u w:val="none"/>
                <w:lang w:val="en-US" w:eastAsia="zh-CN" w:bidi="ar"/>
              </w:rPr>
            </w:pPr>
            <w:r>
              <w:rPr>
                <w:rFonts w:hint="default" w:ascii="Times New Roman" w:hAnsi="Times New Roman" w:eastAsia="仿宋_GB2312" w:cs="Times New Roman"/>
                <w:b/>
                <w:bCs/>
                <w:i w:val="0"/>
                <w:iCs w:val="0"/>
                <w:color w:val="000000"/>
                <w:kern w:val="0"/>
                <w:sz w:val="24"/>
                <w:szCs w:val="24"/>
                <w:highlight w:val="none"/>
                <w:u w:val="none"/>
                <w:lang w:val="en-US" w:eastAsia="zh-CN" w:bidi="ar"/>
              </w:rPr>
              <w:t>（2026-2035年）</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3F11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指标</w:t>
            </w:r>
          </w:p>
          <w:p w14:paraId="06F7CF04">
            <w:pPr>
              <w:keepNext w:val="0"/>
              <w:keepLines w:val="0"/>
              <w:widowControl/>
              <w:suppressLineNumbers w:val="0"/>
              <w:jc w:val="center"/>
              <w:textAlignment w:val="center"/>
              <w:rPr>
                <w:rFonts w:hint="eastAsia" w:ascii="仿宋_GB2312" w:hAnsi="宋体" w:eastAsia="仿宋_GB2312" w:cs="仿宋_GB2312"/>
                <w:b/>
                <w:bCs/>
                <w:i w:val="0"/>
                <w:iCs w:val="0"/>
                <w:color w:val="000000"/>
                <w:kern w:val="0"/>
                <w:sz w:val="24"/>
                <w:szCs w:val="24"/>
                <w:highlight w:val="none"/>
                <w:u w:val="none"/>
                <w:lang w:val="en-US" w:eastAsia="zh-CN" w:bidi="ar"/>
              </w:rPr>
            </w:pPr>
            <w:r>
              <w:rPr>
                <w:rFonts w:hint="eastAsia" w:ascii="仿宋_GB2312" w:hAnsi="宋体" w:eastAsia="仿宋_GB2312" w:cs="仿宋_GB2312"/>
                <w:b/>
                <w:bCs/>
                <w:i w:val="0"/>
                <w:iCs w:val="0"/>
                <w:color w:val="000000"/>
                <w:kern w:val="0"/>
                <w:sz w:val="24"/>
                <w:szCs w:val="24"/>
                <w:highlight w:val="none"/>
                <w:u w:val="none"/>
                <w:lang w:val="en-US" w:eastAsia="zh-CN" w:bidi="ar"/>
              </w:rPr>
              <w:t>属性</w:t>
            </w:r>
          </w:p>
        </w:tc>
      </w:tr>
      <w:tr w14:paraId="6579E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137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林地保有量</w:t>
            </w:r>
          </w:p>
          <w:p w14:paraId="02F3E9F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（公顷）</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4F6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eastAsia="仿宋_GB2312" w:cs="Times New Roman"/>
                <w:i w:val="0"/>
                <w:iCs w:val="0"/>
                <w:color w:val="000000"/>
                <w:kern w:val="0"/>
                <w:sz w:val="24"/>
                <w:szCs w:val="24"/>
                <w:highlight w:val="none"/>
                <w:u w:val="none"/>
                <w:lang w:val="en-US" w:eastAsia="zh-CN" w:bidi="ar"/>
              </w:rPr>
              <w:t>101515</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C214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eastAsia="仿宋_GB2312" w:cs="Times New Roman"/>
                <w:i w:val="0"/>
                <w:iCs w:val="0"/>
                <w:color w:val="000000"/>
                <w:kern w:val="0"/>
                <w:sz w:val="24"/>
                <w:szCs w:val="24"/>
                <w:highlight w:val="none"/>
                <w:u w:val="none"/>
                <w:lang w:val="en-US" w:eastAsia="zh-CN" w:bidi="ar"/>
              </w:rPr>
              <w:t>63100</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A0A4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eastAsia="仿宋_GB2312" w:cs="Times New Roman"/>
                <w:i w:val="0"/>
                <w:iCs w:val="0"/>
                <w:color w:val="000000"/>
                <w:kern w:val="0"/>
                <w:sz w:val="24"/>
                <w:szCs w:val="24"/>
                <w:highlight w:val="none"/>
                <w:u w:val="none"/>
                <w:lang w:val="en-US" w:eastAsia="zh-CN" w:bidi="ar"/>
              </w:rPr>
              <w:t>63100</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DDB90">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约束性</w:t>
            </w:r>
          </w:p>
        </w:tc>
      </w:tr>
      <w:tr w14:paraId="25D66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78C2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eastAsia="仿宋_GB2312" w:cs="Times New Roman"/>
                <w:i w:val="0"/>
                <w:iCs w:val="0"/>
                <w:color w:val="000000"/>
                <w:kern w:val="0"/>
                <w:sz w:val="24"/>
                <w:szCs w:val="24"/>
                <w:highlight w:val="none"/>
                <w:u w:val="none"/>
                <w:lang w:val="en-US" w:eastAsia="zh-CN" w:bidi="ar"/>
              </w:rPr>
              <w:t>林地上</w:t>
            </w:r>
            <w:r>
              <w:rPr>
                <w:rFonts w:hint="default" w:ascii="Times New Roman" w:hAnsi="Times New Roman" w:eastAsia="仿宋_GB2312" w:cs="Times New Roman"/>
                <w:i w:val="0"/>
                <w:iCs w:val="0"/>
                <w:color w:val="000000"/>
                <w:kern w:val="0"/>
                <w:sz w:val="24"/>
                <w:szCs w:val="24"/>
                <w:highlight w:val="none"/>
                <w:u w:val="none"/>
                <w:lang w:val="en-US" w:eastAsia="zh-CN" w:bidi="ar"/>
              </w:rPr>
              <w:t>森林保有量</w:t>
            </w:r>
          </w:p>
          <w:p w14:paraId="420A222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（公顷）</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2870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eastAsia="仿宋_GB2312" w:cs="Times New Roman"/>
                <w:i w:val="0"/>
                <w:iCs w:val="0"/>
                <w:color w:val="000000"/>
                <w:kern w:val="0"/>
                <w:sz w:val="24"/>
                <w:szCs w:val="24"/>
                <w:highlight w:val="none"/>
                <w:u w:val="none"/>
                <w:lang w:val="en-US" w:eastAsia="zh-CN" w:bidi="ar"/>
              </w:rPr>
              <w:t>54700</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11744">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55400</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02B1">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56800</w:t>
            </w: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076C6">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r>
      <w:tr w14:paraId="4954D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18E7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占用林地定额</w:t>
            </w:r>
          </w:p>
          <w:p w14:paraId="6EF2B645">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（公顷</w:t>
            </w:r>
            <w:r>
              <w:rPr>
                <w:rFonts w:hint="eastAsia" w:eastAsia="仿宋_GB2312" w:cs="Times New Roman"/>
                <w:i w:val="0"/>
                <w:iCs w:val="0"/>
                <w:color w:val="000000"/>
                <w:kern w:val="0"/>
                <w:sz w:val="24"/>
                <w:szCs w:val="24"/>
                <w:highlight w:val="none"/>
                <w:u w:val="none"/>
                <w:lang w:val="en-US" w:eastAsia="zh-CN" w:bidi="ar"/>
              </w:rPr>
              <w:t>/年</w:t>
            </w:r>
            <w:r>
              <w:rPr>
                <w:rFonts w:hint="default" w:ascii="Times New Roman" w:hAnsi="Times New Roman" w:eastAsia="仿宋_GB2312" w:cs="Times New Roman"/>
                <w:i w:val="0"/>
                <w:iCs w:val="0"/>
                <w:color w:val="000000"/>
                <w:kern w:val="0"/>
                <w:sz w:val="24"/>
                <w:szCs w:val="24"/>
                <w:highlight w:val="none"/>
                <w:u w:val="none"/>
                <w:lang w:val="en-US" w:eastAsia="zh-CN" w:bidi="ar"/>
              </w:rPr>
              <w:t>）</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40E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100</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BDB8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100</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2E8F">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100</w:t>
            </w: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336B8">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r>
      <w:tr w14:paraId="2295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22033">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天然林保有量</w:t>
            </w:r>
          </w:p>
          <w:p w14:paraId="490BBE88">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（公顷）</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BA7BA">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3220</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E3465">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3220</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09A6C">
            <w:pPr>
              <w:keepNext w:val="0"/>
              <w:keepLines w:val="0"/>
              <w:widowControl/>
              <w:suppressLineNumbers w:val="0"/>
              <w:jc w:val="center"/>
              <w:textAlignment w:val="center"/>
              <w:rPr>
                <w:rFonts w:hint="default"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3220</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4F979">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r>
              <w:rPr>
                <w:rFonts w:hint="eastAsia" w:ascii="仿宋_GB2312" w:hAnsi="宋体" w:eastAsia="仿宋_GB2312" w:cs="仿宋_GB2312"/>
                <w:i w:val="0"/>
                <w:iCs w:val="0"/>
                <w:color w:val="000000"/>
                <w:kern w:val="0"/>
                <w:sz w:val="24"/>
                <w:szCs w:val="24"/>
                <w:highlight w:val="none"/>
                <w:u w:val="none"/>
                <w:lang w:val="en-US" w:eastAsia="zh-CN" w:bidi="ar"/>
              </w:rPr>
              <w:t>预期性</w:t>
            </w:r>
          </w:p>
        </w:tc>
      </w:tr>
      <w:tr w14:paraId="51544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6C96">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重点公益林比率（%）</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9A7F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22.63</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585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22.63</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673D">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22.63</w:t>
            </w: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A79E2">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r>
      <w:tr w14:paraId="682B3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28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30699">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林地生产</w:t>
            </w:r>
            <w:r>
              <w:rPr>
                <w:rFonts w:hint="eastAsia" w:ascii="Times New Roman" w:hAnsi="Times New Roman" w:eastAsia="仿宋_GB2312" w:cs="Times New Roman"/>
                <w:i w:val="0"/>
                <w:iCs w:val="0"/>
                <w:color w:val="000000"/>
                <w:kern w:val="0"/>
                <w:sz w:val="24"/>
                <w:szCs w:val="24"/>
                <w:highlight w:val="none"/>
                <w:u w:val="none"/>
                <w:lang w:val="en-US" w:eastAsia="zh-CN" w:bidi="ar"/>
              </w:rPr>
              <w:t>力</w:t>
            </w:r>
          </w:p>
          <w:p w14:paraId="4CCBF0AB">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仿宋_GB2312" w:cs="Times New Roman"/>
                <w:i w:val="0"/>
                <w:iCs w:val="0"/>
                <w:color w:val="000000"/>
                <w:kern w:val="0"/>
                <w:sz w:val="24"/>
                <w:szCs w:val="24"/>
                <w:highlight w:val="none"/>
                <w:u w:val="none"/>
                <w:lang w:val="en-US" w:eastAsia="zh-CN" w:bidi="ar"/>
              </w:rPr>
              <w:t>（立方米/公顷）</w:t>
            </w:r>
          </w:p>
        </w:tc>
        <w:tc>
          <w:tcPr>
            <w:tcW w:w="7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86BC7">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default" w:ascii="Times New Roman" w:hAnsi="Times New Roman" w:eastAsia="宋体" w:cs="Times New Roman"/>
                <w:i w:val="0"/>
                <w:iCs w:val="0"/>
                <w:color w:val="000000"/>
                <w:kern w:val="0"/>
                <w:sz w:val="24"/>
                <w:szCs w:val="24"/>
                <w:highlight w:val="none"/>
                <w:u w:val="none"/>
                <w:lang w:val="en-US" w:eastAsia="zh-CN" w:bidi="ar"/>
              </w:rPr>
              <w:t>95.65</w:t>
            </w:r>
          </w:p>
        </w:tc>
        <w:tc>
          <w:tcPr>
            <w:tcW w:w="11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FA20E">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96.67</w:t>
            </w:r>
          </w:p>
        </w:tc>
        <w:tc>
          <w:tcPr>
            <w:tcW w:w="125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8C862">
            <w:pPr>
              <w:keepNext w:val="0"/>
              <w:keepLines w:val="0"/>
              <w:widowControl/>
              <w:suppressLineNumbers w:val="0"/>
              <w:jc w:val="center"/>
              <w:textAlignment w:val="center"/>
              <w:rPr>
                <w:rFonts w:hint="default" w:ascii="Times New Roman" w:hAnsi="Times New Roman" w:eastAsia="仿宋_GB2312" w:cs="Times New Roman"/>
                <w:i w:val="0"/>
                <w:iCs w:val="0"/>
                <w:color w:val="000000"/>
                <w:kern w:val="0"/>
                <w:sz w:val="24"/>
                <w:szCs w:val="24"/>
                <w:highlight w:val="none"/>
                <w:u w:val="none"/>
                <w:lang w:val="en-US" w:eastAsia="zh-CN" w:bidi="ar"/>
              </w:rPr>
            </w:pPr>
            <w:r>
              <w:rPr>
                <w:rFonts w:hint="eastAsia" w:cs="Times New Roman"/>
                <w:i w:val="0"/>
                <w:iCs w:val="0"/>
                <w:color w:val="000000"/>
                <w:kern w:val="0"/>
                <w:sz w:val="24"/>
                <w:szCs w:val="24"/>
                <w:highlight w:val="none"/>
                <w:u w:val="none"/>
                <w:lang w:val="en-US" w:eastAsia="zh-CN" w:bidi="ar"/>
              </w:rPr>
              <w:t>97.67</w:t>
            </w: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EAD6A">
            <w:pPr>
              <w:keepNext w:val="0"/>
              <w:keepLines w:val="0"/>
              <w:widowControl/>
              <w:suppressLineNumbers w:val="0"/>
              <w:jc w:val="center"/>
              <w:textAlignment w:val="center"/>
              <w:rPr>
                <w:rFonts w:hint="eastAsia" w:ascii="仿宋_GB2312" w:hAnsi="宋体" w:eastAsia="仿宋_GB2312" w:cs="仿宋_GB2312"/>
                <w:i w:val="0"/>
                <w:iCs w:val="0"/>
                <w:color w:val="000000"/>
                <w:kern w:val="0"/>
                <w:sz w:val="24"/>
                <w:szCs w:val="24"/>
                <w:highlight w:val="none"/>
                <w:u w:val="none"/>
                <w:lang w:val="en-US" w:eastAsia="zh-CN" w:bidi="ar"/>
              </w:rPr>
            </w:pPr>
          </w:p>
        </w:tc>
      </w:tr>
    </w:tbl>
    <w:p w14:paraId="39099C41">
      <w:pPr>
        <w:keepNext w:val="0"/>
        <w:keepLines w:val="0"/>
        <w:pageBreakBefore w:val="0"/>
        <w:widowControl w:val="0"/>
        <w:kinsoku/>
        <w:wordWrap/>
        <w:overflowPunct/>
        <w:topLinePunct w:val="0"/>
        <w:autoSpaceDE/>
        <w:autoSpaceDN/>
        <w:bidi w:val="0"/>
        <w:adjustRightInd/>
        <w:snapToGrid/>
        <w:spacing w:line="240" w:lineRule="auto"/>
        <w:ind w:firstLine="480" w:firstLineChars="200"/>
        <w:textAlignment w:val="auto"/>
        <w:outlineLvl w:val="9"/>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备注：根据《自然资源部 国家林业和草原局关于以第三次全国国土调查成果为基础明确林地管理边界规范林地管理的通知》（自然资发〔2023〕53号）要求，本次林地保护利用规划以“三调”成果为统一底版，调整园地、林地分类标准，因此林地保有量有较大调整。</w:t>
      </w:r>
    </w:p>
    <w:p w14:paraId="79C5C77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1.约束性</w:t>
      </w:r>
      <w:r>
        <w:rPr>
          <w:rFonts w:hint="eastAsia" w:eastAsia="仿宋_GB2312" w:cs="Times New Roman"/>
          <w:kern w:val="0"/>
          <w:sz w:val="30"/>
          <w:szCs w:val="30"/>
          <w:highlight w:val="none"/>
          <w:lang w:val="en-US" w:eastAsia="zh-CN" w:bidi="ar-SA"/>
        </w:rPr>
        <w:t>指标</w:t>
      </w:r>
    </w:p>
    <w:p w14:paraId="6206F3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（1）林地保有量</w:t>
      </w:r>
    </w:p>
    <w:p w14:paraId="6840ABE8">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到2025年，全市林地保有量为</w:t>
      </w:r>
      <w:r>
        <w:rPr>
          <w:rFonts w:hint="eastAsia" w:eastAsia="仿宋_GB2312" w:cs="Times New Roman"/>
          <w:kern w:val="0"/>
          <w:sz w:val="30"/>
          <w:szCs w:val="30"/>
          <w:highlight w:val="none"/>
          <w:lang w:val="en-US" w:eastAsia="zh-CN" w:bidi="ar-SA"/>
        </w:rPr>
        <w:t>63100</w:t>
      </w:r>
      <w:r>
        <w:rPr>
          <w:rFonts w:hint="default" w:ascii="Times New Roman" w:hAnsi="Times New Roman" w:eastAsia="仿宋_GB2312" w:cs="Times New Roman"/>
          <w:kern w:val="0"/>
          <w:sz w:val="30"/>
          <w:szCs w:val="30"/>
          <w:highlight w:val="none"/>
          <w:lang w:val="en-US" w:eastAsia="zh-CN" w:bidi="ar-SA"/>
        </w:rPr>
        <w:t>公顷；到2035年，全市林地保有量为</w:t>
      </w:r>
      <w:r>
        <w:rPr>
          <w:rFonts w:hint="eastAsia" w:eastAsia="仿宋_GB2312" w:cs="Times New Roman"/>
          <w:kern w:val="0"/>
          <w:sz w:val="30"/>
          <w:szCs w:val="30"/>
          <w:highlight w:val="none"/>
          <w:lang w:val="en-US" w:eastAsia="zh-CN" w:bidi="ar-SA"/>
        </w:rPr>
        <w:t>63100</w:t>
      </w:r>
      <w:r>
        <w:rPr>
          <w:rFonts w:hint="default" w:ascii="Times New Roman" w:hAnsi="Times New Roman" w:eastAsia="仿宋_GB2312" w:cs="Times New Roman"/>
          <w:kern w:val="0"/>
          <w:sz w:val="30"/>
          <w:szCs w:val="30"/>
          <w:highlight w:val="none"/>
          <w:lang w:val="en-US" w:eastAsia="zh-CN" w:bidi="ar-SA"/>
        </w:rPr>
        <w:t>公顷。</w:t>
      </w:r>
    </w:p>
    <w:p w14:paraId="563CE235">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eastAsia" w:eastAsia="仿宋_GB2312" w:cs="Times New Roman"/>
          <w:sz w:val="30"/>
          <w:szCs w:val="30"/>
          <w:highlight w:val="none"/>
          <w:lang w:val="en-US" w:eastAsia="zh-CN"/>
        </w:rPr>
        <w:t>林地上</w:t>
      </w:r>
      <w:r>
        <w:rPr>
          <w:rFonts w:hint="default" w:ascii="Times New Roman" w:hAnsi="Times New Roman" w:eastAsia="仿宋_GB2312" w:cs="Times New Roman"/>
          <w:sz w:val="30"/>
          <w:szCs w:val="30"/>
          <w:highlight w:val="none"/>
          <w:lang w:val="en-US" w:eastAsia="zh-CN"/>
        </w:rPr>
        <w:t>森林保有量</w:t>
      </w:r>
    </w:p>
    <w:p w14:paraId="118002DA">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到2025年，全市</w:t>
      </w:r>
      <w:r>
        <w:rPr>
          <w:rFonts w:hint="eastAsia" w:eastAsia="仿宋_GB2312" w:cs="Times New Roman"/>
          <w:color w:val="auto"/>
          <w:kern w:val="0"/>
          <w:sz w:val="30"/>
          <w:szCs w:val="30"/>
          <w:highlight w:val="none"/>
          <w:lang w:val="en-US" w:eastAsia="zh-CN" w:bidi="ar-SA"/>
        </w:rPr>
        <w:t>林地上</w:t>
      </w:r>
      <w:r>
        <w:rPr>
          <w:rFonts w:hint="default" w:ascii="Times New Roman" w:hAnsi="Times New Roman" w:eastAsia="仿宋_GB2312" w:cs="Times New Roman"/>
          <w:color w:val="auto"/>
          <w:kern w:val="0"/>
          <w:sz w:val="30"/>
          <w:szCs w:val="30"/>
          <w:highlight w:val="none"/>
          <w:lang w:val="en-US" w:eastAsia="zh-CN" w:bidi="ar-SA"/>
        </w:rPr>
        <w:t>森林保有量为</w:t>
      </w:r>
      <w:r>
        <w:rPr>
          <w:rFonts w:hint="eastAsia" w:eastAsia="仿宋_GB2312" w:cs="Times New Roman"/>
          <w:color w:val="auto"/>
          <w:kern w:val="0"/>
          <w:sz w:val="30"/>
          <w:szCs w:val="30"/>
          <w:highlight w:val="none"/>
          <w:lang w:val="en-US" w:eastAsia="zh-CN" w:bidi="ar-SA"/>
        </w:rPr>
        <w:t>55400</w:t>
      </w:r>
      <w:r>
        <w:rPr>
          <w:rFonts w:hint="default" w:ascii="Times New Roman" w:hAnsi="Times New Roman" w:eastAsia="仿宋_GB2312" w:cs="Times New Roman"/>
          <w:color w:val="auto"/>
          <w:kern w:val="0"/>
          <w:sz w:val="30"/>
          <w:szCs w:val="30"/>
          <w:highlight w:val="none"/>
          <w:lang w:val="en-US" w:eastAsia="zh-CN" w:bidi="ar-SA"/>
        </w:rPr>
        <w:t>公顷</w:t>
      </w:r>
      <w:r>
        <w:rPr>
          <w:rFonts w:hint="eastAsia" w:eastAsia="仿宋_GB2312" w:cs="Times New Roman"/>
          <w:color w:val="auto"/>
          <w:kern w:val="0"/>
          <w:sz w:val="30"/>
          <w:szCs w:val="30"/>
          <w:highlight w:val="none"/>
          <w:lang w:val="en-US" w:eastAsia="zh-CN" w:bidi="ar-SA"/>
        </w:rPr>
        <w:t>，林地上</w:t>
      </w:r>
      <w:r>
        <w:rPr>
          <w:rFonts w:hint="default" w:ascii="Times New Roman" w:hAnsi="Times New Roman" w:eastAsia="仿宋_GB2312" w:cs="Times New Roman"/>
          <w:color w:val="auto"/>
          <w:kern w:val="0"/>
          <w:sz w:val="30"/>
          <w:szCs w:val="30"/>
          <w:highlight w:val="none"/>
          <w:lang w:val="en-US" w:eastAsia="zh-CN" w:bidi="ar-SA"/>
        </w:rPr>
        <w:t>森林覆盖率为</w:t>
      </w:r>
      <w:r>
        <w:rPr>
          <w:rFonts w:hint="eastAsia" w:eastAsia="仿宋_GB2312" w:cs="Times New Roman"/>
          <w:color w:val="auto"/>
          <w:kern w:val="0"/>
          <w:sz w:val="30"/>
          <w:szCs w:val="30"/>
          <w:highlight w:val="none"/>
          <w:lang w:val="en-US" w:eastAsia="zh-CN" w:bidi="ar-SA"/>
        </w:rPr>
        <w:t>85.49</w:t>
      </w:r>
      <w:r>
        <w:rPr>
          <w:rFonts w:hint="default" w:ascii="Times New Roman" w:hAnsi="Times New Roman" w:eastAsia="仿宋_GB2312" w:cs="Times New Roman"/>
          <w:color w:val="auto"/>
          <w:kern w:val="0"/>
          <w:sz w:val="30"/>
          <w:szCs w:val="30"/>
          <w:highlight w:val="none"/>
          <w:lang w:val="en-US" w:eastAsia="zh-CN" w:bidi="ar-SA"/>
        </w:rPr>
        <w:t>%；到2035年，全市森林保有量为</w:t>
      </w:r>
      <w:r>
        <w:rPr>
          <w:rFonts w:hint="eastAsia" w:eastAsia="仿宋_GB2312" w:cs="Times New Roman"/>
          <w:color w:val="auto"/>
          <w:kern w:val="0"/>
          <w:sz w:val="30"/>
          <w:szCs w:val="30"/>
          <w:highlight w:val="none"/>
          <w:lang w:val="en-US" w:eastAsia="zh-CN" w:bidi="ar-SA"/>
        </w:rPr>
        <w:t>56800</w:t>
      </w:r>
      <w:r>
        <w:rPr>
          <w:rFonts w:hint="default" w:ascii="Times New Roman" w:hAnsi="Times New Roman" w:eastAsia="仿宋_GB2312" w:cs="Times New Roman"/>
          <w:color w:val="auto"/>
          <w:kern w:val="0"/>
          <w:sz w:val="30"/>
          <w:szCs w:val="30"/>
          <w:highlight w:val="none"/>
          <w:lang w:val="en-US" w:eastAsia="zh-CN" w:bidi="ar-SA"/>
        </w:rPr>
        <w:t>公顷，</w:t>
      </w:r>
      <w:r>
        <w:rPr>
          <w:rFonts w:hint="eastAsia" w:eastAsia="仿宋_GB2312" w:cs="Times New Roman"/>
          <w:color w:val="auto"/>
          <w:kern w:val="0"/>
          <w:sz w:val="30"/>
          <w:szCs w:val="30"/>
          <w:highlight w:val="none"/>
          <w:lang w:val="en-US" w:eastAsia="zh-CN" w:bidi="ar-SA"/>
        </w:rPr>
        <w:t>林地上</w:t>
      </w:r>
      <w:r>
        <w:rPr>
          <w:rFonts w:hint="default" w:ascii="Times New Roman" w:hAnsi="Times New Roman" w:eastAsia="仿宋_GB2312" w:cs="Times New Roman"/>
          <w:color w:val="auto"/>
          <w:kern w:val="0"/>
          <w:sz w:val="30"/>
          <w:szCs w:val="30"/>
          <w:highlight w:val="none"/>
          <w:lang w:val="en-US" w:eastAsia="zh-CN" w:bidi="ar-SA"/>
        </w:rPr>
        <w:t>森林覆盖率为</w:t>
      </w:r>
      <w:r>
        <w:rPr>
          <w:rFonts w:hint="eastAsia" w:eastAsia="仿宋_GB2312" w:cs="Times New Roman"/>
          <w:color w:val="auto"/>
          <w:kern w:val="0"/>
          <w:sz w:val="30"/>
          <w:szCs w:val="30"/>
          <w:highlight w:val="none"/>
          <w:lang w:val="en-US" w:eastAsia="zh-CN" w:bidi="ar-SA"/>
        </w:rPr>
        <w:t>90.02</w:t>
      </w:r>
      <w:r>
        <w:rPr>
          <w:rFonts w:hint="default" w:ascii="Times New Roman" w:hAnsi="Times New Roman" w:eastAsia="仿宋_GB2312" w:cs="Times New Roman"/>
          <w:color w:val="auto"/>
          <w:kern w:val="0"/>
          <w:sz w:val="30"/>
          <w:szCs w:val="30"/>
          <w:highlight w:val="none"/>
          <w:lang w:val="en-US" w:eastAsia="zh-CN" w:bidi="ar-SA"/>
        </w:rPr>
        <w:t>%。</w:t>
      </w:r>
    </w:p>
    <w:p w14:paraId="2F6C826F">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0" w:leftChars="0"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lang w:val="en-US" w:eastAsia="zh-CN"/>
        </w:rPr>
        <w:t>占用林地定额</w:t>
      </w:r>
    </w:p>
    <w:p w14:paraId="71BE49C9">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2021-2025年全市征占用林地总额控制在</w:t>
      </w:r>
      <w:r>
        <w:rPr>
          <w:rFonts w:hint="eastAsia" w:eastAsia="仿宋_GB2312" w:cs="Times New Roman"/>
          <w:color w:val="auto"/>
          <w:kern w:val="0"/>
          <w:sz w:val="30"/>
          <w:szCs w:val="30"/>
          <w:highlight w:val="none"/>
          <w:lang w:val="en-US" w:eastAsia="zh-CN" w:bidi="ar-SA"/>
        </w:rPr>
        <w:t>500</w:t>
      </w:r>
      <w:r>
        <w:rPr>
          <w:rFonts w:hint="default" w:ascii="Times New Roman" w:hAnsi="Times New Roman" w:eastAsia="仿宋_GB2312" w:cs="Times New Roman"/>
          <w:color w:val="auto"/>
          <w:kern w:val="0"/>
          <w:sz w:val="30"/>
          <w:szCs w:val="30"/>
          <w:highlight w:val="none"/>
          <w:lang w:val="en-US" w:eastAsia="zh-CN" w:bidi="ar-SA"/>
        </w:rPr>
        <w:t>公顷内；2026-2035年全</w:t>
      </w:r>
      <w:r>
        <w:rPr>
          <w:rFonts w:hint="eastAsia" w:eastAsia="仿宋_GB2312" w:cs="Times New Roman"/>
          <w:color w:val="auto"/>
          <w:kern w:val="0"/>
          <w:sz w:val="30"/>
          <w:szCs w:val="30"/>
          <w:highlight w:val="none"/>
          <w:lang w:val="en-US" w:eastAsia="zh-CN" w:bidi="ar-SA"/>
        </w:rPr>
        <w:t>市</w:t>
      </w:r>
      <w:r>
        <w:rPr>
          <w:rFonts w:hint="default" w:ascii="Times New Roman" w:hAnsi="Times New Roman" w:eastAsia="仿宋_GB2312" w:cs="Times New Roman"/>
          <w:color w:val="auto"/>
          <w:kern w:val="0"/>
          <w:sz w:val="30"/>
          <w:szCs w:val="30"/>
          <w:highlight w:val="none"/>
          <w:lang w:val="en-US" w:eastAsia="zh-CN" w:bidi="ar-SA"/>
        </w:rPr>
        <w:t>征占用林地总额控制在</w:t>
      </w:r>
      <w:r>
        <w:rPr>
          <w:rFonts w:hint="eastAsia" w:eastAsia="仿宋_GB2312" w:cs="Times New Roman"/>
          <w:color w:val="auto"/>
          <w:kern w:val="0"/>
          <w:sz w:val="30"/>
          <w:szCs w:val="30"/>
          <w:highlight w:val="none"/>
          <w:lang w:val="en-US" w:eastAsia="zh-CN" w:bidi="ar-SA"/>
        </w:rPr>
        <w:t>1000</w:t>
      </w:r>
      <w:r>
        <w:rPr>
          <w:rFonts w:hint="default" w:ascii="Times New Roman" w:hAnsi="Times New Roman" w:eastAsia="仿宋_GB2312" w:cs="Times New Roman"/>
          <w:color w:val="auto"/>
          <w:kern w:val="0"/>
          <w:sz w:val="30"/>
          <w:szCs w:val="30"/>
          <w:highlight w:val="none"/>
          <w:lang w:val="en-US" w:eastAsia="zh-CN" w:bidi="ar-SA"/>
        </w:rPr>
        <w:t>公顷内。</w:t>
      </w:r>
    </w:p>
    <w:p w14:paraId="03935F9A">
      <w:pPr>
        <w:rPr>
          <w:rFonts w:hint="default" w:ascii="Times New Roman" w:hAnsi="Times New Roman" w:eastAsia="仿宋_GB2312" w:cs="Times New Roman"/>
          <w:color w:val="auto"/>
          <w:kern w:val="0"/>
          <w:sz w:val="30"/>
          <w:szCs w:val="30"/>
          <w:highlight w:val="yellow"/>
          <w:lang w:val="en-US" w:eastAsia="zh-CN" w:bidi="ar-SA"/>
        </w:rPr>
      </w:pPr>
      <w:r>
        <w:rPr>
          <w:rFonts w:hint="default" w:ascii="Times New Roman" w:hAnsi="Times New Roman" w:eastAsia="仿宋_GB2312" w:cs="Times New Roman"/>
          <w:color w:val="auto"/>
          <w:kern w:val="0"/>
          <w:sz w:val="30"/>
          <w:szCs w:val="30"/>
          <w:highlight w:val="yellow"/>
          <w:lang w:val="en-US" w:eastAsia="zh-CN" w:bidi="ar-SA"/>
        </w:rPr>
        <w:br w:type="page"/>
      </w:r>
    </w:p>
    <w:p w14:paraId="28923A7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2.预期性</w:t>
      </w:r>
      <w:r>
        <w:rPr>
          <w:rFonts w:hint="eastAsia" w:eastAsia="仿宋_GB2312" w:cs="Times New Roman"/>
          <w:kern w:val="0"/>
          <w:sz w:val="30"/>
          <w:szCs w:val="30"/>
          <w:highlight w:val="none"/>
          <w:lang w:val="en-US" w:eastAsia="zh-CN" w:bidi="ar-SA"/>
        </w:rPr>
        <w:t>指标</w:t>
      </w:r>
    </w:p>
    <w:p w14:paraId="4338C8D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eastAsia" w:ascii="Times New Roman" w:hAnsi="Times New Roman" w:eastAsia="仿宋_GB2312" w:cs="Times New Roman"/>
          <w:sz w:val="30"/>
          <w:szCs w:val="30"/>
          <w:highlight w:val="none"/>
          <w:lang w:val="en-US" w:eastAsia="zh-CN"/>
        </w:rPr>
        <w:t>（1）</w:t>
      </w:r>
      <w:r>
        <w:rPr>
          <w:rFonts w:hint="default" w:ascii="Times New Roman" w:hAnsi="Times New Roman" w:eastAsia="仿宋_GB2312" w:cs="Times New Roman"/>
          <w:sz w:val="30"/>
          <w:szCs w:val="30"/>
          <w:highlight w:val="none"/>
          <w:lang w:val="en-US" w:eastAsia="zh-CN"/>
        </w:rPr>
        <w:t>天然林保有量</w:t>
      </w:r>
    </w:p>
    <w:p w14:paraId="04233F47">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到2025年，全市天然林保有量为</w:t>
      </w:r>
      <w:r>
        <w:rPr>
          <w:rFonts w:hint="eastAsia" w:eastAsia="仿宋_GB2312" w:cs="Times New Roman"/>
          <w:color w:val="auto"/>
          <w:kern w:val="0"/>
          <w:sz w:val="30"/>
          <w:szCs w:val="30"/>
          <w:highlight w:val="none"/>
          <w:lang w:val="en-US" w:eastAsia="zh-CN" w:bidi="ar-SA"/>
        </w:rPr>
        <w:t>3220</w:t>
      </w:r>
      <w:r>
        <w:rPr>
          <w:rFonts w:hint="default" w:ascii="Times New Roman" w:hAnsi="Times New Roman" w:eastAsia="仿宋_GB2312" w:cs="Times New Roman"/>
          <w:color w:val="auto"/>
          <w:kern w:val="0"/>
          <w:sz w:val="30"/>
          <w:szCs w:val="30"/>
          <w:highlight w:val="none"/>
          <w:lang w:val="en-US" w:eastAsia="zh-CN" w:bidi="ar-SA"/>
        </w:rPr>
        <w:t>公顷；到2035年，全市天然林保有量为</w:t>
      </w:r>
      <w:r>
        <w:rPr>
          <w:rFonts w:hint="eastAsia" w:eastAsia="仿宋_GB2312" w:cs="Times New Roman"/>
          <w:color w:val="auto"/>
          <w:kern w:val="0"/>
          <w:sz w:val="30"/>
          <w:szCs w:val="30"/>
          <w:highlight w:val="none"/>
          <w:lang w:val="en-US" w:eastAsia="zh-CN" w:bidi="ar-SA"/>
        </w:rPr>
        <w:t>3220</w:t>
      </w:r>
      <w:r>
        <w:rPr>
          <w:rFonts w:hint="default" w:ascii="Times New Roman" w:hAnsi="Times New Roman" w:eastAsia="仿宋_GB2312" w:cs="Times New Roman"/>
          <w:color w:val="auto"/>
          <w:kern w:val="0"/>
          <w:sz w:val="30"/>
          <w:szCs w:val="30"/>
          <w:highlight w:val="none"/>
          <w:lang w:val="en-US" w:eastAsia="zh-CN" w:bidi="ar-SA"/>
        </w:rPr>
        <w:t>公顷</w:t>
      </w:r>
      <w:r>
        <w:rPr>
          <w:rFonts w:hint="eastAsia" w:eastAsia="仿宋_GB2312" w:cs="Times New Roman"/>
          <w:color w:val="auto"/>
          <w:kern w:val="0"/>
          <w:sz w:val="30"/>
          <w:szCs w:val="30"/>
          <w:highlight w:val="none"/>
          <w:lang w:val="en-US" w:eastAsia="zh-CN" w:bidi="ar-SA"/>
        </w:rPr>
        <w:t>，保持天然林保有量不降低</w:t>
      </w:r>
      <w:r>
        <w:rPr>
          <w:rFonts w:hint="default" w:ascii="Times New Roman" w:hAnsi="Times New Roman" w:eastAsia="仿宋_GB2312" w:cs="Times New Roman"/>
          <w:color w:val="auto"/>
          <w:kern w:val="0"/>
          <w:sz w:val="30"/>
          <w:szCs w:val="30"/>
          <w:highlight w:val="none"/>
          <w:lang w:val="en-US" w:eastAsia="zh-CN" w:bidi="ar-SA"/>
        </w:rPr>
        <w:t>。</w:t>
      </w:r>
    </w:p>
    <w:p w14:paraId="093D5DB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eastAsia" w:eastAsia="仿宋_GB2312" w:cs="Times New Roman"/>
          <w:sz w:val="30"/>
          <w:szCs w:val="30"/>
          <w:highlight w:val="none"/>
          <w:lang w:val="en-US" w:eastAsia="zh-CN"/>
        </w:rPr>
        <w:t>2</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重点公益林比率</w:t>
      </w:r>
    </w:p>
    <w:p w14:paraId="0D877A09">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到2025年，</w:t>
      </w:r>
      <w:r>
        <w:rPr>
          <w:rFonts w:hint="eastAsia" w:eastAsia="仿宋_GB2312" w:cs="Times New Roman"/>
          <w:color w:val="auto"/>
          <w:kern w:val="0"/>
          <w:sz w:val="30"/>
          <w:szCs w:val="30"/>
          <w:highlight w:val="none"/>
          <w:lang w:val="en-US" w:eastAsia="zh-CN" w:bidi="ar-SA"/>
        </w:rPr>
        <w:t>重点公益林面积</w:t>
      </w:r>
      <w:r>
        <w:rPr>
          <w:rFonts w:hint="default" w:ascii="Times New Roman" w:hAnsi="Times New Roman" w:eastAsia="仿宋_GB2312" w:cs="Times New Roman"/>
          <w:color w:val="auto"/>
          <w:kern w:val="0"/>
          <w:sz w:val="30"/>
          <w:szCs w:val="30"/>
          <w:highlight w:val="none"/>
          <w:lang w:val="en-US" w:eastAsia="zh-CN" w:bidi="ar-SA"/>
        </w:rPr>
        <w:t>占到林地总面积的</w:t>
      </w:r>
      <w:r>
        <w:rPr>
          <w:rFonts w:hint="eastAsia" w:eastAsia="仿宋_GB2312" w:cs="Times New Roman"/>
          <w:color w:val="auto"/>
          <w:kern w:val="0"/>
          <w:sz w:val="30"/>
          <w:szCs w:val="30"/>
          <w:highlight w:val="none"/>
          <w:lang w:val="en-US" w:eastAsia="zh-CN" w:bidi="ar-SA"/>
        </w:rPr>
        <w:t>22.63</w:t>
      </w:r>
      <w:r>
        <w:rPr>
          <w:rFonts w:hint="default" w:ascii="Times New Roman" w:hAnsi="Times New Roman" w:eastAsia="仿宋_GB2312" w:cs="Times New Roman"/>
          <w:color w:val="auto"/>
          <w:kern w:val="0"/>
          <w:sz w:val="30"/>
          <w:szCs w:val="30"/>
          <w:highlight w:val="none"/>
          <w:lang w:val="en-US" w:eastAsia="zh-CN" w:bidi="ar-SA"/>
        </w:rPr>
        <w:t>%；到2035年，</w:t>
      </w:r>
      <w:r>
        <w:rPr>
          <w:rFonts w:hint="eastAsia" w:eastAsia="仿宋_GB2312" w:cs="Times New Roman"/>
          <w:color w:val="auto"/>
          <w:kern w:val="0"/>
          <w:sz w:val="30"/>
          <w:szCs w:val="30"/>
          <w:highlight w:val="none"/>
          <w:lang w:val="en-US" w:eastAsia="zh-CN" w:bidi="ar-SA"/>
        </w:rPr>
        <w:t>重点公益林面积</w:t>
      </w:r>
      <w:r>
        <w:rPr>
          <w:rFonts w:hint="default" w:ascii="Times New Roman" w:hAnsi="Times New Roman" w:eastAsia="仿宋_GB2312" w:cs="Times New Roman"/>
          <w:color w:val="auto"/>
          <w:kern w:val="0"/>
          <w:sz w:val="30"/>
          <w:szCs w:val="30"/>
          <w:highlight w:val="none"/>
          <w:lang w:val="en-US" w:eastAsia="zh-CN" w:bidi="ar-SA"/>
        </w:rPr>
        <w:t>占到林地总面积的</w:t>
      </w:r>
      <w:r>
        <w:rPr>
          <w:rFonts w:hint="eastAsia" w:eastAsia="仿宋_GB2312" w:cs="Times New Roman"/>
          <w:color w:val="auto"/>
          <w:kern w:val="0"/>
          <w:sz w:val="30"/>
          <w:szCs w:val="30"/>
          <w:highlight w:val="none"/>
          <w:lang w:val="en-US" w:eastAsia="zh-CN" w:bidi="ar-SA"/>
        </w:rPr>
        <w:t>22.63</w:t>
      </w:r>
      <w:r>
        <w:rPr>
          <w:rFonts w:hint="default" w:ascii="Times New Roman" w:hAnsi="Times New Roman" w:eastAsia="仿宋_GB2312" w:cs="Times New Roman"/>
          <w:color w:val="auto"/>
          <w:kern w:val="0"/>
          <w:sz w:val="30"/>
          <w:szCs w:val="30"/>
          <w:highlight w:val="none"/>
          <w:lang w:val="en-US" w:eastAsia="zh-CN" w:bidi="ar-SA"/>
        </w:rPr>
        <w:t>%。</w:t>
      </w:r>
    </w:p>
    <w:p w14:paraId="04E818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eastAsia" w:eastAsia="仿宋_GB2312" w:cs="Times New Roman"/>
          <w:sz w:val="30"/>
          <w:szCs w:val="30"/>
          <w:highlight w:val="none"/>
          <w:lang w:val="en-US" w:eastAsia="zh-CN"/>
        </w:rPr>
        <w:t>（3）</w:t>
      </w:r>
      <w:r>
        <w:rPr>
          <w:rFonts w:hint="default" w:ascii="Times New Roman" w:hAnsi="Times New Roman" w:eastAsia="仿宋_GB2312" w:cs="Times New Roman"/>
          <w:sz w:val="30"/>
          <w:szCs w:val="30"/>
          <w:highlight w:val="none"/>
          <w:lang w:val="en-US" w:eastAsia="zh-CN"/>
        </w:rPr>
        <w:t>林地生产力</w:t>
      </w:r>
    </w:p>
    <w:p w14:paraId="7D9689C3">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到2025年，全</w:t>
      </w:r>
      <w:r>
        <w:rPr>
          <w:rFonts w:hint="eastAsia" w:eastAsia="仿宋_GB2312" w:cs="Times New Roman"/>
          <w:color w:val="auto"/>
          <w:kern w:val="0"/>
          <w:sz w:val="30"/>
          <w:szCs w:val="30"/>
          <w:highlight w:val="none"/>
          <w:lang w:val="en-US" w:eastAsia="zh-CN" w:bidi="ar-SA"/>
        </w:rPr>
        <w:t>市</w:t>
      </w:r>
      <w:r>
        <w:rPr>
          <w:rFonts w:hint="default" w:ascii="Times New Roman" w:hAnsi="Times New Roman" w:eastAsia="仿宋_GB2312" w:cs="Times New Roman"/>
          <w:color w:val="auto"/>
          <w:kern w:val="0"/>
          <w:sz w:val="30"/>
          <w:szCs w:val="30"/>
          <w:highlight w:val="none"/>
          <w:lang w:val="en-US" w:eastAsia="zh-CN" w:bidi="ar-SA"/>
        </w:rPr>
        <w:t>林地生产力达到</w:t>
      </w:r>
      <w:r>
        <w:rPr>
          <w:rFonts w:hint="eastAsia" w:eastAsia="仿宋_GB2312" w:cs="Times New Roman"/>
          <w:color w:val="auto"/>
          <w:kern w:val="0"/>
          <w:sz w:val="30"/>
          <w:szCs w:val="30"/>
          <w:highlight w:val="none"/>
          <w:lang w:val="en-US" w:eastAsia="zh-CN" w:bidi="ar-SA"/>
        </w:rPr>
        <w:t>96.67</w:t>
      </w:r>
      <w:r>
        <w:rPr>
          <w:rFonts w:hint="default" w:ascii="Times New Roman" w:hAnsi="Times New Roman" w:eastAsia="仿宋_GB2312" w:cs="Times New Roman"/>
          <w:color w:val="auto"/>
          <w:kern w:val="0"/>
          <w:sz w:val="30"/>
          <w:szCs w:val="30"/>
          <w:highlight w:val="none"/>
          <w:lang w:val="en-US" w:eastAsia="zh-CN" w:bidi="ar-SA"/>
        </w:rPr>
        <w:t>立方米/公顷；到2035年，全</w:t>
      </w:r>
      <w:r>
        <w:rPr>
          <w:rFonts w:hint="eastAsia" w:eastAsia="仿宋_GB2312" w:cs="Times New Roman"/>
          <w:color w:val="auto"/>
          <w:kern w:val="0"/>
          <w:sz w:val="30"/>
          <w:szCs w:val="30"/>
          <w:highlight w:val="none"/>
          <w:lang w:val="en-US" w:eastAsia="zh-CN" w:bidi="ar-SA"/>
        </w:rPr>
        <w:t>市</w:t>
      </w:r>
      <w:r>
        <w:rPr>
          <w:rFonts w:hint="default" w:ascii="Times New Roman" w:hAnsi="Times New Roman" w:eastAsia="仿宋_GB2312" w:cs="Times New Roman"/>
          <w:color w:val="auto"/>
          <w:kern w:val="0"/>
          <w:sz w:val="30"/>
          <w:szCs w:val="30"/>
          <w:highlight w:val="none"/>
          <w:lang w:val="en-US" w:eastAsia="zh-CN" w:bidi="ar-SA"/>
        </w:rPr>
        <w:t>林地生产力达到</w:t>
      </w:r>
      <w:r>
        <w:rPr>
          <w:rFonts w:hint="eastAsia" w:eastAsia="仿宋_GB2312" w:cs="Times New Roman"/>
          <w:color w:val="auto"/>
          <w:kern w:val="0"/>
          <w:sz w:val="30"/>
          <w:szCs w:val="30"/>
          <w:highlight w:val="none"/>
          <w:lang w:val="en-US" w:eastAsia="zh-CN" w:bidi="ar-SA"/>
        </w:rPr>
        <w:t>97.67</w:t>
      </w:r>
      <w:r>
        <w:rPr>
          <w:rFonts w:hint="default" w:ascii="Times New Roman" w:hAnsi="Times New Roman" w:eastAsia="仿宋_GB2312" w:cs="Times New Roman"/>
          <w:color w:val="auto"/>
          <w:kern w:val="0"/>
          <w:sz w:val="30"/>
          <w:szCs w:val="30"/>
          <w:highlight w:val="none"/>
          <w:lang w:val="en-US" w:eastAsia="zh-CN" w:bidi="ar-SA"/>
        </w:rPr>
        <w:t>立方米/公顷。</w:t>
      </w:r>
    </w:p>
    <w:p w14:paraId="465D446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主要任务</w:t>
      </w:r>
    </w:p>
    <w:p w14:paraId="4EBBA996">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1.严格保护林地</w:t>
      </w:r>
    </w:p>
    <w:p w14:paraId="019FF67F">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强化林地用途管制，实行林地分类管理、分级保护，严格保护重点生态区域林地，重点加强对各级各类自然保护地、国有林场、天然林、公益林的保护管理，强化林地规划管控和使用约束，优先保障重大基础设施、民生项目使用林地需求，严格控制采石采矿、房地产等经营性项目使用林地，加大林地定额统筹力度，严厉打击违法使用林地行为，有效减少林地逆转和无序流失。推进废弃矿山、未利用地等区域恢复林业生产条件并造林绿化，积极拓展补充林地后备资源。</w:t>
      </w:r>
    </w:p>
    <w:p w14:paraId="74CABA8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2.林地生态修复</w:t>
      </w:r>
    </w:p>
    <w:p w14:paraId="0E4933AC">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统筹推进山水林田湖草一体化保护和修复，充分发挥政府的主导作用，采取林业重点工程带动、鼓励和引导社会力量广泛参与的措施，加大对生态重要区域和生态敏感脆弱区域治理和修复力度，积极加强天然林保护修复和公益林建设，增强自然生态系统功能，提升生态系统质量和稳定性，确保生态系统持续向好。</w:t>
      </w:r>
    </w:p>
    <w:p w14:paraId="5B60785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3.森林质量提升</w:t>
      </w:r>
    </w:p>
    <w:p w14:paraId="7EB6057D">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建立林地质量分等评价制度，科学利用林地，适地适树，分类指导林业生产经营活动，提升森林经营水平，合理采取造林、低效林改造、中幼林抚育、良种壮苗等精准经营措施，以培育大径材、建设国家储备林、实施高质量森林抚育、建设高质量水源林、营造高质量防火林带、开展低效林改造等为重点，大力实施森林质量提升工程，优化林分结构，提高森林质量和林地生产力，增强碳汇能力，为实现碳达峰碳中和目标作出积极贡献。</w:t>
      </w:r>
    </w:p>
    <w:p w14:paraId="200FBB1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4.强化体系建设</w:t>
      </w:r>
    </w:p>
    <w:p w14:paraId="3DFA5081">
      <w:pPr>
        <w:pStyle w:val="2"/>
        <w:keepNext w:val="0"/>
        <w:keepLines w:val="0"/>
        <w:pageBreakBefore w:val="0"/>
        <w:widowControl/>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全面推行林长制，开展目标责任制督导考核，构建市镇村三级林长体系，推进林业治理体系和治理能力现代化建设，实现网格化管理，落实各级林长巡林、护林职责，及时发现、制止、查处破坏森林资源违法犯罪行为，实现</w:t>
      </w:r>
      <w:r>
        <w:rPr>
          <w:rFonts w:hint="eastAsia" w:eastAsia="仿宋_GB2312" w:cs="Times New Roman"/>
          <w:color w:val="auto"/>
          <w:kern w:val="0"/>
          <w:sz w:val="30"/>
          <w:szCs w:val="30"/>
          <w:highlight w:val="none"/>
          <w:lang w:val="en-US" w:eastAsia="zh-CN" w:bidi="ar-SA"/>
        </w:rPr>
        <w:t>“</w:t>
      </w:r>
      <w:r>
        <w:rPr>
          <w:rFonts w:hint="default" w:ascii="Times New Roman" w:hAnsi="Times New Roman" w:eastAsia="仿宋_GB2312" w:cs="Times New Roman"/>
          <w:color w:val="auto"/>
          <w:kern w:val="0"/>
          <w:sz w:val="30"/>
          <w:szCs w:val="30"/>
          <w:highlight w:val="none"/>
          <w:lang w:val="en-US" w:eastAsia="zh-CN" w:bidi="ar-SA"/>
        </w:rPr>
        <w:t>山有人管、林有人护、责有人担</w:t>
      </w:r>
      <w:r>
        <w:rPr>
          <w:rFonts w:hint="eastAsia" w:eastAsia="仿宋_GB2312" w:cs="Times New Roman"/>
          <w:color w:val="auto"/>
          <w:kern w:val="0"/>
          <w:sz w:val="30"/>
          <w:szCs w:val="30"/>
          <w:highlight w:val="none"/>
          <w:lang w:val="en-US" w:eastAsia="zh-CN" w:bidi="ar-SA"/>
        </w:rPr>
        <w:t>”</w:t>
      </w:r>
      <w:r>
        <w:rPr>
          <w:rFonts w:hint="default" w:ascii="Times New Roman" w:hAnsi="Times New Roman" w:eastAsia="仿宋_GB2312" w:cs="Times New Roman"/>
          <w:color w:val="auto"/>
          <w:kern w:val="0"/>
          <w:sz w:val="30"/>
          <w:szCs w:val="30"/>
          <w:highlight w:val="none"/>
          <w:lang w:val="en-US" w:eastAsia="zh-CN" w:bidi="ar-SA"/>
        </w:rPr>
        <w:t>。持续开展森林督查，充分利用遥感影像发现违法使用林地问题，组织现地核查，推进问题整改，切实保护琼海绿水青山。</w:t>
      </w:r>
    </w:p>
    <w:p w14:paraId="0F2B2EF5">
      <w:pPr>
        <w:rPr>
          <w:rFonts w:hint="eastAsia" w:ascii="仿宋_GB2312" w:eastAsia="仿宋_GB2312" w:cs="Times New Roman"/>
          <w:kern w:val="0"/>
          <w:sz w:val="30"/>
          <w:szCs w:val="30"/>
          <w:highlight w:val="none"/>
          <w:lang w:val="en-US" w:eastAsia="zh-CN" w:bidi="ar-SA"/>
        </w:rPr>
      </w:pPr>
      <w:r>
        <w:rPr>
          <w:rFonts w:hint="eastAsia" w:ascii="仿宋_GB2312" w:eastAsia="仿宋_GB2312" w:cs="Times New Roman"/>
          <w:kern w:val="0"/>
          <w:sz w:val="30"/>
          <w:szCs w:val="30"/>
          <w:highlight w:val="none"/>
          <w:lang w:val="en-US" w:eastAsia="zh-CN" w:bidi="ar-SA"/>
        </w:rPr>
        <w:br w:type="page"/>
      </w:r>
    </w:p>
    <w:p w14:paraId="2221BA25">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25" w:name="_Toc397"/>
      <w:r>
        <w:rPr>
          <w:rFonts w:hint="eastAsia" w:ascii="黑体" w:hAnsi="黑体" w:eastAsia="黑体" w:cs="宋体"/>
          <w:kern w:val="0"/>
          <w:sz w:val="36"/>
          <w:szCs w:val="36"/>
          <w:highlight w:val="none"/>
          <w:lang w:val="en-US" w:eastAsia="zh-CN" w:bidi="ar-SA"/>
        </w:rPr>
        <w:t>第四章  林地总体布局</w:t>
      </w:r>
      <w:bookmarkEnd w:id="25"/>
    </w:p>
    <w:p w14:paraId="6865C542">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eastAsia" w:ascii="楷体" w:hAnsi="楷体" w:eastAsia="楷体" w:cs="宋体"/>
          <w:kern w:val="0"/>
          <w:sz w:val="32"/>
          <w:szCs w:val="32"/>
          <w:highlight w:val="none"/>
          <w:lang w:val="en-US" w:eastAsia="zh-CN" w:bidi="ar-SA"/>
        </w:rPr>
      </w:pPr>
      <w:bookmarkStart w:id="26" w:name="_Toc7087"/>
      <w:r>
        <w:rPr>
          <w:rFonts w:hint="eastAsia" w:ascii="楷体" w:hAnsi="楷体" w:eastAsia="楷体" w:cs="宋体"/>
          <w:kern w:val="0"/>
          <w:sz w:val="32"/>
          <w:szCs w:val="32"/>
          <w:highlight w:val="none"/>
          <w:lang w:val="en-US" w:eastAsia="zh-CN" w:bidi="ar-SA"/>
        </w:rPr>
        <w:t>一、国土空间开发保护总体布局</w:t>
      </w:r>
      <w:bookmarkEnd w:id="26"/>
    </w:p>
    <w:p w14:paraId="1CBC6697">
      <w:pPr>
        <w:keepNext w:val="0"/>
        <w:keepLines w:val="0"/>
        <w:pageBreakBefore w:val="0"/>
        <w:widowControl w:val="0"/>
        <w:numPr>
          <w:ilvl w:val="0"/>
          <w:numId w:val="0"/>
        </w:numPr>
        <w:kinsoku/>
        <w:wordWrap/>
        <w:overflowPunct/>
        <w:topLinePunct w:val="0"/>
        <w:autoSpaceDE/>
        <w:autoSpaceDN/>
        <w:bidi w:val="0"/>
        <w:adjustRightInd w:val="0"/>
        <w:snapToGrid/>
        <w:spacing w:before="157" w:beforeLines="50" w:line="560" w:lineRule="exact"/>
        <w:ind w:leftChars="0" w:firstLine="600" w:firstLineChars="200"/>
        <w:jc w:val="left"/>
        <w:textAlignment w:val="auto"/>
        <w:outlineLvl w:val="9"/>
        <w:rPr>
          <w:rFonts w:hint="eastAsia" w:ascii="楷体" w:hAnsi="楷体" w:eastAsia="楷体" w:cs="宋体"/>
          <w:kern w:val="0"/>
          <w:sz w:val="32"/>
          <w:szCs w:val="32"/>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构建以万泉河和滨海带为主要轴线的市域</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T</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字型空间发展轴，串联市域生态空间、城镇空间和产业空间。</w:t>
      </w:r>
      <w:r>
        <w:rPr>
          <w:rFonts w:hint="default" w:eastAsia="仿宋_GB2312"/>
          <w:kern w:val="0"/>
          <w:sz w:val="30"/>
          <w:szCs w:val="30"/>
          <w:highlight w:val="none"/>
        </w:rPr>
        <w:t>以</w:t>
      </w:r>
      <w:r>
        <w:rPr>
          <w:rFonts w:hint="eastAsia" w:eastAsia="仿宋_GB2312"/>
          <w:kern w:val="0"/>
          <w:sz w:val="30"/>
          <w:szCs w:val="30"/>
          <w:highlight w:val="none"/>
          <w:lang w:eastAsia="zh-CN"/>
        </w:rPr>
        <w:t>“</w:t>
      </w:r>
      <w:r>
        <w:rPr>
          <w:rFonts w:hint="default" w:eastAsia="仿宋_GB2312"/>
          <w:kern w:val="0"/>
          <w:sz w:val="30"/>
          <w:szCs w:val="30"/>
          <w:highlight w:val="none"/>
        </w:rPr>
        <w:t>山水林田湖草海</w:t>
      </w:r>
      <w:r>
        <w:rPr>
          <w:rFonts w:hint="eastAsia" w:eastAsia="仿宋_GB2312"/>
          <w:kern w:val="0"/>
          <w:sz w:val="30"/>
          <w:szCs w:val="30"/>
          <w:highlight w:val="none"/>
          <w:lang w:eastAsia="zh-CN"/>
        </w:rPr>
        <w:t>”</w:t>
      </w:r>
      <w:r>
        <w:rPr>
          <w:rFonts w:hint="default" w:eastAsia="仿宋_GB2312"/>
          <w:kern w:val="0"/>
          <w:sz w:val="30"/>
          <w:szCs w:val="30"/>
          <w:highlight w:val="none"/>
        </w:rPr>
        <w:t>生命共同体为基本框架，延续中部生态安全格局，按系统性保育的总体方向，强化</w:t>
      </w:r>
      <w:r>
        <w:rPr>
          <w:rFonts w:hint="eastAsia" w:eastAsia="仿宋_GB2312"/>
          <w:kern w:val="0"/>
          <w:sz w:val="30"/>
          <w:szCs w:val="30"/>
          <w:highlight w:val="none"/>
          <w:lang w:eastAsia="zh-CN"/>
        </w:rPr>
        <w:t>“</w:t>
      </w:r>
      <w:r>
        <w:rPr>
          <w:rFonts w:hint="default" w:eastAsia="仿宋_GB2312"/>
          <w:kern w:val="0"/>
          <w:sz w:val="30"/>
          <w:szCs w:val="30"/>
          <w:highlight w:val="none"/>
        </w:rPr>
        <w:t>一屏两带、四廊多点</w:t>
      </w:r>
      <w:r>
        <w:rPr>
          <w:rFonts w:hint="eastAsia" w:eastAsia="仿宋_GB2312"/>
          <w:kern w:val="0"/>
          <w:sz w:val="30"/>
          <w:szCs w:val="30"/>
          <w:highlight w:val="none"/>
          <w:lang w:eastAsia="zh-CN"/>
        </w:rPr>
        <w:t>”</w:t>
      </w:r>
      <w:r>
        <w:rPr>
          <w:rFonts w:hint="default" w:eastAsia="仿宋_GB2312"/>
          <w:kern w:val="0"/>
          <w:sz w:val="30"/>
          <w:szCs w:val="30"/>
          <w:highlight w:val="none"/>
        </w:rPr>
        <w:t>的区域生态安全格局。</w:t>
      </w:r>
      <w:r>
        <w:rPr>
          <w:rFonts w:hint="default" w:ascii="Times New Roman" w:hAnsi="Times New Roman" w:eastAsia="仿宋_GB2312" w:cs="Times New Roman"/>
          <w:kern w:val="0"/>
          <w:sz w:val="30"/>
          <w:szCs w:val="30"/>
          <w:highlight w:val="none"/>
          <w:lang w:val="en-US" w:eastAsia="zh-CN" w:bidi="ar-SA"/>
        </w:rPr>
        <w:t>形成以嘉积、乐城、博鳌三区为中心的带状组群中心城区，协同周边万泉、塔洋、中原、潭门四个镇和官塘温泉旅游度假区共同组成体现琼海核心竞争力和影响力的核心地区。促进以重点镇和产业区为核心的城镇组团式发展。按照居民交通出行的活动规律，有效配置公共服务资源，打造就业、生活、服务均衡发展的城镇联动发展圈。在市域构建三个不同功能的城镇联动发展圈，将位于重要区域廊道上、产业特色明显的城镇，培育成具有综合性辐射、服务作用的重点镇，统筹周边区域的公共服务设施配置，促进城镇圈内产城融合、资源互补、服务共享。通过生产方式转变带动农民生活方式转变，加强村庄分类引导，改善乡村人居环境，保护传统风貌和自然环境，充分发挥生态绿地和水系对提升环境质量的支撑作用</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保留现状规模、区位、产业、历史文化资源等综合评价较高的村庄，以集约节约用地为导向，推进基本公共服务和市政实施建设。对列入美丽乡村建设及整体具有较好传统风貌特征和历史文化价值的村庄，要进一步加强村庄特色风貌保护，合理布局公共服务设施。逐步撤并位于Ⅰ类红线区范围内、受环境影响严重、居民点规模小、分布散的村庄，引导农民进城入镇。</w:t>
      </w:r>
      <w:bookmarkStart w:id="27" w:name="_Toc21079"/>
    </w:p>
    <w:p w14:paraId="085232E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center"/>
        <w:textAlignment w:val="auto"/>
        <w:outlineLvl w:val="9"/>
        <w:rPr>
          <w:rFonts w:hint="default" w:ascii="Times New Roman" w:hAnsi="Times New Roman" w:eastAsia="仿宋_GB2312" w:cs="Times New Roman"/>
          <w:b/>
          <w:bCs/>
          <w:kern w:val="0"/>
          <w:sz w:val="28"/>
          <w:szCs w:val="28"/>
          <w:highlight w:val="none"/>
          <w:lang w:val="en-US" w:eastAsia="zh-CN" w:bidi="ar-SA"/>
        </w:rPr>
      </w:pPr>
      <w:r>
        <w:rPr>
          <w:rFonts w:hint="eastAsia" w:ascii="楷体" w:hAnsi="楷体" w:eastAsia="楷体" w:cs="宋体"/>
          <w:kern w:val="0"/>
          <w:sz w:val="32"/>
          <w:szCs w:val="32"/>
          <w:highlight w:val="none"/>
          <w:lang w:val="en-US" w:eastAsia="zh-CN" w:bidi="ar-SA"/>
        </w:rPr>
        <w:drawing>
          <wp:anchor distT="0" distB="0" distL="114300" distR="114300" simplePos="0" relativeHeight="251661312" behindDoc="0" locked="0" layoutInCell="1" allowOverlap="1">
            <wp:simplePos x="0" y="0"/>
            <wp:positionH relativeFrom="column">
              <wp:posOffset>-190500</wp:posOffset>
            </wp:positionH>
            <wp:positionV relativeFrom="paragraph">
              <wp:posOffset>304800</wp:posOffset>
            </wp:positionV>
            <wp:extent cx="5871210" cy="3815080"/>
            <wp:effectExtent l="0" t="0" r="8890" b="7620"/>
            <wp:wrapSquare wrapText="bothSides"/>
            <wp:docPr id="13" name="图片 13" descr="琼海市国土空间规划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琼海市国土空间规划_09"/>
                    <pic:cNvPicPr>
                      <a:picLocks noChangeAspect="1"/>
                    </pic:cNvPicPr>
                  </pic:nvPicPr>
                  <pic:blipFill>
                    <a:blip r:embed="rId8"/>
                    <a:stretch>
                      <a:fillRect/>
                    </a:stretch>
                  </pic:blipFill>
                  <pic:spPr>
                    <a:xfrm>
                      <a:off x="0" y="0"/>
                      <a:ext cx="5871210" cy="3815080"/>
                    </a:xfrm>
                    <a:prstGeom prst="rect">
                      <a:avLst/>
                    </a:prstGeom>
                  </pic:spPr>
                </pic:pic>
              </a:graphicData>
            </a:graphic>
          </wp:anchor>
        </w:drawing>
      </w:r>
      <w:r>
        <w:rPr>
          <w:rFonts w:hint="eastAsia" w:ascii="Times New Roman" w:hAnsi="Times New Roman" w:eastAsia="仿宋_GB2312" w:cs="Times New Roman"/>
          <w:b/>
          <w:bCs/>
          <w:kern w:val="0"/>
          <w:sz w:val="28"/>
          <w:szCs w:val="28"/>
          <w:highlight w:val="none"/>
          <w:lang w:val="en-US" w:eastAsia="zh-CN" w:bidi="ar-SA"/>
        </w:rPr>
        <w:t>琼海市区域生态安全格局图</w:t>
      </w:r>
    </w:p>
    <w:p w14:paraId="0D6CF15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r>
        <w:rPr>
          <w:rFonts w:hint="eastAsia" w:ascii="楷体" w:hAnsi="楷体" w:eastAsia="楷体" w:cs="宋体"/>
          <w:kern w:val="0"/>
          <w:sz w:val="32"/>
          <w:szCs w:val="32"/>
          <w:highlight w:val="none"/>
          <w:lang w:val="en-US" w:eastAsia="zh-CN" w:bidi="ar-SA"/>
        </w:rPr>
        <w:t>二、林地保护利用总体布局</w:t>
      </w:r>
      <w:bookmarkEnd w:id="27"/>
    </w:p>
    <w:p w14:paraId="04A6B41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分区方法</w:t>
      </w:r>
    </w:p>
    <w:p w14:paraId="0920E60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以省级的林地功能分区为指导，参考《琼海市总体规划（空间类2015-2030）》功能分区，并结合必要的补充调查，分析区域间的差异性和区域内的一致性；根据区域生态重要性等级和生态脆弱性等级确定生态区位等级；根据森林资源规划设计调查成果和木材及非木材产品供需统计资料，分析林地生产力现状、林业产业规模、林产品需求的满足程度，以及区域优势和发展潜力；在以上分析的基础上，按照主导功能和利用方向，将林地划分为地域上连片、主导功能相对一致的若干个功能区，提出林地保护利用的方向和途径。</w:t>
      </w:r>
    </w:p>
    <w:p w14:paraId="2AC3BDEA">
      <w:pPr>
        <w:pStyle w:val="4"/>
        <w:keepNext w:val="0"/>
        <w:keepLines w:val="0"/>
        <w:pageBreakBefore w:val="0"/>
        <w:widowControl w:val="0"/>
        <w:numPr>
          <w:ilvl w:val="0"/>
          <w:numId w:val="5"/>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分区结果</w:t>
      </w:r>
    </w:p>
    <w:p w14:paraId="0EF30DB4">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围绕海南省林地保护利用总体区划</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一区</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一带</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一圈</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总体部署，结合《琼海市总体规划（空间类2015-2030）》，根据林地控制线内的林地总体分布与现状情况，对琼海市林地保护利用功能区划为中部南部山生态保护核心区、沿海防护林及红树林带、环岛中间商品林圈三个区域，其林地保护利用总体区划见下表。</w:t>
      </w:r>
    </w:p>
    <w:p w14:paraId="7299CA8F">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方正小标宋简体" w:cs="Times New Roman"/>
          <w:sz w:val="28"/>
          <w:szCs w:val="28"/>
          <w:highlight w:val="none"/>
          <w:lang w:val="en-US" w:eastAsia="zh-CN"/>
        </w:rPr>
      </w:pPr>
      <w:r>
        <w:rPr>
          <w:rFonts w:hint="default" w:ascii="Times New Roman" w:hAnsi="Times New Roman" w:eastAsia="方正小标宋简体" w:cs="Times New Roman"/>
          <w:sz w:val="28"/>
          <w:szCs w:val="28"/>
          <w:highlight w:val="none"/>
          <w:lang w:val="en-US" w:eastAsia="zh-CN"/>
        </w:rPr>
        <w:t>表6 琼海市林地保护利用功能分区概况表</w:t>
      </w:r>
    </w:p>
    <w:tbl>
      <w:tblPr>
        <w:tblStyle w:val="10"/>
        <w:tblW w:w="8424"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68"/>
        <w:gridCol w:w="2886"/>
        <w:gridCol w:w="2689"/>
        <w:gridCol w:w="1311"/>
        <w:gridCol w:w="970"/>
      </w:tblGrid>
      <w:tr w14:paraId="04E9A3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F269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序号</w:t>
            </w:r>
          </w:p>
        </w:tc>
        <w:tc>
          <w:tcPr>
            <w:tcW w:w="2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D7A2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林业保护利用功能分区</w:t>
            </w: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72EF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主要区域</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BB3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面积</w:t>
            </w:r>
          </w:p>
          <w:p w14:paraId="40B735D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（公顷）</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C585">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占比</w:t>
            </w:r>
            <w:r>
              <w:rPr>
                <w:rFonts w:hint="eastAsia" w:eastAsia="仿宋_GB2312" w:cs="Times New Roman"/>
                <w:b/>
                <w:bCs/>
                <w:kern w:val="0"/>
                <w:sz w:val="24"/>
                <w:szCs w:val="24"/>
                <w:highlight w:val="none"/>
                <w:lang w:val="en-US" w:eastAsia="zh-CN" w:bidi="ar-SA"/>
              </w:rPr>
              <w:t>（%）</w:t>
            </w:r>
          </w:p>
        </w:tc>
      </w:tr>
      <w:tr w14:paraId="137CA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2DB3">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w:t>
            </w:r>
          </w:p>
        </w:tc>
        <w:tc>
          <w:tcPr>
            <w:tcW w:w="2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BC1A4">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中部南部山区生态保护核心区</w:t>
            </w: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ADC9C">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琼海市西南部万泉河河滨带及牛路岭水库周边</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80F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1064</w:t>
            </w:r>
            <w:r>
              <w:rPr>
                <w:rFonts w:hint="eastAsia" w:cs="Times New Roman"/>
                <w:i w:val="0"/>
                <w:iCs w:val="0"/>
                <w:color w:val="000000"/>
                <w:kern w:val="0"/>
                <w:sz w:val="24"/>
                <w:szCs w:val="24"/>
                <w:u w:val="none"/>
                <w:lang w:val="en-US" w:eastAsia="zh-CN" w:bidi="ar"/>
              </w:rPr>
              <w:t>1</w:t>
            </w:r>
            <w:r>
              <w:rPr>
                <w:rFonts w:hint="default" w:ascii="Times New Roman" w:hAnsi="Times New Roman" w:eastAsia="宋体" w:cs="Times New Roman"/>
                <w:i w:val="0"/>
                <w:iCs w:val="0"/>
                <w:color w:val="000000"/>
                <w:kern w:val="0"/>
                <w:sz w:val="24"/>
                <w:szCs w:val="24"/>
                <w:u w:val="none"/>
                <w:lang w:val="en-US" w:eastAsia="zh-CN" w:bidi="ar"/>
              </w:rPr>
              <w:t>.</w:t>
            </w:r>
            <w:r>
              <w:rPr>
                <w:rFonts w:hint="eastAsia" w:cs="Times New Roman"/>
                <w:i w:val="0"/>
                <w:iCs w:val="0"/>
                <w:color w:val="000000"/>
                <w:kern w:val="0"/>
                <w:sz w:val="24"/>
                <w:szCs w:val="24"/>
                <w:u w:val="none"/>
                <w:lang w:val="en-US" w:eastAsia="zh-CN" w:bidi="ar"/>
              </w:rPr>
              <w:t>99</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67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 xml:space="preserve">16.87 </w:t>
            </w:r>
          </w:p>
        </w:tc>
      </w:tr>
      <w:tr w14:paraId="767A9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6EFC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w:t>
            </w:r>
          </w:p>
        </w:tc>
        <w:tc>
          <w:tcPr>
            <w:tcW w:w="2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0BFD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沿海防护林及红树林带</w:t>
            </w: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A40C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琼海市博鳌镇、潭门镇及长坡镇东部沿海区域</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651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4804.5</w:t>
            </w:r>
            <w:r>
              <w:rPr>
                <w:rFonts w:hint="eastAsia" w:cs="Times New Roman"/>
                <w:i w:val="0"/>
                <w:iCs w:val="0"/>
                <w:color w:val="000000"/>
                <w:kern w:val="0"/>
                <w:sz w:val="24"/>
                <w:szCs w:val="24"/>
                <w:u w:val="none"/>
                <w:lang w:val="en-US" w:eastAsia="zh-CN" w:bidi="ar"/>
              </w:rPr>
              <w:t>3</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7C40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 xml:space="preserve">7.61 </w:t>
            </w:r>
          </w:p>
        </w:tc>
      </w:tr>
      <w:tr w14:paraId="392D8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5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4AC9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3</w:t>
            </w:r>
          </w:p>
        </w:tc>
        <w:tc>
          <w:tcPr>
            <w:tcW w:w="28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9A70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环岛中间商品林圈</w:t>
            </w:r>
          </w:p>
        </w:tc>
        <w:tc>
          <w:tcPr>
            <w:tcW w:w="26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2E25E">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琼海市南部及北部商品林区域等</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6A5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47654.50 </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49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 xml:space="preserve">75.52 </w:t>
            </w:r>
          </w:p>
        </w:tc>
      </w:tr>
      <w:tr w14:paraId="46A06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614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6597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总计</w:t>
            </w:r>
          </w:p>
        </w:tc>
        <w:tc>
          <w:tcPr>
            <w:tcW w:w="13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2B01F">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63101.0</w:t>
            </w:r>
            <w:r>
              <w:rPr>
                <w:rFonts w:hint="eastAsia" w:cs="Times New Roman"/>
                <w:b/>
                <w:bCs/>
                <w:i w:val="0"/>
                <w:iCs w:val="0"/>
                <w:color w:val="000000"/>
                <w:kern w:val="0"/>
                <w:sz w:val="24"/>
                <w:szCs w:val="24"/>
                <w:u w:val="none"/>
                <w:lang w:val="en-US" w:eastAsia="zh-CN" w:bidi="ar"/>
              </w:rPr>
              <w:t>2</w:t>
            </w:r>
            <w:r>
              <w:rPr>
                <w:rFonts w:hint="default" w:ascii="Times New Roman" w:hAnsi="Times New Roman" w:eastAsia="宋体" w:cs="Times New Roman"/>
                <w:b/>
                <w:bCs/>
                <w:i w:val="0"/>
                <w:iCs w:val="0"/>
                <w:color w:val="000000"/>
                <w:kern w:val="0"/>
                <w:sz w:val="24"/>
                <w:szCs w:val="24"/>
                <w:u w:val="none"/>
                <w:lang w:val="en-US" w:eastAsia="zh-CN" w:bidi="ar"/>
              </w:rPr>
              <w:t xml:space="preserve"> </w:t>
            </w:r>
          </w:p>
        </w:tc>
        <w:tc>
          <w:tcPr>
            <w:tcW w:w="9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3E6C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 xml:space="preserve">100.00 </w:t>
            </w:r>
          </w:p>
        </w:tc>
      </w:tr>
    </w:tbl>
    <w:p w14:paraId="0B1951DA">
      <w:pPr>
        <w:pStyle w:val="4"/>
        <w:keepNext w:val="0"/>
        <w:keepLines w:val="0"/>
        <w:pageBreakBefore w:val="0"/>
        <w:widowControl w:val="0"/>
        <w:numPr>
          <w:ilvl w:val="0"/>
          <w:numId w:val="5"/>
        </w:numPr>
        <w:kinsoku/>
        <w:wordWrap/>
        <w:overflowPunct/>
        <w:topLinePunct w:val="0"/>
        <w:autoSpaceDE/>
        <w:autoSpaceDN/>
        <w:bidi w:val="0"/>
        <w:adjustRightInd/>
        <w:snapToGrid/>
        <w:spacing w:before="157" w:beforeLines="50"/>
        <w:ind w:left="420" w:leftChars="200" w:firstLine="0" w:firstLineChars="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林地功能区布局与利用方向</w:t>
      </w:r>
    </w:p>
    <w:p w14:paraId="4C3CC2E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中部南部山生态保护核心区面积10</w:t>
      </w:r>
      <w:r>
        <w:rPr>
          <w:rFonts w:hint="eastAsia" w:eastAsia="仿宋_GB2312" w:cs="Times New Roman"/>
          <w:kern w:val="0"/>
          <w:sz w:val="30"/>
          <w:szCs w:val="30"/>
          <w:highlight w:val="none"/>
          <w:lang w:val="en-US" w:eastAsia="zh-CN" w:bidi="ar-SA"/>
        </w:rPr>
        <w:t>641.99</w:t>
      </w:r>
      <w:r>
        <w:rPr>
          <w:rFonts w:hint="default" w:ascii="Times New Roman" w:hAnsi="Times New Roman" w:eastAsia="仿宋_GB2312" w:cs="Times New Roman"/>
          <w:kern w:val="0"/>
          <w:sz w:val="30"/>
          <w:szCs w:val="30"/>
          <w:highlight w:val="none"/>
          <w:lang w:val="en-US" w:eastAsia="zh-CN" w:bidi="ar-SA"/>
        </w:rPr>
        <w:t>公顷，主要位于海南省会山省级自然保护区核心区、万泉河河滨带及牛路岭水库这类重要生态区位周边，该片区主要通过实施强制性保护，限制人类活动等方式，减少对其生态系统的干扰；沿海防护林及红树林带面积</w:t>
      </w:r>
      <w:r>
        <w:rPr>
          <w:rFonts w:hint="eastAsia" w:eastAsia="仿宋_GB2312" w:cs="Times New Roman"/>
          <w:kern w:val="0"/>
          <w:sz w:val="30"/>
          <w:szCs w:val="30"/>
          <w:highlight w:val="none"/>
          <w:lang w:val="en-US" w:eastAsia="zh-CN" w:bidi="ar-SA"/>
        </w:rPr>
        <w:t>4804.53</w:t>
      </w:r>
      <w:r>
        <w:rPr>
          <w:rFonts w:hint="default" w:ascii="Times New Roman" w:hAnsi="Times New Roman" w:eastAsia="仿宋_GB2312" w:cs="Times New Roman"/>
          <w:kern w:val="0"/>
          <w:sz w:val="30"/>
          <w:szCs w:val="30"/>
          <w:highlight w:val="none"/>
          <w:lang w:val="en-US" w:eastAsia="zh-CN" w:bidi="ar-SA"/>
        </w:rPr>
        <w:t>公顷，位于琼海市博鳌镇、潭门镇</w:t>
      </w:r>
      <w:r>
        <w:rPr>
          <w:rFonts w:hint="eastAsia" w:eastAsia="仿宋_GB2312" w:cs="Times New Roman"/>
          <w:kern w:val="0"/>
          <w:sz w:val="30"/>
          <w:szCs w:val="30"/>
          <w:highlight w:val="none"/>
          <w:lang w:val="en-US" w:eastAsia="zh-CN" w:bidi="ar-SA"/>
        </w:rPr>
        <w:t>及</w:t>
      </w:r>
      <w:r>
        <w:rPr>
          <w:rFonts w:hint="default" w:ascii="Times New Roman" w:hAnsi="Times New Roman" w:eastAsia="仿宋_GB2312" w:cs="Times New Roman"/>
          <w:kern w:val="0"/>
          <w:sz w:val="30"/>
          <w:szCs w:val="30"/>
          <w:highlight w:val="none"/>
          <w:lang w:val="en-US" w:eastAsia="zh-CN" w:bidi="ar-SA"/>
        </w:rPr>
        <w:t>长坡镇东部沿海区域，包含沿海防护林基干林带区域，该片区可结合旅游开发，融合沿海防护、旅游观光及人文发展进行保护利用，在加强沿海防护功能的同时，改变以木麻黄为主的单一树种结构特征。环岛中间商品林圈面积47654.</w:t>
      </w:r>
      <w:r>
        <w:rPr>
          <w:rFonts w:hint="eastAsia" w:eastAsia="仿宋_GB2312" w:cs="Times New Roman"/>
          <w:kern w:val="0"/>
          <w:sz w:val="30"/>
          <w:szCs w:val="30"/>
          <w:highlight w:val="none"/>
          <w:lang w:val="en-US" w:eastAsia="zh-CN" w:bidi="ar-SA"/>
        </w:rPr>
        <w:t>50</w:t>
      </w:r>
      <w:r>
        <w:rPr>
          <w:rFonts w:hint="default" w:ascii="Times New Roman" w:hAnsi="Times New Roman" w:eastAsia="仿宋_GB2312" w:cs="Times New Roman"/>
          <w:kern w:val="0"/>
          <w:sz w:val="30"/>
          <w:szCs w:val="30"/>
          <w:highlight w:val="none"/>
          <w:lang w:val="en-US" w:eastAsia="zh-CN" w:bidi="ar-SA"/>
        </w:rPr>
        <w:t>公顷，主要分布于琼海市南部及北部，以连片商品林为主，该区域优势树种以橡胶、槟榔为主，可结合当地特点，在保障产量的同时，创效益、提质量。</w:t>
      </w:r>
    </w:p>
    <w:p w14:paraId="47D9D1EB">
      <w:pPr>
        <w:numPr>
          <w:ilvl w:val="0"/>
          <w:numId w:val="0"/>
        </w:numPr>
        <w:ind w:leftChars="200"/>
        <w:rPr>
          <w:rFonts w:hint="eastAsia"/>
          <w:highlight w:val="none"/>
          <w:lang w:val="en-US" w:eastAsia="zh-CN"/>
        </w:rPr>
      </w:pPr>
    </w:p>
    <w:p w14:paraId="5349C517">
      <w:pPr>
        <w:rPr>
          <w:rFonts w:hint="eastAsia"/>
          <w:highlight w:val="none"/>
          <w:lang w:val="en-US" w:eastAsia="zh-CN"/>
        </w:rPr>
      </w:pPr>
      <w:r>
        <w:rPr>
          <w:rFonts w:hint="eastAsia"/>
          <w:highlight w:val="none"/>
          <w:lang w:val="en-US" w:eastAsia="zh-CN"/>
        </w:rPr>
        <w:br w:type="page"/>
      </w:r>
    </w:p>
    <w:p w14:paraId="5F3BBA94">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28" w:name="_Toc27628"/>
      <w:r>
        <w:rPr>
          <w:rFonts w:hint="eastAsia" w:ascii="黑体" w:hAnsi="黑体" w:eastAsia="黑体" w:cs="宋体"/>
          <w:kern w:val="0"/>
          <w:sz w:val="36"/>
          <w:szCs w:val="36"/>
          <w:highlight w:val="none"/>
          <w:lang w:val="en-US" w:eastAsia="zh-CN" w:bidi="ar-SA"/>
        </w:rPr>
        <w:t>第五章  全面保护林地</w:t>
      </w:r>
      <w:bookmarkEnd w:id="28"/>
    </w:p>
    <w:p w14:paraId="0FD6B905">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29" w:name="_Toc16499"/>
      <w:r>
        <w:rPr>
          <w:rFonts w:hint="eastAsia" w:ascii="楷体" w:hAnsi="楷体" w:eastAsia="楷体" w:cs="宋体"/>
          <w:kern w:val="0"/>
          <w:sz w:val="32"/>
          <w:szCs w:val="32"/>
          <w:highlight w:val="none"/>
          <w:lang w:val="en-US" w:eastAsia="zh-CN" w:bidi="ar-SA"/>
        </w:rPr>
        <w:t>一、严格林地用途管制</w:t>
      </w:r>
      <w:bookmarkEnd w:id="29"/>
    </w:p>
    <w:p w14:paraId="3EF4733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严格限制林地转为建设用地</w:t>
      </w:r>
    </w:p>
    <w:p w14:paraId="6028DE8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各级林业行政主管部门对使用林地的建设项目，要提前介入，进一步强化项目使用林地预审和使用林地可行性报告审核。各类工程建设项目用地应以不占或者少占林地为原则，必须占用征收林地的，应当依法办理审核、审核手续。用地中</w:t>
      </w:r>
      <w:r>
        <w:rPr>
          <w:rFonts w:hint="eastAsia" w:eastAsia="仿宋_GB2312" w:cs="Times New Roman"/>
          <w:kern w:val="0"/>
          <w:sz w:val="30"/>
          <w:szCs w:val="30"/>
          <w:highlight w:val="none"/>
          <w:lang w:val="en-US" w:eastAsia="zh-CN" w:bidi="ar-SA"/>
        </w:rPr>
        <w:t>涉及</w:t>
      </w:r>
      <w:r>
        <w:rPr>
          <w:rFonts w:hint="default" w:ascii="Times New Roman" w:hAnsi="Times New Roman" w:eastAsia="仿宋_GB2312" w:cs="Times New Roman"/>
          <w:kern w:val="0"/>
          <w:sz w:val="30"/>
          <w:szCs w:val="30"/>
          <w:highlight w:val="none"/>
          <w:lang w:val="en-US" w:eastAsia="zh-CN" w:bidi="ar-SA"/>
        </w:rPr>
        <w:t>自然保护区、森林公园、珍稀野生动植物生长地或栖息地、重要水源涵养区、古树名木等，应提出必要的避让和保护措施，切实做到有效保护重要生态功能区、脆弱区的森林资源。</w:t>
      </w:r>
    </w:p>
    <w:p w14:paraId="732CA58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严格限制林地转为其他农用地</w:t>
      </w:r>
    </w:p>
    <w:p w14:paraId="3467086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禁止非法毁林开垦、毁林挖塘等违法行为，并要依法打击、严厉查处。严格控制种植结构调整改变林地的性质和用途，特别是在生态脆弱的岩溶地区，严格控制砍毁石山灌木林种植农作物，</w:t>
      </w:r>
      <w:r>
        <w:rPr>
          <w:rFonts w:hint="eastAsia" w:eastAsia="仿宋_GB2312" w:cs="Times New Roman"/>
          <w:kern w:val="0"/>
          <w:sz w:val="30"/>
          <w:szCs w:val="30"/>
          <w:highlight w:val="none"/>
          <w:lang w:val="en-US" w:eastAsia="zh-CN" w:bidi="ar-SA"/>
        </w:rPr>
        <w:t>应以</w:t>
      </w:r>
      <w:r>
        <w:rPr>
          <w:rFonts w:hint="default" w:ascii="Times New Roman" w:hAnsi="Times New Roman" w:eastAsia="仿宋_GB2312" w:cs="Times New Roman"/>
          <w:kern w:val="0"/>
          <w:sz w:val="30"/>
          <w:szCs w:val="30"/>
          <w:highlight w:val="none"/>
          <w:lang w:val="en-US" w:eastAsia="zh-CN" w:bidi="ar-SA"/>
        </w:rPr>
        <w:t>生态效益和经济效益双增的发展模式为当地百姓脱贫致富。本规划期内将在林地落界规划的基础上确定本市林地保护利用的范围，对未经主管部门审核同意，擅自改变林地用途，责令限期恢复原状，对触犯法律的，要追究其刑事责任。通过加大林地执法管理力度，控制林地转变为其他农用地，对已经开垦种植、破坏的林地要逐步还林。</w:t>
      </w:r>
    </w:p>
    <w:p w14:paraId="66971872">
      <w:pPr>
        <w:rPr>
          <w:rFonts w:hint="default"/>
          <w:highlight w:val="none"/>
          <w:lang w:val="en-US" w:eastAsia="zh-CN"/>
        </w:rPr>
      </w:pPr>
      <w:r>
        <w:rPr>
          <w:rFonts w:hint="default"/>
          <w:highlight w:val="none"/>
          <w:lang w:val="en-US" w:eastAsia="zh-CN"/>
        </w:rPr>
        <w:br w:type="page"/>
      </w:r>
    </w:p>
    <w:p w14:paraId="2F064036">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三</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严格限制公益林转为商品林</w:t>
      </w:r>
    </w:p>
    <w:p w14:paraId="018D632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未经批准的公益林，不得擅自变更，确需变更的，应当由林业行政主管部门按法定权限和程序报原批准机关批准，并报上一级林业行政主管部门备案。因占用征收林地减少的公益林面积，各级林业主管部门应按照</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占一补一</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原则，调整公益林林地利用规划，并报原批准机关备案。严禁擅自改变重点公益林的性质、面积、范围或降低保护等级。禁止在国家级公益林地采石、采沙、取土，严格控制勘查、开采矿藏和工程建设占用征收重点公益林地。</w:t>
      </w:r>
    </w:p>
    <w:p w14:paraId="4ACEFE04">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四</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加强临时使用林地监督管理</w:t>
      </w:r>
    </w:p>
    <w:p w14:paraId="0F4E92A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临时使用林地不得修建永久性建筑物、构筑物和其他设施。不得以临时占地为名批准永久性使用林地，不得批准对林地表土层造成永久性</w:t>
      </w:r>
      <w:r>
        <w:rPr>
          <w:rFonts w:hint="eastAsia" w:eastAsia="仿宋_GB2312" w:cs="Times New Roman"/>
          <w:kern w:val="0"/>
          <w:sz w:val="30"/>
          <w:szCs w:val="30"/>
          <w:highlight w:val="none"/>
          <w:lang w:val="en-US" w:eastAsia="zh-CN" w:bidi="ar-SA"/>
        </w:rPr>
        <w:t>破坏</w:t>
      </w:r>
      <w:bookmarkStart w:id="60" w:name="_GoBack"/>
      <w:bookmarkEnd w:id="60"/>
      <w:r>
        <w:rPr>
          <w:rFonts w:hint="default" w:ascii="Times New Roman" w:hAnsi="Times New Roman" w:eastAsia="仿宋_GB2312" w:cs="Times New Roman"/>
          <w:kern w:val="0"/>
          <w:sz w:val="30"/>
          <w:szCs w:val="30"/>
          <w:highlight w:val="none"/>
          <w:lang w:val="en-US" w:eastAsia="zh-CN" w:bidi="ar-SA"/>
        </w:rPr>
        <w:t>的建设项目附属工程临时使用林地，不可恢复林业生产条件的采石（沙）场、取土场等应当办理永久性使用林地手续。临时使用林地的期限一般为二年，期满后还需要继续使用林地的，必须办理延续手续。临时使用林地期满后一年内，用地单位或者个人应当恢复植被和林业生产条件，并经有关主管部门组织验收后，交还给原土地所有权人或使用权人，保持林地用途不变，恢复森林植被。依法加强对辖区范围内临时使用林地的日常检查，督促建设单位按照批准的建设内容使用林地；建立临时使用林地恢复林业生产条件验收制度，临时使用林地的单位完成恢复林业生产条件后组织验收。</w:t>
      </w:r>
    </w:p>
    <w:p w14:paraId="70627A48">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6A4D412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五</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开展森林督察规范林地监管</w:t>
      </w:r>
    </w:p>
    <w:p w14:paraId="25BFA2C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牢固树立守土有责、守土负责、守土尽责意识，组织开展森林督查工作，采用天上看、地上巡的方式，充分利用遥感影像判读林地变化图斑，形成森林资源遥感判读数据库，通过查阅档案资料、实地验证等方法，核实林地资源变化情况，发现违法破坏森林资源行为，逐一查处，综合运用通报、约谈、曝光等手段推动发现问题全面整改，构建违法破坏森林资源案件数据库，建立案件台账管理和查处销号制度，实行案件查处情况动态管理，防止林地资源不正当流失，切实加强林地保护管理。</w:t>
      </w:r>
    </w:p>
    <w:p w14:paraId="0471EFE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六</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推行林长制落实林地保护职责</w:t>
      </w:r>
    </w:p>
    <w:p w14:paraId="0778FB1F">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建立市、乡、村三级林长体系，创新森林资源保护</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党政同责、分级负责、部门联动、群众参与</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机制，明确各级林长、林长联席会议及成员单位职责，形成组织完善、体系健全、责任明确、管理有序、考核科学、监管严密、运行高效的林长制组织体系，确保林有人看、责有人担，山有人管、事有人问。加快建立森林资源网格化管理体系，确保每块林地都有三级林长和护林员负责管理，实现森林资源长效化、常态化、网格化管理。</w:t>
      </w:r>
    </w:p>
    <w:p w14:paraId="66110FC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林长制督导考核纳入林业综合督查检查考核范围，建立林长制考核评价制度，对各乡镇总林长实行年度量化考核，督查考核森林覆盖率、森林蓄积量等规划指标和年度计划任务完成情况，市级总林长负责组织对下一级林长的考核，考核结果作为地方有关党政领导干部综合考核评价和自然资</w:t>
      </w:r>
      <w:r>
        <w:rPr>
          <w:rFonts w:hint="eastAsia" w:eastAsia="仿宋_GB2312" w:cs="Times New Roman"/>
          <w:kern w:val="0"/>
          <w:sz w:val="30"/>
          <w:szCs w:val="30"/>
          <w:highlight w:val="none"/>
          <w:lang w:val="en-US" w:eastAsia="zh-CN" w:bidi="ar-SA"/>
        </w:rPr>
        <w:t>源</w:t>
      </w:r>
      <w:r>
        <w:rPr>
          <w:rFonts w:hint="default" w:ascii="Times New Roman" w:hAnsi="Times New Roman" w:eastAsia="仿宋_GB2312" w:cs="Times New Roman"/>
          <w:kern w:val="0"/>
          <w:sz w:val="30"/>
          <w:szCs w:val="30"/>
          <w:highlight w:val="none"/>
          <w:lang w:val="en-US" w:eastAsia="zh-CN" w:bidi="ar-SA"/>
        </w:rPr>
        <w:t>离任审计的重要依据。落实党政领导干部生态环境损害责任终身追究制，对造成森林资源严重破坏的，严格按照有关规定追究责任。</w:t>
      </w:r>
    </w:p>
    <w:p w14:paraId="4B6776D5">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七</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科学发展商品林</w:t>
      </w:r>
    </w:p>
    <w:p w14:paraId="48C9CE1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商品林地经营以市场为导向，按照市场经济规律进行运作。要引导并提倡全社会办林业，鼓励高科技、高投入、高产出和规模经营、企业化管理。政府及其主管部门对商品林基地实行宏观调控，搞好基础设施建设，创造良好发展环境，培育市场体系，监督市场运作和维护公平竞争。坚持森林采伐限额制度，以森林资源为基础，以森林经营方案为依据，科学安排伐区，合理分配采伐指标。要指导林业经营者自主编制森林经营方案，推动森林经营走上积极保护、大力发展、科学经营、持续利用的路子。</w:t>
      </w:r>
    </w:p>
    <w:p w14:paraId="23690DA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大力发展重点商品林建设，提高森林资源质量和木材、林副产品的供给能力，缓和木材需求矛盾，满足社会对森林产品的需求。通过商品林建设优化调整林业生产率布局和山区农村经济发展模式，消化富余劳动力，增加农民收入，从而减轻生态公益林保护和管理压力。</w:t>
      </w:r>
    </w:p>
    <w:p w14:paraId="6792ECA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30" w:name="_Toc4409"/>
      <w:r>
        <w:rPr>
          <w:rFonts w:hint="eastAsia" w:ascii="楷体" w:hAnsi="楷体" w:eastAsia="楷体" w:cs="宋体"/>
          <w:kern w:val="0"/>
          <w:sz w:val="32"/>
          <w:szCs w:val="32"/>
          <w:highlight w:val="none"/>
          <w:lang w:val="en-US" w:eastAsia="zh-CN" w:bidi="ar-SA"/>
        </w:rPr>
        <w:t>二、实行分级管理</w:t>
      </w:r>
      <w:bookmarkEnd w:id="30"/>
    </w:p>
    <w:p w14:paraId="3905544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科学划定林地保护等级</w:t>
      </w:r>
    </w:p>
    <w:p w14:paraId="1B03FAA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1.林地分级</w:t>
      </w:r>
    </w:p>
    <w:p w14:paraId="6680812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按照全面保护与突出重点保护相结合的原则，对林地进行系统评价，确定保护等级，对全市所有林地实施分级管理。为加强林地的保护管理，规划根据生态的脆弱性、生态区位的重要性、经济的重要性，对接国土空间规划、生态红线划定等数据，我市林地保护等级共划分为Ⅰ、Ⅱ、Ⅲ、Ⅳ级4个等级。根据林地保护等级，制定相应的保护措施，严禁擅自改变降低林地保护等级。</w:t>
      </w:r>
    </w:p>
    <w:p w14:paraId="3462546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2.各级林地保护规模</w:t>
      </w:r>
    </w:p>
    <w:p w14:paraId="62F9E5DF">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default" w:ascii="Times New Roman" w:hAnsi="Times New Roman" w:eastAsia="方正小标宋简体" w:cs="Times New Roman"/>
          <w:sz w:val="28"/>
          <w:szCs w:val="28"/>
          <w:highlight w:val="none"/>
          <w:lang w:val="en-US" w:eastAsia="zh-CN"/>
        </w:rPr>
      </w:pPr>
      <w:r>
        <w:rPr>
          <w:rFonts w:hint="default" w:ascii="Times New Roman" w:hAnsi="Times New Roman" w:eastAsia="方正小标宋简体" w:cs="Times New Roman"/>
          <w:sz w:val="28"/>
          <w:szCs w:val="28"/>
          <w:highlight w:val="none"/>
          <w:lang w:val="en-US" w:eastAsia="zh-CN"/>
        </w:rPr>
        <w:t>表7 琼海市各等级林地范围与规模</w:t>
      </w:r>
    </w:p>
    <w:tbl>
      <w:tblPr>
        <w:tblStyle w:val="10"/>
        <w:tblW w:w="5052"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9"/>
        <w:gridCol w:w="728"/>
        <w:gridCol w:w="5158"/>
        <w:gridCol w:w="1210"/>
        <w:gridCol w:w="1086"/>
      </w:tblGrid>
      <w:tr w14:paraId="7F609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jc w:val="center"/>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8FE8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序号</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3CF06">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保护等级</w:t>
            </w:r>
          </w:p>
        </w:tc>
        <w:tc>
          <w:tcPr>
            <w:tcW w:w="2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34BE9">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范围</w:t>
            </w:r>
          </w:p>
        </w:tc>
        <w:tc>
          <w:tcPr>
            <w:tcW w:w="7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EEFA">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面积</w:t>
            </w:r>
          </w:p>
          <w:p w14:paraId="57FBC217">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（公顷）</w:t>
            </w:r>
          </w:p>
        </w:tc>
        <w:tc>
          <w:tcPr>
            <w:tcW w:w="63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F4E8">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仿宋_GB2312" w:cs="Times New Roman"/>
                <w:b/>
                <w:bCs/>
                <w:kern w:val="0"/>
                <w:sz w:val="24"/>
                <w:szCs w:val="24"/>
                <w:highlight w:val="none"/>
                <w:lang w:val="en-US" w:eastAsia="zh-CN" w:bidi="ar-SA"/>
              </w:rPr>
            </w:pPr>
            <w:r>
              <w:rPr>
                <w:rFonts w:hint="default" w:ascii="Times New Roman" w:hAnsi="Times New Roman" w:eastAsia="仿宋_GB2312" w:cs="Times New Roman"/>
                <w:b/>
                <w:bCs/>
                <w:kern w:val="0"/>
                <w:sz w:val="24"/>
                <w:szCs w:val="24"/>
                <w:highlight w:val="none"/>
                <w:lang w:val="en-US" w:eastAsia="zh-CN" w:bidi="ar-SA"/>
              </w:rPr>
              <w:t>占比</w:t>
            </w:r>
            <w:r>
              <w:rPr>
                <w:rFonts w:hint="eastAsia" w:eastAsia="仿宋_GB2312" w:cs="Times New Roman"/>
                <w:b/>
                <w:bCs/>
                <w:kern w:val="0"/>
                <w:sz w:val="24"/>
                <w:szCs w:val="24"/>
                <w:highlight w:val="none"/>
                <w:lang w:val="en-US" w:eastAsia="zh-CN" w:bidi="ar-SA"/>
              </w:rPr>
              <w:t>（%）</w:t>
            </w:r>
          </w:p>
        </w:tc>
      </w:tr>
      <w:tr w14:paraId="34984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02A4">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77214">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Ⅰ</w:t>
            </w:r>
            <w:r>
              <w:rPr>
                <w:rStyle w:val="18"/>
                <w:rFonts w:hAnsi="Times New Roman"/>
                <w:lang w:val="en-US" w:eastAsia="zh-CN" w:bidi="ar"/>
              </w:rPr>
              <w:t>级</w:t>
            </w:r>
          </w:p>
        </w:tc>
        <w:tc>
          <w:tcPr>
            <w:tcW w:w="2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D4ED">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海南省会山省级自然保护区核心区及十四个饮用水水源一级保护区范围内林地</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90A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515.8</w:t>
            </w:r>
            <w:r>
              <w:rPr>
                <w:rFonts w:hint="eastAsia" w:cs="Times New Roman"/>
                <w:i w:val="0"/>
                <w:iCs w:val="0"/>
                <w:color w:val="000000"/>
                <w:kern w:val="0"/>
                <w:sz w:val="24"/>
                <w:szCs w:val="24"/>
                <w:u w:val="none"/>
                <w:lang w:val="en-US" w:eastAsia="zh-CN" w:bidi="ar"/>
              </w:rPr>
              <w:t>1</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64EB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 xml:space="preserve">0.82 </w:t>
            </w:r>
          </w:p>
        </w:tc>
      </w:tr>
      <w:tr w14:paraId="4AEA4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D966A">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6FD64">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Ⅱ</w:t>
            </w:r>
            <w:r>
              <w:rPr>
                <w:rStyle w:val="18"/>
                <w:rFonts w:hAnsi="Times New Roman"/>
                <w:lang w:val="en-US" w:eastAsia="zh-CN" w:bidi="ar"/>
              </w:rPr>
              <w:t>级</w:t>
            </w:r>
          </w:p>
        </w:tc>
        <w:tc>
          <w:tcPr>
            <w:tcW w:w="2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134BB">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海南省会山省级自然保护区一般控制区、国家级公益林林地</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FB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4348.8</w:t>
            </w:r>
            <w:r>
              <w:rPr>
                <w:rFonts w:hint="eastAsia" w:cs="Times New Roman"/>
                <w:i w:val="0"/>
                <w:iCs w:val="0"/>
                <w:color w:val="000000"/>
                <w:kern w:val="0"/>
                <w:sz w:val="24"/>
                <w:szCs w:val="24"/>
                <w:u w:val="none"/>
                <w:lang w:val="en-US" w:eastAsia="zh-CN" w:bidi="ar"/>
              </w:rPr>
              <w:t>3</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77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 xml:space="preserve">6.89 </w:t>
            </w:r>
          </w:p>
        </w:tc>
      </w:tr>
      <w:tr w14:paraId="0CED7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18856">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84CA9">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Ⅲ</w:t>
            </w:r>
            <w:r>
              <w:rPr>
                <w:rStyle w:val="18"/>
                <w:rFonts w:hAnsi="Times New Roman"/>
                <w:lang w:val="en-US" w:eastAsia="zh-CN" w:bidi="ar"/>
              </w:rPr>
              <w:t>级</w:t>
            </w:r>
          </w:p>
        </w:tc>
        <w:tc>
          <w:tcPr>
            <w:tcW w:w="2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6AA00">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Ⅰ</w:t>
            </w:r>
            <w:r>
              <w:rPr>
                <w:rStyle w:val="18"/>
                <w:rFonts w:hAnsi="Times New Roman"/>
                <w:lang w:val="en-US" w:eastAsia="zh-CN" w:bidi="ar"/>
              </w:rPr>
              <w:t>级、</w:t>
            </w:r>
            <w:r>
              <w:rPr>
                <w:rStyle w:val="19"/>
                <w:rFonts w:eastAsia="宋体"/>
                <w:lang w:val="en-US" w:eastAsia="zh-CN" w:bidi="ar"/>
              </w:rPr>
              <w:t>Ⅱ</w:t>
            </w:r>
            <w:r>
              <w:rPr>
                <w:rStyle w:val="18"/>
                <w:rFonts w:hAnsi="Times New Roman"/>
                <w:lang w:val="en-US" w:eastAsia="zh-CN" w:bidi="ar"/>
              </w:rPr>
              <w:t>级保护林地范围外的公益林林地、天然林林地及重点商品林林地</w:t>
            </w:r>
            <w:r>
              <w:rPr>
                <w:rFonts w:hint="eastAsia" w:ascii="仿宋_GB2312" w:hAnsi="宋体" w:eastAsia="仿宋_GB2312" w:cs="仿宋_GB2312"/>
                <w:i w:val="0"/>
                <w:iCs w:val="0"/>
                <w:color w:val="000000"/>
                <w:kern w:val="0"/>
                <w:sz w:val="24"/>
                <w:szCs w:val="24"/>
                <w:u w:val="none"/>
                <w:lang w:val="en-US" w:eastAsia="zh-CN" w:bidi="ar"/>
              </w:rPr>
              <w:t>及万泉河等生态保护红线范围内林地</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3EE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118</w:t>
            </w:r>
            <w:r>
              <w:rPr>
                <w:rFonts w:hint="eastAsia" w:cs="Times New Roman"/>
                <w:i w:val="0"/>
                <w:iCs w:val="0"/>
                <w:color w:val="000000"/>
                <w:kern w:val="0"/>
                <w:sz w:val="24"/>
                <w:szCs w:val="24"/>
                <w:u w:val="none"/>
                <w:lang w:val="en-US" w:eastAsia="zh-CN" w:bidi="ar"/>
              </w:rPr>
              <w:t>39.26</w:t>
            </w: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3B1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18.7</w:t>
            </w:r>
            <w:r>
              <w:rPr>
                <w:rFonts w:hint="eastAsia" w:cs="Times New Roman"/>
                <w:i w:val="0"/>
                <w:iCs w:val="0"/>
                <w:color w:val="000000"/>
                <w:kern w:val="0"/>
                <w:sz w:val="24"/>
                <w:szCs w:val="24"/>
                <w:u w:val="none"/>
                <w:lang w:val="en-US" w:eastAsia="zh-CN" w:bidi="ar"/>
              </w:rPr>
              <w:t>6</w:t>
            </w:r>
            <w:r>
              <w:rPr>
                <w:rFonts w:hint="eastAsia" w:ascii="Times New Roman" w:hAnsi="Times New Roman" w:eastAsia="宋体" w:cs="Times New Roman"/>
                <w:i w:val="0"/>
                <w:iCs w:val="0"/>
                <w:color w:val="000000"/>
                <w:kern w:val="0"/>
                <w:sz w:val="24"/>
                <w:szCs w:val="24"/>
                <w:u w:val="none"/>
                <w:lang w:val="en-US" w:eastAsia="zh-CN" w:bidi="ar"/>
              </w:rPr>
              <w:t xml:space="preserve"> </w:t>
            </w:r>
          </w:p>
        </w:tc>
      </w:tr>
      <w:tr w14:paraId="04A95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2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CBE1">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42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BBFF">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宋体" w:cs="Times New Roman"/>
                <w:i w:val="0"/>
                <w:iCs w:val="0"/>
                <w:color w:val="000000"/>
                <w:kern w:val="0"/>
                <w:sz w:val="24"/>
                <w:szCs w:val="24"/>
                <w:u w:val="none"/>
                <w:lang w:val="en-US" w:eastAsia="zh-CN" w:bidi="ar"/>
              </w:rPr>
              <w:t>Ⅳ</w:t>
            </w:r>
            <w:r>
              <w:rPr>
                <w:rStyle w:val="18"/>
                <w:rFonts w:hAnsi="Times New Roman"/>
                <w:lang w:val="en-US" w:eastAsia="zh-CN" w:bidi="ar"/>
              </w:rPr>
              <w:t>级</w:t>
            </w:r>
          </w:p>
        </w:tc>
        <w:tc>
          <w:tcPr>
            <w:tcW w:w="299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B10B8">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未纳入上述</w:t>
            </w:r>
            <w:r>
              <w:rPr>
                <w:rStyle w:val="19"/>
                <w:rFonts w:eastAsia="仿宋_GB2312"/>
                <w:lang w:val="en-US" w:eastAsia="zh-CN" w:bidi="ar"/>
              </w:rPr>
              <w:t>Ⅰ</w:t>
            </w:r>
            <w:r>
              <w:rPr>
                <w:rStyle w:val="18"/>
                <w:rFonts w:hAnsi="宋体"/>
                <w:lang w:val="en-US" w:eastAsia="zh-CN" w:bidi="ar"/>
              </w:rPr>
              <w:t>、</w:t>
            </w:r>
            <w:r>
              <w:rPr>
                <w:rStyle w:val="19"/>
                <w:rFonts w:eastAsia="仿宋_GB2312"/>
                <w:lang w:val="en-US" w:eastAsia="zh-CN" w:bidi="ar"/>
              </w:rPr>
              <w:t>Ⅱ</w:t>
            </w:r>
            <w:r>
              <w:rPr>
                <w:rStyle w:val="18"/>
                <w:rFonts w:hAnsi="宋体"/>
                <w:lang w:val="en-US" w:eastAsia="zh-CN" w:bidi="ar"/>
              </w:rPr>
              <w:t>、</w:t>
            </w:r>
            <w:r>
              <w:rPr>
                <w:rStyle w:val="19"/>
                <w:rFonts w:eastAsia="仿宋_GB2312"/>
                <w:lang w:val="en-US" w:eastAsia="zh-CN" w:bidi="ar"/>
              </w:rPr>
              <w:t>Ⅲ</w:t>
            </w:r>
            <w:r>
              <w:rPr>
                <w:rStyle w:val="18"/>
                <w:rFonts w:hAnsi="宋体"/>
                <w:lang w:val="en-US" w:eastAsia="zh-CN" w:bidi="ar"/>
              </w:rPr>
              <w:t>级保护范围的各类林地</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CA70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4639</w:t>
            </w:r>
            <w:r>
              <w:rPr>
                <w:rFonts w:hint="eastAsia" w:cs="Times New Roman"/>
                <w:i w:val="0"/>
                <w:iCs w:val="0"/>
                <w:color w:val="000000"/>
                <w:kern w:val="0"/>
                <w:sz w:val="24"/>
                <w:szCs w:val="24"/>
                <w:u w:val="none"/>
                <w:lang w:val="en-US" w:eastAsia="zh-CN" w:bidi="ar"/>
              </w:rPr>
              <w:t>7.12</w:t>
            </w: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F358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Times New Roman" w:hAnsi="Times New Roman" w:eastAsia="宋体" w:cs="Times New Roman"/>
                <w:i w:val="0"/>
                <w:iCs w:val="0"/>
                <w:color w:val="000000"/>
                <w:kern w:val="0"/>
                <w:sz w:val="24"/>
                <w:szCs w:val="24"/>
                <w:u w:val="none"/>
                <w:lang w:val="en-US" w:eastAsia="zh-CN" w:bidi="ar"/>
              </w:rPr>
              <w:t>73.5</w:t>
            </w:r>
            <w:r>
              <w:rPr>
                <w:rFonts w:hint="eastAsia" w:cs="Times New Roman"/>
                <w:i w:val="0"/>
                <w:iCs w:val="0"/>
                <w:color w:val="000000"/>
                <w:kern w:val="0"/>
                <w:sz w:val="24"/>
                <w:szCs w:val="24"/>
                <w:u w:val="none"/>
                <w:lang w:val="en-US" w:eastAsia="zh-CN" w:bidi="ar"/>
              </w:rPr>
              <w:t>3</w:t>
            </w:r>
            <w:r>
              <w:rPr>
                <w:rFonts w:hint="eastAsia" w:ascii="Times New Roman" w:hAnsi="Times New Roman" w:eastAsia="宋体" w:cs="Times New Roman"/>
                <w:i w:val="0"/>
                <w:iCs w:val="0"/>
                <w:color w:val="000000"/>
                <w:kern w:val="0"/>
                <w:sz w:val="24"/>
                <w:szCs w:val="24"/>
                <w:u w:val="none"/>
                <w:lang w:val="en-US" w:eastAsia="zh-CN" w:bidi="ar"/>
              </w:rPr>
              <w:t xml:space="preserve"> </w:t>
            </w:r>
          </w:p>
        </w:tc>
      </w:tr>
      <w:tr w14:paraId="1A347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3666"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B356A">
            <w:pPr>
              <w:keepNext w:val="0"/>
              <w:keepLines w:val="0"/>
              <w:widowControl/>
              <w:suppressLineNumbers w:val="0"/>
              <w:jc w:val="center"/>
              <w:textAlignment w:val="bottom"/>
              <w:rPr>
                <w:rFonts w:hint="default" w:ascii="Times New Roman" w:hAnsi="Times New Roman" w:eastAsia="仿宋_GB2312" w:cs="Times New Roman"/>
                <w:kern w:val="0"/>
                <w:sz w:val="24"/>
                <w:szCs w:val="24"/>
                <w:highlight w:val="none"/>
                <w:lang w:val="en-US" w:eastAsia="zh-CN" w:bidi="ar-SA"/>
              </w:rPr>
            </w:pPr>
            <w:r>
              <w:rPr>
                <w:rFonts w:hint="eastAsia" w:ascii="仿宋_GB2312" w:hAnsi="宋体" w:eastAsia="仿宋_GB2312" w:cs="仿宋_GB2312"/>
                <w:i w:val="0"/>
                <w:iCs w:val="0"/>
                <w:color w:val="000000"/>
                <w:kern w:val="0"/>
                <w:sz w:val="24"/>
                <w:szCs w:val="24"/>
                <w:u w:val="none"/>
                <w:lang w:val="en-US" w:eastAsia="zh-CN" w:bidi="ar"/>
              </w:rPr>
              <w:t>总计</w:t>
            </w:r>
          </w:p>
        </w:tc>
        <w:tc>
          <w:tcPr>
            <w:tcW w:w="12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BBCC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default" w:ascii="Times New Roman" w:hAnsi="Times New Roman" w:eastAsia="宋体" w:cs="Times New Roman"/>
                <w:b/>
                <w:bCs/>
                <w:i w:val="0"/>
                <w:iCs w:val="0"/>
                <w:color w:val="000000"/>
                <w:kern w:val="0"/>
                <w:sz w:val="24"/>
                <w:szCs w:val="24"/>
                <w:u w:val="none"/>
                <w:lang w:val="en-US" w:eastAsia="zh-CN" w:bidi="ar"/>
              </w:rPr>
              <w:t>63101.0</w:t>
            </w:r>
            <w:r>
              <w:rPr>
                <w:rFonts w:hint="eastAsia" w:cs="Times New Roman"/>
                <w:b/>
                <w:bCs/>
                <w:i w:val="0"/>
                <w:iCs w:val="0"/>
                <w:color w:val="000000"/>
                <w:kern w:val="0"/>
                <w:sz w:val="24"/>
                <w:szCs w:val="24"/>
                <w:u w:val="none"/>
                <w:lang w:val="en-US" w:eastAsia="zh-CN" w:bidi="ar"/>
              </w:rPr>
              <w:t>2</w:t>
            </w:r>
            <w:r>
              <w:rPr>
                <w:rFonts w:hint="default" w:ascii="Times New Roman" w:hAnsi="Times New Roman" w:eastAsia="宋体" w:cs="Times New Roman"/>
                <w:b/>
                <w:bCs/>
                <w:i w:val="0"/>
                <w:iCs w:val="0"/>
                <w:color w:val="000000"/>
                <w:kern w:val="0"/>
                <w:sz w:val="24"/>
                <w:szCs w:val="24"/>
                <w:u w:val="none"/>
                <w:lang w:val="en-US" w:eastAsia="zh-CN" w:bidi="ar"/>
              </w:rPr>
              <w:t xml:space="preserve"> </w:t>
            </w:r>
          </w:p>
        </w:tc>
        <w:tc>
          <w:tcPr>
            <w:tcW w:w="10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D5A9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4"/>
                <w:szCs w:val="24"/>
                <w:u w:val="none"/>
                <w:lang w:val="en-US" w:eastAsia="zh-CN" w:bidi="ar"/>
              </w:rPr>
            </w:pPr>
            <w:r>
              <w:rPr>
                <w:rFonts w:hint="eastAsia" w:ascii="Times New Roman" w:hAnsi="Times New Roman" w:eastAsia="宋体" w:cs="Times New Roman"/>
                <w:b/>
                <w:bCs/>
                <w:i w:val="0"/>
                <w:iCs w:val="0"/>
                <w:color w:val="000000"/>
                <w:kern w:val="0"/>
                <w:sz w:val="24"/>
                <w:szCs w:val="24"/>
                <w:u w:val="none"/>
                <w:lang w:val="en-US" w:eastAsia="zh-CN" w:bidi="ar"/>
              </w:rPr>
              <w:t xml:space="preserve">100.00 </w:t>
            </w:r>
          </w:p>
        </w:tc>
      </w:tr>
    </w:tbl>
    <w:p w14:paraId="79F5C57B">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琼海市划分Ⅰ级林地面积</w:t>
      </w:r>
      <w:r>
        <w:rPr>
          <w:rFonts w:hint="eastAsia" w:ascii="Times New Roman" w:hAnsi="Times New Roman" w:eastAsia="仿宋_GB2312" w:cs="Times New Roman"/>
          <w:kern w:val="0"/>
          <w:sz w:val="30"/>
          <w:szCs w:val="30"/>
          <w:highlight w:val="none"/>
          <w:lang w:val="en-US" w:eastAsia="zh-CN" w:bidi="ar-SA"/>
        </w:rPr>
        <w:t>515.81</w:t>
      </w:r>
      <w:r>
        <w:rPr>
          <w:rFonts w:hint="default" w:ascii="Times New Roman" w:hAnsi="Times New Roman" w:eastAsia="仿宋_GB2312" w:cs="Times New Roman"/>
          <w:kern w:val="0"/>
          <w:sz w:val="30"/>
          <w:szCs w:val="30"/>
          <w:highlight w:val="none"/>
          <w:lang w:val="en-US" w:eastAsia="zh-CN" w:bidi="ar-SA"/>
        </w:rPr>
        <w:t>公顷，占</w:t>
      </w:r>
      <w:r>
        <w:rPr>
          <w:rFonts w:hint="eastAsia" w:ascii="Times New Roman" w:hAnsi="Times New Roman" w:eastAsia="仿宋_GB2312" w:cs="Times New Roman"/>
          <w:kern w:val="0"/>
          <w:sz w:val="30"/>
          <w:szCs w:val="30"/>
          <w:highlight w:val="none"/>
          <w:lang w:val="en-US" w:eastAsia="zh-CN" w:bidi="ar-SA"/>
        </w:rPr>
        <w:t>0.82</w:t>
      </w:r>
      <w:r>
        <w:rPr>
          <w:rFonts w:hint="default" w:ascii="Times New Roman" w:hAnsi="Times New Roman" w:eastAsia="仿宋_GB2312" w:cs="Times New Roman"/>
          <w:kern w:val="0"/>
          <w:sz w:val="30"/>
          <w:szCs w:val="30"/>
          <w:highlight w:val="none"/>
          <w:lang w:val="en-US" w:eastAsia="zh-CN" w:bidi="ar-SA"/>
        </w:rPr>
        <w:t>%；Ⅱ级林地面积</w:t>
      </w:r>
      <w:r>
        <w:rPr>
          <w:rFonts w:hint="eastAsia" w:ascii="Times New Roman" w:hAnsi="Times New Roman" w:eastAsia="仿宋_GB2312" w:cs="Times New Roman"/>
          <w:kern w:val="0"/>
          <w:sz w:val="30"/>
          <w:szCs w:val="30"/>
          <w:highlight w:val="none"/>
          <w:lang w:val="en-US" w:eastAsia="zh-CN" w:bidi="ar-SA"/>
        </w:rPr>
        <w:t>4348.83</w:t>
      </w:r>
      <w:r>
        <w:rPr>
          <w:rFonts w:hint="default" w:ascii="Times New Roman" w:hAnsi="Times New Roman" w:eastAsia="仿宋_GB2312" w:cs="Times New Roman"/>
          <w:kern w:val="0"/>
          <w:sz w:val="30"/>
          <w:szCs w:val="30"/>
          <w:highlight w:val="none"/>
          <w:lang w:val="en-US" w:eastAsia="zh-CN" w:bidi="ar-SA"/>
        </w:rPr>
        <w:t>公顷，占</w:t>
      </w:r>
      <w:r>
        <w:rPr>
          <w:rFonts w:hint="eastAsia" w:ascii="Times New Roman" w:hAnsi="Times New Roman" w:eastAsia="仿宋_GB2312" w:cs="Times New Roman"/>
          <w:kern w:val="0"/>
          <w:sz w:val="30"/>
          <w:szCs w:val="30"/>
          <w:highlight w:val="none"/>
          <w:lang w:val="en-US" w:eastAsia="zh-CN" w:bidi="ar-SA"/>
        </w:rPr>
        <w:t>6.89</w:t>
      </w:r>
      <w:r>
        <w:rPr>
          <w:rFonts w:hint="default" w:ascii="Times New Roman" w:hAnsi="Times New Roman" w:eastAsia="仿宋_GB2312" w:cs="Times New Roman"/>
          <w:kern w:val="0"/>
          <w:sz w:val="30"/>
          <w:szCs w:val="30"/>
          <w:highlight w:val="none"/>
          <w:lang w:val="en-US" w:eastAsia="zh-CN" w:bidi="ar-SA"/>
        </w:rPr>
        <w:t>%；Ⅲ级林地面积</w:t>
      </w:r>
      <w:r>
        <w:rPr>
          <w:rFonts w:hint="eastAsia" w:ascii="Times New Roman" w:hAnsi="Times New Roman" w:eastAsia="仿宋_GB2312" w:cs="Times New Roman"/>
          <w:kern w:val="0"/>
          <w:sz w:val="30"/>
          <w:szCs w:val="30"/>
          <w:highlight w:val="none"/>
          <w:lang w:val="en-US" w:eastAsia="zh-CN" w:bidi="ar-SA"/>
        </w:rPr>
        <w:t>11839.26</w:t>
      </w:r>
      <w:r>
        <w:rPr>
          <w:rFonts w:hint="default" w:ascii="Times New Roman" w:hAnsi="Times New Roman" w:eastAsia="仿宋_GB2312" w:cs="Times New Roman"/>
          <w:kern w:val="0"/>
          <w:sz w:val="30"/>
          <w:szCs w:val="30"/>
          <w:highlight w:val="none"/>
          <w:lang w:val="en-US" w:eastAsia="zh-CN" w:bidi="ar-SA"/>
        </w:rPr>
        <w:t>公顷，占</w:t>
      </w:r>
      <w:r>
        <w:rPr>
          <w:rFonts w:hint="eastAsia" w:ascii="Times New Roman" w:hAnsi="Times New Roman" w:eastAsia="仿宋_GB2312" w:cs="Times New Roman"/>
          <w:kern w:val="0"/>
          <w:sz w:val="30"/>
          <w:szCs w:val="30"/>
          <w:highlight w:val="none"/>
          <w:lang w:val="en-US" w:eastAsia="zh-CN" w:bidi="ar-SA"/>
        </w:rPr>
        <w:t>18.76</w:t>
      </w:r>
      <w:r>
        <w:rPr>
          <w:rFonts w:hint="default" w:ascii="Times New Roman" w:hAnsi="Times New Roman" w:eastAsia="仿宋_GB2312" w:cs="Times New Roman"/>
          <w:kern w:val="0"/>
          <w:sz w:val="30"/>
          <w:szCs w:val="30"/>
          <w:highlight w:val="none"/>
          <w:lang w:val="en-US" w:eastAsia="zh-CN" w:bidi="ar-SA"/>
        </w:rPr>
        <w:t>%；Ⅳ级林地面积</w:t>
      </w:r>
      <w:r>
        <w:rPr>
          <w:rFonts w:hint="eastAsia" w:ascii="Times New Roman" w:hAnsi="Times New Roman" w:eastAsia="仿宋_GB2312" w:cs="Times New Roman"/>
          <w:kern w:val="0"/>
          <w:sz w:val="30"/>
          <w:szCs w:val="30"/>
          <w:highlight w:val="none"/>
          <w:lang w:val="en-US" w:eastAsia="zh-CN" w:bidi="ar-SA"/>
        </w:rPr>
        <w:t>46397.12</w:t>
      </w:r>
      <w:r>
        <w:rPr>
          <w:rFonts w:hint="default" w:ascii="Times New Roman" w:hAnsi="Times New Roman" w:eastAsia="仿宋_GB2312" w:cs="Times New Roman"/>
          <w:kern w:val="0"/>
          <w:sz w:val="30"/>
          <w:szCs w:val="30"/>
          <w:highlight w:val="none"/>
          <w:lang w:val="en-US" w:eastAsia="zh-CN" w:bidi="ar-SA"/>
        </w:rPr>
        <w:t>公顷，占</w:t>
      </w:r>
      <w:r>
        <w:rPr>
          <w:rFonts w:hint="eastAsia" w:ascii="Times New Roman" w:hAnsi="Times New Roman" w:eastAsia="仿宋_GB2312" w:cs="Times New Roman"/>
          <w:kern w:val="0"/>
          <w:sz w:val="30"/>
          <w:szCs w:val="30"/>
          <w:highlight w:val="none"/>
          <w:lang w:val="en-US" w:eastAsia="zh-CN" w:bidi="ar-SA"/>
        </w:rPr>
        <w:t>73.53</w:t>
      </w:r>
      <w:r>
        <w:rPr>
          <w:rFonts w:hint="default" w:ascii="Times New Roman" w:hAnsi="Times New Roman" w:eastAsia="仿宋_GB2312" w:cs="Times New Roman"/>
          <w:kern w:val="0"/>
          <w:sz w:val="30"/>
          <w:szCs w:val="30"/>
          <w:highlight w:val="none"/>
          <w:lang w:val="en-US" w:eastAsia="zh-CN" w:bidi="ar-SA"/>
        </w:rPr>
        <w:t>%。林地面积按林地保护等级划分情况详见表7。到规划末期，保持Ⅰ级保护林地面积不减少；适度增加Ⅱ级保护林地；合理利用Ⅲ、Ⅳ级保护林地。</w:t>
      </w:r>
    </w:p>
    <w:p w14:paraId="5571867B">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22"/>
          <w:szCs w:val="22"/>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实施林地分级保护管理</w:t>
      </w:r>
    </w:p>
    <w:p w14:paraId="280966E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1.Ⅰ级保护林地</w:t>
      </w:r>
    </w:p>
    <w:p w14:paraId="00EBF3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1</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区域范围</w:t>
      </w:r>
    </w:p>
    <w:p w14:paraId="1710D6F4">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Ⅰ级保护林地是重要生态功能区予以特殊保护和禁止人为活动的区域，以维护原有生态系统，保障生物多样性为主要目的。包括海南省会山省级自然保护区核心区</w:t>
      </w:r>
      <w:r>
        <w:rPr>
          <w:rFonts w:hint="eastAsia" w:eastAsia="仿宋_GB2312" w:cs="Times New Roman"/>
          <w:kern w:val="0"/>
          <w:sz w:val="30"/>
          <w:szCs w:val="30"/>
          <w:highlight w:val="none"/>
          <w:lang w:val="en-US" w:eastAsia="zh-CN" w:bidi="ar-SA"/>
        </w:rPr>
        <w:t>和十四个饮用水水源一级保护区</w:t>
      </w:r>
      <w:r>
        <w:rPr>
          <w:rFonts w:hint="default" w:ascii="Times New Roman" w:hAnsi="Times New Roman" w:eastAsia="仿宋_GB2312" w:cs="Times New Roman"/>
          <w:kern w:val="0"/>
          <w:sz w:val="30"/>
          <w:szCs w:val="30"/>
          <w:highlight w:val="none"/>
          <w:lang w:val="en-US" w:eastAsia="zh-CN" w:bidi="ar-SA"/>
        </w:rPr>
        <w:t>的林地范畴。</w:t>
      </w:r>
    </w:p>
    <w:p w14:paraId="70E9471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2</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管控措施</w:t>
      </w:r>
    </w:p>
    <w:p w14:paraId="79ACA43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实行全面封禁保护，禁止人为活动，禁止改变林地用途。实行最严格保护，尽量使其保持自然状态，遵循自然演替规律，实行全面封禁保护，禁止一切生产经营活动，划定管护责区，配备专职护林员，长期巡防管护。</w:t>
      </w:r>
    </w:p>
    <w:p w14:paraId="1FD414A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2.Ⅱ级保护林地</w:t>
      </w:r>
    </w:p>
    <w:p w14:paraId="2B5911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1</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区域范围</w:t>
      </w:r>
    </w:p>
    <w:p w14:paraId="457234CB">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kern w:val="0"/>
          <w:sz w:val="30"/>
          <w:szCs w:val="30"/>
          <w:highlight w:val="none"/>
          <w:lang w:val="en-US" w:eastAsia="zh-CN" w:bidi="ar-SA"/>
        </w:rPr>
        <w:t>Ⅱ级保护林地是重要生态调节功能区内予以严格保护和限制经营利用的区域，可通过适当人为干预，改善生态系统，促进生物多样性。包括海南省会山省级自然保护区一般控制区、国家级公益林</w:t>
      </w:r>
      <w:r>
        <w:rPr>
          <w:rFonts w:hint="eastAsia" w:eastAsia="仿宋_GB2312" w:cs="Times New Roman"/>
          <w:kern w:val="0"/>
          <w:sz w:val="30"/>
          <w:szCs w:val="30"/>
          <w:highlight w:val="none"/>
          <w:lang w:val="en-US" w:eastAsia="zh-CN" w:bidi="ar-SA"/>
        </w:rPr>
        <w:t>。</w:t>
      </w:r>
    </w:p>
    <w:p w14:paraId="5E86A2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2</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管控措施</w:t>
      </w:r>
    </w:p>
    <w:p w14:paraId="03E1C40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实施局部封禁管护，对于立地条件差的疏林地、灌木林地实施局部封禁管护，鼓励和引导抚育性管理，改善林分质量和森林健康状况，确保生态功能不降低，对于立地条件好的疏林地、灌木林地等可以补植生态功能较强的乡土阔叶树种；对岩溶石山进行封山育林，加大管护力度，逐步提高林分质量和森林健康状况。加强执法队伍建设，落实责任到部门和个人，加大对破坏林地的打击力度，禁止商业性采伐。国务院批准、同意的建设项目，国务院有关部门和省级人民政府及其有关部门批准的基础设施、公共事业、民生建设项目，可以使用Ⅱ级及其以下保护林地外，不得以其他任何方式改变林地用途，严格限制建设工程占用天然林和单位面积蓄积高的林地。</w:t>
      </w:r>
    </w:p>
    <w:p w14:paraId="01168CB4">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530A9FD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3.Ⅲ级保护林地</w:t>
      </w:r>
    </w:p>
    <w:p w14:paraId="7BBDD3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1</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区域范围</w:t>
      </w:r>
    </w:p>
    <w:p w14:paraId="44F0B20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color w:val="auto"/>
          <w:kern w:val="0"/>
          <w:sz w:val="30"/>
          <w:szCs w:val="30"/>
          <w:highlight w:val="none"/>
          <w:lang w:val="en-US" w:eastAsia="zh-CN" w:bidi="ar-SA"/>
        </w:rPr>
        <w:t>Ⅲ级保护区域是维护区域生态平衡和保障主要林产品生产基地建设的区域。包括Ⅰ级、Ⅱ级保护林地范围外的公益林地、天然林地、重点商品林地及万泉河、九曲江、中平仔水库、南塘水库、塔洋河等生态红线范围内的林地。</w:t>
      </w:r>
      <w:r>
        <w:rPr>
          <w:rFonts w:hint="eastAsia" w:eastAsia="仿宋_GB2312" w:cs="Times New Roman"/>
          <w:color w:val="auto"/>
          <w:kern w:val="0"/>
          <w:sz w:val="30"/>
          <w:szCs w:val="30"/>
          <w:highlight w:val="none"/>
          <w:lang w:val="en-US" w:eastAsia="zh-CN" w:bidi="ar-SA"/>
        </w:rPr>
        <w:t>多分布在会山镇，龙江镇、万泉镇等。</w:t>
      </w:r>
    </w:p>
    <w:p w14:paraId="50E21F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2</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管控措施</w:t>
      </w:r>
    </w:p>
    <w:p w14:paraId="5A43E59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eastAsia="仿宋_GB2312"/>
          <w:kern w:val="0"/>
          <w:sz w:val="30"/>
          <w:szCs w:val="30"/>
          <w:highlight w:val="none"/>
        </w:rPr>
        <w:t>严格控制征占用森林。</w:t>
      </w:r>
      <w:r>
        <w:rPr>
          <w:rFonts w:hint="default" w:ascii="Times New Roman" w:hAnsi="Times New Roman" w:eastAsia="仿宋_GB2312" w:cs="Times New Roman"/>
          <w:kern w:val="0"/>
          <w:sz w:val="30"/>
          <w:szCs w:val="30"/>
          <w:highlight w:val="none"/>
          <w:lang w:val="en-US" w:eastAsia="zh-CN" w:bidi="ar-SA"/>
        </w:rPr>
        <w:t>优先考虑符合相关规划的生态建设项目、公共基础设施，生态旅游、低耗能和高新技术产业，限制勘察采矿、风电、光伏等项目</w:t>
      </w:r>
      <w:r>
        <w:rPr>
          <w:rFonts w:hint="eastAsia" w:eastAsia="仿宋_GB2312" w:cs="Times New Roman"/>
          <w:kern w:val="0"/>
          <w:sz w:val="30"/>
          <w:szCs w:val="30"/>
          <w:highlight w:val="none"/>
          <w:lang w:val="en-US" w:eastAsia="zh-CN" w:bidi="ar-SA"/>
        </w:rPr>
        <w:t>和其他</w:t>
      </w:r>
      <w:r>
        <w:rPr>
          <w:rFonts w:hint="default" w:ascii="Times New Roman" w:hAnsi="Times New Roman" w:eastAsia="仿宋_GB2312" w:cs="Times New Roman"/>
          <w:kern w:val="0"/>
          <w:sz w:val="30"/>
          <w:szCs w:val="30"/>
          <w:highlight w:val="none"/>
          <w:lang w:val="en-US" w:eastAsia="zh-CN" w:bidi="ar-SA"/>
        </w:rPr>
        <w:t>经营性项目使用林地。对于Ⅲ级保护林地中的公益林地，合理利用林地资源，开发林下种养业，利用森林景观发展森林旅游业等</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对于省级公益林中受灾害严重的、林分质量差的成过熟林，在确保生态系统健康和活力不受威胁或损害下，办理合法手续后允许更新采伐；适当增加重点商品林地面积</w:t>
      </w:r>
      <w:r>
        <w:rPr>
          <w:rFonts w:hint="eastAsia" w:eastAsia="仿宋_GB2312" w:cs="Times New Roman"/>
          <w:kern w:val="0"/>
          <w:sz w:val="30"/>
          <w:szCs w:val="30"/>
          <w:highlight w:val="none"/>
          <w:lang w:val="en-US" w:eastAsia="zh-CN" w:bidi="ar-SA"/>
        </w:rPr>
        <w:t>。</w:t>
      </w:r>
    </w:p>
    <w:p w14:paraId="67A512C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4.Ⅳ级保护林地</w:t>
      </w:r>
    </w:p>
    <w:p w14:paraId="5652A0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1</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区域范围</w:t>
      </w:r>
    </w:p>
    <w:p w14:paraId="7F2D35A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color w:val="auto"/>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Ⅳ级保护林地是保障主要林产品供给、需予以保护并引导合理、适度利用的区域。包括未纳入上述Ⅰ、Ⅱ、Ⅲ级保护区域以外的各类林地。</w:t>
      </w:r>
    </w:p>
    <w:p w14:paraId="50B3250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00" w:firstLineChars="200"/>
        <w:jc w:val="left"/>
        <w:textAlignment w:val="auto"/>
        <w:outlineLvl w:val="4"/>
        <w:rPr>
          <w:rFonts w:hint="default" w:ascii="Times New Roman" w:hAnsi="Times New Roman" w:eastAsia="仿宋_GB2312" w:cs="Times New Roman"/>
          <w:sz w:val="30"/>
          <w:szCs w:val="30"/>
          <w:highlight w:val="none"/>
          <w:lang w:val="en-US" w:eastAsia="zh-CN"/>
        </w:rPr>
      </w:pP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2</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highlight w:val="none"/>
          <w:lang w:val="en-US" w:eastAsia="zh-CN"/>
        </w:rPr>
        <w:t>管控措施</w:t>
      </w:r>
    </w:p>
    <w:p w14:paraId="068D25A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控制Ⅳ级保护林地非法转用和逆转，限制勘察采矿、风电、光伏等限制类项目占用林地。合理安排各类生产活动，要因地制宜，在立地条件好的地区推行集约经营、农林复合经营，加大林下经济产业发展。在法律允许的范围内合理安排各类生产活动，最大限度地挖掘林地生产力。</w:t>
      </w:r>
    </w:p>
    <w:p w14:paraId="11F3742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31" w:name="_Toc23877"/>
      <w:r>
        <w:rPr>
          <w:rFonts w:hint="default" w:ascii="Times New Roman" w:hAnsi="Times New Roman" w:eastAsia="楷体" w:cs="Times New Roman"/>
          <w:kern w:val="0"/>
          <w:sz w:val="32"/>
          <w:szCs w:val="32"/>
          <w:highlight w:val="none"/>
          <w:lang w:val="en-US" w:eastAsia="zh-CN" w:bidi="ar-SA"/>
        </w:rPr>
        <w:t>三、控制林地总量</w:t>
      </w:r>
      <w:bookmarkEnd w:id="31"/>
    </w:p>
    <w:p w14:paraId="13B6B62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严格执行林地总量控制制度</w:t>
      </w:r>
    </w:p>
    <w:p w14:paraId="645F43F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人民政府高度重视生态建设和保护工作，正确处理保护生态和发展经济的关系。违法将林地转为建设用地的坚决制止，坚决遏制毁林开垦、乱采滥挖等违法违规行为，实行森林资源保护发展目标责任制，将林地保有量作为一项约束性指标进行考核，确保每年林地转为非林地面积逐年降低。</w:t>
      </w:r>
    </w:p>
    <w:p w14:paraId="67C82F1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积极补充林地</w:t>
      </w:r>
    </w:p>
    <w:p w14:paraId="318EB0E8">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kern w:val="0"/>
          <w:sz w:val="30"/>
          <w:szCs w:val="30"/>
          <w:highlight w:val="none"/>
          <w:lang w:val="en-US" w:eastAsia="zh-CN" w:bidi="ar-SA"/>
        </w:rPr>
        <w:t>为确保林地保有量不减少，需加大补育林地力度，落实补充林地数量和分布，对于第三次国土调查成果为非林地，但依据森林资源管理</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等成果属于国家级和省级公益林地、天然林地、退耕还林工程的林地，经调查核实后优先纳入补充林地规划；对于第三次国土调查成果为其他土地等，经与空间规划衔接后作为补充林地；按林地保有量目标和生态建设需求，市人民政府规划用于造林绿化的其他土地，作为补充林地来源。</w:t>
      </w:r>
    </w:p>
    <w:p w14:paraId="59D380B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提升补充林地质量</w:t>
      </w:r>
    </w:p>
    <w:p w14:paraId="5577A3A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按照应绿尽绿的原则，加大补充林地造林力度，坚持因地制宜、适地适树，合理配置造林树种，优化林业种植结构，严格执行造林质量标准，切实加强新造林抚育管理，加快推进恢复森林植被，切实提升补充林地生产力。另外，政府可通过林地赎买、流转补偿等方式，根据《海南经济特区集体林地和林木流转规定》的要求，在征得权属单位意见后，将部分林地保护等级较高但林相较差的林地流转给政府进行更新改造，因地制宜培育珍贵乡土用材树种，改善林地质量，提升林地质量。</w:t>
      </w:r>
    </w:p>
    <w:p w14:paraId="6482AA6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32" w:name="_Toc442"/>
      <w:r>
        <w:rPr>
          <w:rFonts w:hint="eastAsia" w:ascii="楷体" w:hAnsi="楷体" w:eastAsia="楷体" w:cs="宋体"/>
          <w:kern w:val="0"/>
          <w:sz w:val="32"/>
          <w:szCs w:val="32"/>
          <w:highlight w:val="none"/>
          <w:lang w:val="en-US" w:eastAsia="zh-CN" w:bidi="ar-SA"/>
        </w:rPr>
        <w:t>四、加强森林保护</w:t>
      </w:r>
      <w:bookmarkEnd w:id="32"/>
    </w:p>
    <w:p w14:paraId="0958703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加强公益林保护</w:t>
      </w:r>
    </w:p>
    <w:p w14:paraId="3CCDEE2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加强公益林管护，完善公益林补偿机制。进一步落实公益林管护措施，加强对公益林的监管；对纳入公益林管理的森林和林地，以多种方式对经营者给予合理补偿，逐步提高补偿标准；加强资金管理和监督稽查，确保公益林森林生态效益补偿资金落实到位，用好管好公益林森林生态效益补偿资金和建设资金；通过开展公益林的优材更替、中幼林抚育、退化防护林建设、森林碳汇建设等工程，逐步提高公益林质量，增强森林防护和碳汇功能；建立和完善公益林信息管理系统和生态效益监测体系，探索公益林森林保险机制改革，提高公益林管理水平。</w:t>
      </w:r>
    </w:p>
    <w:p w14:paraId="35E2D9C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落实天然林保护修复</w:t>
      </w:r>
    </w:p>
    <w:p w14:paraId="2F74D4EF">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坚持因地制宜，以自然修复为主，充分借助大自然的力量，恢复林草植被；人工促进自然修复为辅，采取森林抚育、封山育林、后备资源培育等措施，人工促进自然恢复。对集中连片的天然林保护重点区域采取封禁管护措施，对于管护困难的封禁区可在山口、沟口等人员活动频繁处设置哨卡，加强封禁区管护；对于稀疏退化的天然林，采取人工促进、天然更新等措施，加快森林正向演替，逐步恢复天然次生林、退化次生林等生态系统功能，最终达到自我持续状态；通过开展幼龄林抚育管护和森林改造培育，结合林区民生改善、管护用房改造完善，对天然林资源实施重点保护和恢复，优化森林结构和树种组成；加强生态廊道建设；鼓励在废弃矿山、荒山荒地上逐步恢复天然植被。</w:t>
      </w:r>
    </w:p>
    <w:p w14:paraId="506EE647">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三</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强化自然保护地管理</w:t>
      </w:r>
    </w:p>
    <w:p w14:paraId="51E6A87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eastAsia" w:ascii="仿宋_GB2312" w:hAnsi="Times New Roman" w:eastAsia="仿宋_GB2312" w:cs="Times New Roman"/>
          <w:kern w:val="0"/>
          <w:sz w:val="30"/>
          <w:szCs w:val="30"/>
          <w:highlight w:val="none"/>
          <w:lang w:val="en-US" w:eastAsia="zh-CN" w:bidi="ar-SA"/>
        </w:rPr>
      </w:pPr>
      <w:r>
        <w:rPr>
          <w:rFonts w:hint="eastAsia" w:ascii="仿宋_GB2312" w:hAnsi="Times New Roman" w:eastAsia="仿宋_GB2312" w:cs="Times New Roman"/>
          <w:kern w:val="0"/>
          <w:sz w:val="30"/>
          <w:szCs w:val="30"/>
          <w:highlight w:val="none"/>
          <w:lang w:val="en-US" w:eastAsia="zh-CN" w:bidi="ar-SA"/>
        </w:rPr>
        <w:t>逐步建立以自然保护区为基础、各类自然公园为补充的自然保护地体系；开展自然保护地整合优化工作，科学划定核心保护区和一般控制区。不断完善自然保护地体制机制建设，加强自然保护地监督管理，构建自然保护地</w:t>
      </w:r>
      <w:r>
        <w:rPr>
          <w:rFonts w:hint="eastAsia" w:ascii="仿宋_GB2312" w:eastAsia="仿宋_GB2312" w:cs="Times New Roman"/>
          <w:kern w:val="0"/>
          <w:sz w:val="30"/>
          <w:szCs w:val="30"/>
          <w:highlight w:val="none"/>
          <w:lang w:val="en-US" w:eastAsia="zh-CN" w:bidi="ar-SA"/>
        </w:rPr>
        <w:t>“</w:t>
      </w:r>
      <w:r>
        <w:rPr>
          <w:rFonts w:hint="eastAsia" w:ascii="仿宋_GB2312" w:hAnsi="Times New Roman" w:eastAsia="仿宋_GB2312" w:cs="Times New Roman"/>
          <w:kern w:val="0"/>
          <w:sz w:val="30"/>
          <w:szCs w:val="30"/>
          <w:highlight w:val="none"/>
          <w:lang w:val="en-US" w:eastAsia="zh-CN" w:bidi="ar-SA"/>
        </w:rPr>
        <w:t>天空地一体化</w:t>
      </w:r>
      <w:r>
        <w:rPr>
          <w:rFonts w:hint="eastAsia" w:ascii="仿宋_GB2312" w:eastAsia="仿宋_GB2312" w:cs="Times New Roman"/>
          <w:kern w:val="0"/>
          <w:sz w:val="30"/>
          <w:szCs w:val="30"/>
          <w:highlight w:val="none"/>
          <w:lang w:val="en-US" w:eastAsia="zh-CN" w:bidi="ar-SA"/>
        </w:rPr>
        <w:t>”</w:t>
      </w:r>
      <w:r>
        <w:rPr>
          <w:rFonts w:hint="eastAsia" w:ascii="仿宋_GB2312" w:hAnsi="Times New Roman" w:eastAsia="仿宋_GB2312" w:cs="Times New Roman"/>
          <w:kern w:val="0"/>
          <w:sz w:val="30"/>
          <w:szCs w:val="30"/>
          <w:highlight w:val="none"/>
          <w:lang w:val="en-US" w:eastAsia="zh-CN" w:bidi="ar-SA"/>
        </w:rPr>
        <w:t>监测监管网络体系。严格实行分区管控规则，生态保护红线内的，自然保护地核心保护区原则上禁止人为活动；自然保护地一般控制区内限制人为活动；不得从事不符合主体功能区定位的各类开发活动，严格控制人为因素破坏自然生态和文化自然遗产原真性、完整性；禁止违反规定在自然保护地进行砍伐、放牧、猎捕、捕捞、采药、开垦、烧荒、开矿、采石、挖沙等活动；加强涉及自然保护地的建设项目准入审查，严格控制建设项目使用自然保护地林地，确因重大工程建设需要使用的，应当依法依规开展工程建设生态风险评估，并就可能造成的生态环境影响提出保护和恢复治理方案，经审批后方能办理使用林地手续。</w:t>
      </w:r>
    </w:p>
    <w:p w14:paraId="05F2B32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四</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加强资源调查监测</w:t>
      </w:r>
    </w:p>
    <w:p w14:paraId="272B345E">
      <w:pPr>
        <w:ind w:firstLine="560"/>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建成完善、技术先进的森林资源综合监测体系和动态监测体系，确保年年及时更新数据。按照</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技术上科学、实践上可行</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原则，完善监测组织机构与管理，加快技术改造、监测技术与设备的升级换代，推广监测新技术应用，构建反应及时、准确高效的综合监测体系，满足森林多种功能效益综合监测需要。全面进行林业重点工程成效监测，巩固林业调查基础设施设备建设，提升森林资源管理和调查监测能力；积极开展遥感监测等，推广应用无人机等新监测技术与方法，提高监测质量和水平，同时积极开展技术培训。建立本市森林资源规划设计调查专业队伍，确保全面、及时、有效</w:t>
      </w:r>
      <w:r>
        <w:rPr>
          <w:rFonts w:hint="eastAsia" w:eastAsia="仿宋_GB2312" w:cs="Times New Roman"/>
          <w:kern w:val="0"/>
          <w:sz w:val="30"/>
          <w:szCs w:val="30"/>
          <w:highlight w:val="none"/>
          <w:lang w:val="en-US" w:eastAsia="zh-CN" w:bidi="ar-SA"/>
        </w:rPr>
        <w:t>地</w:t>
      </w:r>
      <w:r>
        <w:rPr>
          <w:rFonts w:hint="default" w:ascii="Times New Roman" w:hAnsi="Times New Roman" w:eastAsia="仿宋_GB2312" w:cs="Times New Roman"/>
          <w:kern w:val="0"/>
          <w:sz w:val="30"/>
          <w:szCs w:val="30"/>
          <w:highlight w:val="none"/>
          <w:lang w:val="en-US" w:eastAsia="zh-CN" w:bidi="ar-SA"/>
        </w:rPr>
        <w:t>对全市森林资源进行监测管理。</w:t>
      </w:r>
    </w:p>
    <w:p w14:paraId="1A9E4A5C">
      <w:pPr>
        <w:rPr>
          <w:rFonts w:hint="eastAsia" w:ascii="仿宋_GB2312" w:hAnsi="Times New Roman" w:eastAsia="仿宋_GB2312" w:cs="Times New Roman"/>
          <w:kern w:val="0"/>
          <w:sz w:val="30"/>
          <w:szCs w:val="30"/>
          <w:highlight w:val="none"/>
          <w:lang w:val="en-US" w:eastAsia="zh-CN" w:bidi="ar-SA"/>
        </w:rPr>
      </w:pPr>
      <w:r>
        <w:rPr>
          <w:rFonts w:hint="eastAsia" w:ascii="仿宋_GB2312" w:hAnsi="Times New Roman" w:eastAsia="仿宋_GB2312" w:cs="Times New Roman"/>
          <w:kern w:val="0"/>
          <w:sz w:val="30"/>
          <w:szCs w:val="30"/>
          <w:highlight w:val="none"/>
          <w:lang w:val="en-US" w:eastAsia="zh-CN" w:bidi="ar-SA"/>
        </w:rPr>
        <w:br w:type="page"/>
      </w:r>
    </w:p>
    <w:p w14:paraId="791D0F07">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eastAsia" w:ascii="黑体" w:hAnsi="黑体" w:eastAsia="黑体" w:cs="宋体"/>
          <w:kern w:val="0"/>
          <w:sz w:val="36"/>
          <w:szCs w:val="36"/>
          <w:highlight w:val="none"/>
          <w:lang w:val="en-US" w:eastAsia="zh-CN" w:bidi="ar-SA"/>
        </w:rPr>
      </w:pPr>
      <w:bookmarkStart w:id="33" w:name="_Toc28546"/>
      <w:r>
        <w:rPr>
          <w:rFonts w:hint="eastAsia" w:ascii="黑体" w:hAnsi="黑体" w:eastAsia="黑体" w:cs="宋体"/>
          <w:kern w:val="0"/>
          <w:sz w:val="36"/>
          <w:szCs w:val="36"/>
          <w:highlight w:val="none"/>
          <w:lang w:val="en-US" w:eastAsia="zh-CN" w:bidi="ar-SA"/>
        </w:rPr>
        <w:t>第六章  合理利用林地</w:t>
      </w:r>
      <w:bookmarkEnd w:id="33"/>
    </w:p>
    <w:p w14:paraId="009126E9">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为争取尽快形成完善的林业生态体系、发达的林业产业体系、繁荣的林业生态文化体系，必须按照新时期林业的性质和定位发生的变化，结合全市林业建设发展实际，根据国民经济与社会发展的近期和中远期规划以及土地保护利用规划、森林分类区划界定规划等相关规划要求，坚持优化结构、调整布局，保障重点、科学经营、持续利用的方针，突出可持续发展这个主线，按照科学用地、因地制宜、适地适策、地尽其力的原则，大力推行节约集约利用林地，充分发挥林地的功能与效益，使全市林地利用的结构更加符合国民经济和社会发展的要求，更加符合林业自身功能的特点和规律，以实现新世纪林业的跨越式发展。</w:t>
      </w:r>
    </w:p>
    <w:p w14:paraId="6CB400A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jc w:val="left"/>
        <w:textAlignment w:val="auto"/>
        <w:outlineLvl w:val="1"/>
        <w:rPr>
          <w:rFonts w:hint="eastAsia" w:ascii="楷体" w:hAnsi="楷体" w:eastAsia="楷体" w:cs="宋体"/>
          <w:kern w:val="0"/>
          <w:sz w:val="32"/>
          <w:szCs w:val="32"/>
          <w:highlight w:val="none"/>
          <w:lang w:val="en-US" w:eastAsia="zh-CN" w:bidi="ar-SA"/>
        </w:rPr>
      </w:pPr>
      <w:bookmarkStart w:id="34" w:name="_Toc30181"/>
      <w:r>
        <w:rPr>
          <w:rFonts w:hint="eastAsia" w:ascii="楷体" w:hAnsi="楷体" w:eastAsia="楷体" w:cs="宋体"/>
          <w:kern w:val="0"/>
          <w:sz w:val="32"/>
          <w:szCs w:val="32"/>
          <w:highlight w:val="none"/>
          <w:lang w:val="en-US" w:eastAsia="zh-CN" w:bidi="ar-SA"/>
        </w:rPr>
        <w:t>一、保障重大项目使用林地</w:t>
      </w:r>
      <w:bookmarkEnd w:id="34"/>
    </w:p>
    <w:p w14:paraId="08D9EC26">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认真贯彻落实市委市政府的决策部署，以市发改委列出的重点项目清单为依据，统筹推动新型基础设施与传统基础设施建设，优先保障对全局具有重要影响的交通、水利、能源、信息、环保等重大基础设施建设使用林地需求。</w:t>
      </w:r>
    </w:p>
    <w:p w14:paraId="20729463">
      <w:pPr>
        <w:pStyle w:val="4"/>
        <w:keepNext w:val="0"/>
        <w:keepLines w:val="0"/>
        <w:pageBreakBefore w:val="0"/>
        <w:widowControl w:val="0"/>
        <w:numPr>
          <w:ilvl w:val="0"/>
          <w:numId w:val="6"/>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保障交通建设使用林地</w:t>
      </w:r>
    </w:p>
    <w:p w14:paraId="541D8CB1">
      <w:pPr>
        <w:keepNext w:val="0"/>
        <w:keepLines w:val="0"/>
        <w:pageBreakBefore w:val="0"/>
        <w:widowControl/>
        <w:suppressLineNumbers w:val="0"/>
        <w:kinsoku/>
        <w:wordWrap/>
        <w:overflowPunct/>
        <w:topLinePunct w:val="0"/>
        <w:autoSpaceDE/>
        <w:autoSpaceDN/>
        <w:bidi w:val="0"/>
        <w:adjustRightInd/>
        <w:snapToGrid/>
        <w:spacing w:line="560" w:lineRule="exact"/>
        <w:ind w:left="0" w:firstLine="600" w:firstLineChars="200"/>
        <w:jc w:val="both"/>
        <w:textAlignment w:val="auto"/>
        <w:rPr>
          <w:rFonts w:hint="eastAsia" w:ascii="仿宋_GB2312" w:hAnsi="Times New Roman" w:eastAsia="仿宋_GB2312" w:cs="Times New Roman"/>
          <w:kern w:val="0"/>
          <w:sz w:val="30"/>
          <w:szCs w:val="30"/>
          <w:highlight w:val="none"/>
          <w:lang w:val="en-US" w:eastAsia="zh-CN" w:bidi="ar-SA"/>
        </w:rPr>
      </w:pPr>
      <w:r>
        <w:rPr>
          <w:rFonts w:hint="eastAsia" w:ascii="仿宋_GB2312" w:hAnsi="Times New Roman" w:eastAsia="仿宋_GB2312" w:cs="Times New Roman"/>
          <w:kern w:val="0"/>
          <w:sz w:val="30"/>
          <w:szCs w:val="30"/>
          <w:highlight w:val="none"/>
          <w:lang w:val="en-US" w:eastAsia="zh-CN" w:bidi="ar-SA"/>
        </w:rPr>
        <w:t>以习近平新时代中国特色社会主义思想为指导，全面贯彻党的十九大和十九届二中、三中、四中、五中全会精神，深入贯彻习近平总书记对海南发展的重要指示批示精神，落实《海南自由贸易港建设总体方案》和市委市政府决策部署，坚持稳中求进工作总基调，坚持新发展理念，坚持高质量发展策略，坚持以人民为中心的发展思想，紧紧围绕服务国家、海南以及琼海发展大局，以深化供给侧结构性改革为主线，以改革创新为动力，加快建成“连接南北、贯通东西、航空航运、高速高铁、全域循环”的现</w:t>
      </w:r>
      <w:r>
        <w:rPr>
          <w:rFonts w:hint="default" w:ascii="Times New Roman" w:hAnsi="Times New Roman" w:eastAsia="仿宋_GB2312" w:cs="Times New Roman"/>
          <w:kern w:val="0"/>
          <w:sz w:val="30"/>
          <w:szCs w:val="30"/>
          <w:highlight w:val="none"/>
          <w:lang w:val="en-US" w:eastAsia="zh-CN" w:bidi="ar-SA"/>
        </w:rPr>
        <w:t>代综合交通运输体系，更好支撑服务高质量高标准建设海南自贸港东部区域中心城市和全市经济社会高质量发展。到2035年，构建形成安全、便捷、高效、绿色、经济的现代综合交通运输体系，对外交通联系更加方便快捷，对内交通畅通融合乐享，交通</w:t>
      </w:r>
      <w:r>
        <w:rPr>
          <w:rFonts w:hint="eastAsia" w:ascii="仿宋_GB2312" w:hAnsi="Times New Roman" w:eastAsia="仿宋_GB2312" w:cs="Times New Roman"/>
          <w:kern w:val="0"/>
          <w:sz w:val="30"/>
          <w:szCs w:val="30"/>
          <w:highlight w:val="none"/>
          <w:lang w:val="en-US" w:eastAsia="zh-CN" w:bidi="ar-SA"/>
        </w:rPr>
        <w:t>运输和旅游、生态深度融合发展，基本实现交通运输治理体系和治理能力现代化</w:t>
      </w:r>
      <w:r>
        <w:rPr>
          <w:rFonts w:hint="eastAsia" w:ascii="仿宋_GB2312" w:eastAsia="仿宋_GB2312" w:cs="Times New Roman"/>
          <w:kern w:val="0"/>
          <w:sz w:val="30"/>
          <w:szCs w:val="30"/>
          <w:highlight w:val="none"/>
          <w:lang w:val="en-US" w:eastAsia="zh-CN" w:bidi="ar-SA"/>
        </w:rPr>
        <w:t>，计划交通运输重点工程建设项目</w:t>
      </w:r>
      <w:r>
        <w:rPr>
          <w:rFonts w:hint="eastAsia" w:ascii="仿宋_GB2312" w:hAnsi="Times New Roman" w:eastAsia="仿宋_GB2312" w:cs="Times New Roman"/>
          <w:kern w:val="0"/>
          <w:sz w:val="30"/>
          <w:szCs w:val="30"/>
          <w:highlight w:val="none"/>
          <w:lang w:val="en-US" w:eastAsia="zh-CN" w:bidi="ar-SA"/>
        </w:rPr>
        <w:t>详见表</w:t>
      </w:r>
      <w:r>
        <w:rPr>
          <w:rFonts w:hint="eastAsia" w:eastAsia="仿宋_GB2312" w:cs="Times New Roman"/>
          <w:kern w:val="0"/>
          <w:sz w:val="30"/>
          <w:szCs w:val="30"/>
          <w:highlight w:val="none"/>
          <w:lang w:val="en-US" w:eastAsia="zh-CN" w:bidi="ar-SA"/>
        </w:rPr>
        <w:t>8</w:t>
      </w:r>
      <w:r>
        <w:rPr>
          <w:rFonts w:hint="eastAsia" w:ascii="仿宋_GB2312" w:hAnsi="Times New Roman" w:eastAsia="仿宋_GB2312" w:cs="Times New Roman"/>
          <w:kern w:val="0"/>
          <w:sz w:val="30"/>
          <w:szCs w:val="30"/>
          <w:highlight w:val="none"/>
          <w:lang w:val="en-US" w:eastAsia="zh-CN" w:bidi="ar-SA"/>
        </w:rPr>
        <w:t>。</w:t>
      </w:r>
    </w:p>
    <w:p w14:paraId="68037E53">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表8 琼海市交通运输重点工程建设项目表</w:t>
      </w:r>
    </w:p>
    <w:tbl>
      <w:tblPr>
        <w:tblStyle w:val="11"/>
        <w:tblW w:w="583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4547"/>
        <w:gridCol w:w="800"/>
        <w:gridCol w:w="1438"/>
        <w:gridCol w:w="2358"/>
      </w:tblGrid>
      <w:tr w14:paraId="4656C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tcPr>
          <w:p w14:paraId="59BE9AA8">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序号</w:t>
            </w:r>
          </w:p>
        </w:tc>
        <w:tc>
          <w:tcPr>
            <w:tcW w:w="2284" w:type="pct"/>
          </w:tcPr>
          <w:p w14:paraId="4F8FC8E6">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项目名称</w:t>
            </w:r>
          </w:p>
        </w:tc>
        <w:tc>
          <w:tcPr>
            <w:tcW w:w="401" w:type="pct"/>
          </w:tcPr>
          <w:p w14:paraId="4A0956C7">
            <w:pPr>
              <w:keepNext w:val="0"/>
              <w:keepLines w:val="0"/>
              <w:widowControl/>
              <w:suppressLineNumbers w:val="0"/>
              <w:jc w:val="center"/>
              <w:textAlignment w:val="center"/>
              <w:rPr>
                <w:rFonts w:hint="default"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建设性质</w:t>
            </w:r>
          </w:p>
        </w:tc>
        <w:tc>
          <w:tcPr>
            <w:tcW w:w="722" w:type="pct"/>
          </w:tcPr>
          <w:p w14:paraId="5A7EB232">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default" w:ascii="仿宋_GB2312" w:hAnsi="Times New Roman" w:eastAsia="仿宋_GB2312" w:cs="Times New Roman"/>
                <w:b/>
                <w:bCs/>
                <w:kern w:val="0"/>
                <w:sz w:val="24"/>
                <w:szCs w:val="24"/>
                <w:highlight w:val="none"/>
                <w:lang w:val="en-US" w:eastAsia="zh-CN" w:bidi="ar-SA"/>
              </w:rPr>
            </w:pPr>
            <w:r>
              <w:rPr>
                <w:rFonts w:hint="default" w:ascii="仿宋_GB2312" w:hAnsi="Times New Roman" w:eastAsia="仿宋_GB2312" w:cs="Times New Roman"/>
                <w:b/>
                <w:bCs/>
                <w:kern w:val="0"/>
                <w:sz w:val="24"/>
                <w:szCs w:val="24"/>
                <w:highlight w:val="none"/>
                <w:lang w:val="en-US" w:eastAsia="zh-CN" w:bidi="ar-SA"/>
              </w:rPr>
              <w:t>建设年限</w:t>
            </w:r>
          </w:p>
        </w:tc>
        <w:tc>
          <w:tcPr>
            <w:tcW w:w="1184" w:type="pct"/>
          </w:tcPr>
          <w:p w14:paraId="50E7A27F">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所在地区</w:t>
            </w:r>
          </w:p>
        </w:tc>
      </w:tr>
      <w:tr w14:paraId="58A93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1FC4379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w:t>
            </w:r>
          </w:p>
        </w:tc>
        <w:tc>
          <w:tcPr>
            <w:tcW w:w="2284" w:type="pct"/>
            <w:vAlign w:val="center"/>
          </w:tcPr>
          <w:p w14:paraId="36C3565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G9812高速公路工程及其附属工程</w:t>
            </w:r>
          </w:p>
        </w:tc>
        <w:tc>
          <w:tcPr>
            <w:tcW w:w="401" w:type="pct"/>
            <w:vAlign w:val="center"/>
          </w:tcPr>
          <w:p w14:paraId="6413DA3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5349041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2061C65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2D98C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20CFB8A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w:t>
            </w:r>
          </w:p>
        </w:tc>
        <w:tc>
          <w:tcPr>
            <w:tcW w:w="2284" w:type="pct"/>
            <w:vAlign w:val="center"/>
          </w:tcPr>
          <w:p w14:paraId="536E3E5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G98环岛高速工程及其附属工程（琼海段）</w:t>
            </w:r>
          </w:p>
        </w:tc>
        <w:tc>
          <w:tcPr>
            <w:tcW w:w="401" w:type="pct"/>
            <w:vAlign w:val="center"/>
          </w:tcPr>
          <w:p w14:paraId="75BB8AD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06771EE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2022~2030</w:t>
            </w:r>
          </w:p>
        </w:tc>
        <w:tc>
          <w:tcPr>
            <w:tcW w:w="1184" w:type="pct"/>
            <w:vAlign w:val="center"/>
          </w:tcPr>
          <w:p w14:paraId="0AC151A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1C19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720FEBD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3</w:t>
            </w:r>
          </w:p>
        </w:tc>
        <w:tc>
          <w:tcPr>
            <w:tcW w:w="2284" w:type="pct"/>
            <w:vAlign w:val="center"/>
          </w:tcPr>
          <w:p w14:paraId="52905343">
            <w:pPr>
              <w:keepNext w:val="0"/>
              <w:keepLines w:val="0"/>
              <w:pageBreakBefore w:val="0"/>
              <w:widowControl/>
              <w:suppressLineNumbers w:val="0"/>
              <w:kinsoku/>
              <w:wordWrap/>
              <w:overflowPunct/>
              <w:topLinePunct w:val="0"/>
              <w:autoSpaceDE/>
              <w:autoSpaceDN/>
              <w:bidi w:val="0"/>
              <w:adjustRightInd/>
              <w:snapToGrid/>
              <w:spacing w:before="63" w:beforeLines="20"/>
              <w:ind w:left="1200" w:leftChars="0" w:hanging="1200" w:hangingChars="50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省道S213嘉博线嘉积至博鳌禅寺段改建工程</w:t>
            </w:r>
          </w:p>
        </w:tc>
        <w:tc>
          <w:tcPr>
            <w:tcW w:w="401" w:type="pct"/>
            <w:vAlign w:val="center"/>
          </w:tcPr>
          <w:p w14:paraId="0C885B7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6ADBCB6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316CBF0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琼海市</w:t>
            </w:r>
          </w:p>
        </w:tc>
      </w:tr>
      <w:tr w14:paraId="72FDA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22C32EC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4</w:t>
            </w:r>
          </w:p>
        </w:tc>
        <w:tc>
          <w:tcPr>
            <w:tcW w:w="2284" w:type="pct"/>
            <w:vAlign w:val="center"/>
          </w:tcPr>
          <w:p w14:paraId="5BA49C9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县道新改建工程</w:t>
            </w:r>
          </w:p>
        </w:tc>
        <w:tc>
          <w:tcPr>
            <w:tcW w:w="401" w:type="pct"/>
            <w:vAlign w:val="center"/>
          </w:tcPr>
          <w:p w14:paraId="3DDEF81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6B84A1BD">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5FD6055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3CF6B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4DB2663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5</w:t>
            </w:r>
          </w:p>
        </w:tc>
        <w:tc>
          <w:tcPr>
            <w:tcW w:w="2284" w:type="pct"/>
            <w:vAlign w:val="center"/>
          </w:tcPr>
          <w:p w14:paraId="0F49053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乡村道新改扩建工程</w:t>
            </w:r>
          </w:p>
        </w:tc>
        <w:tc>
          <w:tcPr>
            <w:tcW w:w="401" w:type="pct"/>
            <w:vAlign w:val="center"/>
          </w:tcPr>
          <w:p w14:paraId="7A7BBCFD">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02D6B35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33CDD3D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60EFE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367AEB4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6</w:t>
            </w:r>
          </w:p>
        </w:tc>
        <w:tc>
          <w:tcPr>
            <w:tcW w:w="2284" w:type="pct"/>
            <w:vAlign w:val="center"/>
          </w:tcPr>
          <w:p w14:paraId="61C93EBD">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旅游资源路建设工程</w:t>
            </w:r>
          </w:p>
        </w:tc>
        <w:tc>
          <w:tcPr>
            <w:tcW w:w="401" w:type="pct"/>
            <w:vAlign w:val="center"/>
          </w:tcPr>
          <w:p w14:paraId="3D65412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5FA6B1D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3744EB4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78347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55D0ED7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7</w:t>
            </w:r>
          </w:p>
        </w:tc>
        <w:tc>
          <w:tcPr>
            <w:tcW w:w="2284" w:type="pct"/>
            <w:vAlign w:val="center"/>
          </w:tcPr>
          <w:p w14:paraId="5517BD5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安全生命防护工程</w:t>
            </w:r>
          </w:p>
        </w:tc>
        <w:tc>
          <w:tcPr>
            <w:tcW w:w="401" w:type="pct"/>
            <w:vAlign w:val="center"/>
          </w:tcPr>
          <w:p w14:paraId="508CDB0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23A1CE6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84" w:type="pct"/>
            <w:vAlign w:val="center"/>
          </w:tcPr>
          <w:p w14:paraId="70C66E2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琼海市，共计21</w:t>
            </w:r>
            <w:r>
              <w:rPr>
                <w:rFonts w:hint="eastAsia" w:ascii="Times New Roman" w:hAnsi="Times New Roman" w:eastAsia="仿宋_GB2312" w:cs="Times New Roman"/>
                <w:kern w:val="0"/>
                <w:sz w:val="24"/>
                <w:szCs w:val="24"/>
                <w:highlight w:val="none"/>
                <w:lang w:val="en-US" w:eastAsia="zh-CN" w:bidi="ar-SA"/>
              </w:rPr>
              <w:t>项</w:t>
            </w:r>
          </w:p>
        </w:tc>
      </w:tr>
      <w:tr w14:paraId="4E92D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5AD9FCB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8</w:t>
            </w:r>
          </w:p>
        </w:tc>
        <w:tc>
          <w:tcPr>
            <w:tcW w:w="2284" w:type="pct"/>
            <w:vAlign w:val="center"/>
          </w:tcPr>
          <w:p w14:paraId="3A7CBC8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危</w:t>
            </w:r>
            <w:r>
              <w:rPr>
                <w:rFonts w:hint="eastAsia" w:eastAsia="仿宋_GB2312" w:cs="Times New Roman"/>
                <w:kern w:val="0"/>
                <w:sz w:val="24"/>
                <w:szCs w:val="24"/>
                <w:highlight w:val="none"/>
                <w:lang w:val="en-US" w:eastAsia="zh-CN" w:bidi="ar-SA"/>
              </w:rPr>
              <w:t>旧</w:t>
            </w:r>
            <w:r>
              <w:rPr>
                <w:rFonts w:hint="default" w:ascii="Times New Roman" w:hAnsi="Times New Roman" w:eastAsia="仿宋_GB2312" w:cs="Times New Roman"/>
                <w:kern w:val="0"/>
                <w:sz w:val="24"/>
                <w:szCs w:val="24"/>
                <w:highlight w:val="none"/>
                <w:lang w:val="en-US" w:eastAsia="zh-CN" w:bidi="ar-SA"/>
              </w:rPr>
              <w:t>桥改造工程</w:t>
            </w:r>
          </w:p>
        </w:tc>
        <w:tc>
          <w:tcPr>
            <w:tcW w:w="401" w:type="pct"/>
            <w:vAlign w:val="center"/>
          </w:tcPr>
          <w:p w14:paraId="5767411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3F29110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055FB63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琼海市，共计49座</w:t>
            </w:r>
          </w:p>
        </w:tc>
      </w:tr>
      <w:tr w14:paraId="353CF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437CFC5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9</w:t>
            </w:r>
          </w:p>
        </w:tc>
        <w:tc>
          <w:tcPr>
            <w:tcW w:w="2284" w:type="pct"/>
            <w:vAlign w:val="center"/>
          </w:tcPr>
          <w:p w14:paraId="688EF88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楷体"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跨万泉河桥梁工程</w:t>
            </w:r>
          </w:p>
        </w:tc>
        <w:tc>
          <w:tcPr>
            <w:tcW w:w="401" w:type="pct"/>
            <w:vAlign w:val="center"/>
          </w:tcPr>
          <w:p w14:paraId="487A07A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新建</w:t>
            </w:r>
          </w:p>
        </w:tc>
        <w:tc>
          <w:tcPr>
            <w:tcW w:w="722" w:type="pct"/>
            <w:vAlign w:val="center"/>
          </w:tcPr>
          <w:p w14:paraId="45B7D15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2813130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琼海市，共计10座</w:t>
            </w:r>
          </w:p>
        </w:tc>
      </w:tr>
      <w:tr w14:paraId="0F510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1C0E08E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10</w:t>
            </w:r>
          </w:p>
        </w:tc>
        <w:tc>
          <w:tcPr>
            <w:tcW w:w="2284" w:type="pct"/>
            <w:vAlign w:val="center"/>
          </w:tcPr>
          <w:p w14:paraId="169DF4AF">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石龙大桥拆除重建项目</w:t>
            </w:r>
          </w:p>
        </w:tc>
        <w:tc>
          <w:tcPr>
            <w:tcW w:w="401" w:type="pct"/>
            <w:vAlign w:val="center"/>
          </w:tcPr>
          <w:p w14:paraId="43E6937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7EB9510F">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2021~2030</w:t>
            </w:r>
          </w:p>
        </w:tc>
        <w:tc>
          <w:tcPr>
            <w:tcW w:w="1184" w:type="pct"/>
            <w:vAlign w:val="center"/>
          </w:tcPr>
          <w:p w14:paraId="471D9C8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2E366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1806F92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11</w:t>
            </w:r>
          </w:p>
        </w:tc>
        <w:tc>
          <w:tcPr>
            <w:tcW w:w="2284" w:type="pct"/>
            <w:vAlign w:val="center"/>
          </w:tcPr>
          <w:p w14:paraId="03AB182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博鳌机场陆侧交通运输服务提升工程</w:t>
            </w:r>
          </w:p>
        </w:tc>
        <w:tc>
          <w:tcPr>
            <w:tcW w:w="401" w:type="pct"/>
            <w:vAlign w:val="center"/>
          </w:tcPr>
          <w:p w14:paraId="3ACD07D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7A7B883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lang w:val="en-US" w:eastAsia="zh-CN"/>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35B3B6B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博鳌镇</w:t>
            </w:r>
          </w:p>
        </w:tc>
      </w:tr>
      <w:tr w14:paraId="11DE6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13F808E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12</w:t>
            </w:r>
          </w:p>
        </w:tc>
        <w:tc>
          <w:tcPr>
            <w:tcW w:w="2284" w:type="pct"/>
            <w:vAlign w:val="center"/>
          </w:tcPr>
          <w:p w14:paraId="353588E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客运交通枢纽</w:t>
            </w:r>
          </w:p>
        </w:tc>
        <w:tc>
          <w:tcPr>
            <w:tcW w:w="401" w:type="pct"/>
            <w:vAlign w:val="center"/>
          </w:tcPr>
          <w:p w14:paraId="594A00A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537A399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84" w:type="pct"/>
            <w:vAlign w:val="center"/>
          </w:tcPr>
          <w:p w14:paraId="7AA6FD8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琼海市，共计13个</w:t>
            </w:r>
          </w:p>
        </w:tc>
      </w:tr>
      <w:tr w14:paraId="2B565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4448C41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eastAsia" w:eastAsia="仿宋_GB2312" w:cs="Times New Roman"/>
                <w:kern w:val="0"/>
                <w:sz w:val="24"/>
                <w:szCs w:val="24"/>
                <w:highlight w:val="none"/>
                <w:lang w:val="en-US" w:eastAsia="zh-CN" w:bidi="ar-SA"/>
              </w:rPr>
              <w:t>13</w:t>
            </w:r>
          </w:p>
        </w:tc>
        <w:tc>
          <w:tcPr>
            <w:tcW w:w="2284" w:type="pct"/>
            <w:vAlign w:val="center"/>
          </w:tcPr>
          <w:p w14:paraId="7921488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城乡公交一体化水平与服务质量提升工程</w:t>
            </w:r>
          </w:p>
        </w:tc>
        <w:tc>
          <w:tcPr>
            <w:tcW w:w="401" w:type="pct"/>
            <w:vAlign w:val="center"/>
          </w:tcPr>
          <w:p w14:paraId="130CD0A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新建</w:t>
            </w:r>
          </w:p>
        </w:tc>
        <w:tc>
          <w:tcPr>
            <w:tcW w:w="722" w:type="pct"/>
            <w:vAlign w:val="center"/>
          </w:tcPr>
          <w:p w14:paraId="3B743DC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84" w:type="pct"/>
            <w:vAlign w:val="center"/>
          </w:tcPr>
          <w:p w14:paraId="25A2673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琼海市</w:t>
            </w:r>
          </w:p>
        </w:tc>
      </w:tr>
      <w:tr w14:paraId="186F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6" w:type="pct"/>
            <w:vAlign w:val="center"/>
          </w:tcPr>
          <w:p w14:paraId="3A6E877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color w:val="auto"/>
                <w:kern w:val="0"/>
                <w:sz w:val="24"/>
                <w:szCs w:val="24"/>
                <w:highlight w:val="none"/>
                <w:lang w:val="en-US" w:eastAsia="zh-CN" w:bidi="ar-SA"/>
              </w:rPr>
            </w:pPr>
            <w:r>
              <w:rPr>
                <w:rFonts w:hint="eastAsia" w:ascii="仿宋_GB2312" w:eastAsia="仿宋_GB2312" w:cs="宋体"/>
                <w:color w:val="auto"/>
                <w:kern w:val="0"/>
                <w:sz w:val="24"/>
                <w:szCs w:val="24"/>
                <w:highlight w:val="none"/>
                <w:lang w:val="en-US" w:eastAsia="zh-CN" w:bidi="ar-SA"/>
              </w:rPr>
              <w:t>14</w:t>
            </w:r>
          </w:p>
        </w:tc>
        <w:tc>
          <w:tcPr>
            <w:tcW w:w="2284" w:type="pct"/>
            <w:vAlign w:val="center"/>
          </w:tcPr>
          <w:p w14:paraId="3425C45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color w:val="auto"/>
                <w:kern w:val="0"/>
                <w:sz w:val="24"/>
                <w:szCs w:val="24"/>
                <w:highlight w:val="none"/>
                <w:lang w:val="en-US" w:eastAsia="zh-CN" w:bidi="ar-SA"/>
              </w:rPr>
            </w:pPr>
            <w:r>
              <w:rPr>
                <w:rFonts w:hint="eastAsia" w:ascii="仿宋_GB2312" w:hAnsi="Times New Roman" w:eastAsia="仿宋_GB2312" w:cs="宋体"/>
                <w:color w:val="auto"/>
                <w:kern w:val="0"/>
                <w:sz w:val="24"/>
                <w:szCs w:val="24"/>
                <w:highlight w:val="none"/>
                <w:lang w:val="en-US" w:eastAsia="zh-CN" w:bidi="ar-SA"/>
              </w:rPr>
              <w:t>博鳌机场第三期改建工程</w:t>
            </w:r>
          </w:p>
        </w:tc>
        <w:tc>
          <w:tcPr>
            <w:tcW w:w="401" w:type="pct"/>
            <w:vAlign w:val="center"/>
          </w:tcPr>
          <w:p w14:paraId="3DE9AE1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color w:val="auto"/>
                <w:kern w:val="0"/>
                <w:sz w:val="24"/>
                <w:szCs w:val="24"/>
                <w:highlight w:val="none"/>
                <w:lang w:val="en-US" w:eastAsia="zh-CN" w:bidi="ar-SA"/>
              </w:rPr>
            </w:pPr>
            <w:r>
              <w:rPr>
                <w:rFonts w:hint="eastAsia" w:ascii="仿宋_GB2312" w:hAnsi="Times New Roman" w:eastAsia="仿宋_GB2312" w:cs="宋体"/>
                <w:color w:val="auto"/>
                <w:kern w:val="0"/>
                <w:sz w:val="24"/>
                <w:szCs w:val="24"/>
                <w:highlight w:val="none"/>
                <w:lang w:val="en-US" w:eastAsia="zh-CN" w:bidi="ar-SA"/>
              </w:rPr>
              <w:t>新建</w:t>
            </w:r>
          </w:p>
        </w:tc>
        <w:tc>
          <w:tcPr>
            <w:tcW w:w="722" w:type="pct"/>
            <w:vAlign w:val="center"/>
          </w:tcPr>
          <w:p w14:paraId="106DC40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color w:val="auto"/>
                <w:kern w:val="0"/>
                <w:sz w:val="24"/>
                <w:szCs w:val="24"/>
                <w:highlight w:val="none"/>
                <w:lang w:val="en-US" w:eastAsia="zh-CN" w:bidi="ar-SA"/>
              </w:rPr>
            </w:pPr>
            <w:r>
              <w:rPr>
                <w:rFonts w:hint="default" w:ascii="仿宋_GB2312" w:hAnsi="Times New Roman" w:eastAsia="仿宋_GB2312" w:cs="宋体"/>
                <w:color w:val="auto"/>
                <w:kern w:val="0"/>
                <w:sz w:val="24"/>
                <w:szCs w:val="24"/>
                <w:highlight w:val="none"/>
                <w:lang w:val="en-US" w:eastAsia="zh-CN" w:bidi="ar-SA"/>
              </w:rPr>
              <w:t>2021</w:t>
            </w:r>
            <w:r>
              <w:rPr>
                <w:rFonts w:hint="eastAsia" w:ascii="仿宋_GB2312" w:hAnsi="Times New Roman" w:eastAsia="仿宋_GB2312" w:cs="宋体"/>
                <w:color w:val="auto"/>
                <w:kern w:val="0"/>
                <w:sz w:val="24"/>
                <w:szCs w:val="24"/>
                <w:highlight w:val="none"/>
                <w:lang w:val="en-US" w:eastAsia="zh-CN" w:bidi="ar-SA"/>
              </w:rPr>
              <w:t>～</w:t>
            </w:r>
            <w:r>
              <w:rPr>
                <w:rFonts w:hint="default" w:ascii="仿宋_GB2312" w:hAnsi="Times New Roman" w:eastAsia="仿宋_GB2312" w:cs="宋体"/>
                <w:color w:val="auto"/>
                <w:kern w:val="0"/>
                <w:sz w:val="24"/>
                <w:szCs w:val="24"/>
                <w:highlight w:val="none"/>
                <w:lang w:val="en-US" w:eastAsia="zh-CN" w:bidi="ar-SA"/>
              </w:rPr>
              <w:t>2025</w:t>
            </w:r>
          </w:p>
        </w:tc>
        <w:tc>
          <w:tcPr>
            <w:tcW w:w="1184" w:type="pct"/>
            <w:vAlign w:val="center"/>
          </w:tcPr>
          <w:p w14:paraId="4F0D6D4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color w:val="auto"/>
                <w:kern w:val="0"/>
                <w:sz w:val="24"/>
                <w:szCs w:val="24"/>
                <w:highlight w:val="none"/>
                <w:lang w:val="en-US" w:eastAsia="zh-CN" w:bidi="ar-SA"/>
              </w:rPr>
            </w:pPr>
            <w:r>
              <w:rPr>
                <w:rFonts w:hint="eastAsia" w:ascii="仿宋_GB2312" w:hAnsi="Times New Roman" w:eastAsia="仿宋_GB2312" w:cs="宋体"/>
                <w:color w:val="auto"/>
                <w:kern w:val="0"/>
                <w:sz w:val="24"/>
                <w:szCs w:val="24"/>
                <w:highlight w:val="none"/>
                <w:lang w:val="en-US" w:eastAsia="zh-CN" w:bidi="ar-SA"/>
              </w:rPr>
              <w:t>琼海市</w:t>
            </w:r>
          </w:p>
        </w:tc>
      </w:tr>
    </w:tbl>
    <w:p w14:paraId="4207482F">
      <w:pPr>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br w:type="page"/>
      </w:r>
    </w:p>
    <w:p w14:paraId="2B41D60F">
      <w:pPr>
        <w:pStyle w:val="4"/>
        <w:keepNext w:val="0"/>
        <w:keepLines w:val="0"/>
        <w:pageBreakBefore w:val="0"/>
        <w:widowControl w:val="0"/>
        <w:numPr>
          <w:ilvl w:val="0"/>
          <w:numId w:val="6"/>
        </w:numPr>
        <w:kinsoku/>
        <w:wordWrap/>
        <w:overflowPunct/>
        <w:topLinePunct w:val="0"/>
        <w:autoSpaceDE/>
        <w:autoSpaceDN/>
        <w:bidi w:val="0"/>
        <w:adjustRightInd/>
        <w:snapToGrid/>
        <w:spacing w:before="157" w:beforeLines="50"/>
        <w:ind w:left="420" w:leftChars="200" w:firstLine="0" w:firstLineChars="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保障水利建设使用林地</w:t>
      </w:r>
    </w:p>
    <w:p w14:paraId="52F605AA">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认真落实习近平总书记关于海南工作的系列重要讲话和重要指示批示精神，紧紧围绕</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三区一中心</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战略定位，把制度集成创新摆在突出位置，高质量高标准建设自由贸易港。</w:t>
      </w:r>
      <w:r>
        <w:rPr>
          <w:rFonts w:hint="eastAsia" w:eastAsia="仿宋_GB2312" w:cs="Times New Roman"/>
          <w:kern w:val="0"/>
          <w:sz w:val="30"/>
          <w:szCs w:val="30"/>
          <w:highlight w:val="none"/>
          <w:lang w:val="en-US" w:eastAsia="zh-CN" w:bidi="ar-SA"/>
        </w:rPr>
        <w:t>为</w:t>
      </w:r>
      <w:r>
        <w:rPr>
          <w:rFonts w:hint="default" w:ascii="Times New Roman" w:hAnsi="Times New Roman" w:eastAsia="仿宋_GB2312" w:cs="Times New Roman"/>
          <w:kern w:val="0"/>
          <w:sz w:val="30"/>
          <w:szCs w:val="30"/>
          <w:highlight w:val="none"/>
          <w:lang w:val="en-US" w:eastAsia="zh-CN" w:bidi="ar-SA"/>
        </w:rPr>
        <w:t>实现</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产业强、城乡美、百姓富、社会和</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的海南东部中心城市战略目标提供坚定的水安全保障</w:t>
      </w:r>
      <w:r>
        <w:rPr>
          <w:rFonts w:hint="eastAsia"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在规划期内顺利推进各项水利工程项目建设，切实做好用地保障。</w:t>
      </w:r>
      <w:r>
        <w:rPr>
          <w:rFonts w:hint="default" w:ascii="Times New Roman" w:hAnsi="Times New Roman" w:eastAsia="仿宋_GB2312" w:cs="Times New Roman"/>
          <w:kern w:val="0"/>
          <w:sz w:val="30"/>
          <w:szCs w:val="30"/>
          <w:highlight w:val="none"/>
          <w:lang w:val="en-US" w:eastAsia="zh-CN" w:bidi="ar-SA"/>
        </w:rPr>
        <w:t>各项目名称及所在地区详见表9。</w:t>
      </w:r>
    </w:p>
    <w:p w14:paraId="211D0306">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表9 琼海市水利重点工程建设项目表</w:t>
      </w:r>
    </w:p>
    <w:tbl>
      <w:tblPr>
        <w:tblStyle w:val="11"/>
        <w:tblW w:w="53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4270"/>
        <w:gridCol w:w="700"/>
        <w:gridCol w:w="1371"/>
        <w:gridCol w:w="2039"/>
      </w:tblGrid>
      <w:tr w14:paraId="2C8E2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tcPr>
          <w:p w14:paraId="444F966B">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序号</w:t>
            </w:r>
          </w:p>
        </w:tc>
        <w:tc>
          <w:tcPr>
            <w:tcW w:w="2343" w:type="pct"/>
          </w:tcPr>
          <w:p w14:paraId="5993EDB2">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项目名称</w:t>
            </w:r>
          </w:p>
        </w:tc>
        <w:tc>
          <w:tcPr>
            <w:tcW w:w="384" w:type="pct"/>
          </w:tcPr>
          <w:p w14:paraId="0E5D036B">
            <w:pPr>
              <w:keepNext w:val="0"/>
              <w:keepLines w:val="0"/>
              <w:widowControl/>
              <w:suppressLineNumbers w:val="0"/>
              <w:jc w:val="center"/>
              <w:textAlignment w:val="center"/>
              <w:rPr>
                <w:rFonts w:hint="default"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建设性质</w:t>
            </w:r>
          </w:p>
        </w:tc>
        <w:tc>
          <w:tcPr>
            <w:tcW w:w="752" w:type="pct"/>
          </w:tcPr>
          <w:p w14:paraId="3032AB38">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default" w:ascii="仿宋_GB2312" w:hAnsi="Times New Roman" w:eastAsia="仿宋_GB2312" w:cs="Times New Roman"/>
                <w:b/>
                <w:bCs/>
                <w:kern w:val="0"/>
                <w:sz w:val="24"/>
                <w:szCs w:val="24"/>
                <w:highlight w:val="none"/>
                <w:lang w:val="en-US" w:eastAsia="zh-CN" w:bidi="ar-SA"/>
              </w:rPr>
            </w:pPr>
            <w:r>
              <w:rPr>
                <w:rFonts w:hint="default" w:ascii="仿宋_GB2312" w:hAnsi="Times New Roman" w:eastAsia="仿宋_GB2312" w:cs="Times New Roman"/>
                <w:b/>
                <w:bCs/>
                <w:kern w:val="0"/>
                <w:sz w:val="24"/>
                <w:szCs w:val="24"/>
                <w:highlight w:val="none"/>
                <w:lang w:val="en-US" w:eastAsia="zh-CN" w:bidi="ar-SA"/>
              </w:rPr>
              <w:t>建设年限</w:t>
            </w:r>
          </w:p>
        </w:tc>
        <w:tc>
          <w:tcPr>
            <w:tcW w:w="1119" w:type="pct"/>
          </w:tcPr>
          <w:p w14:paraId="12E39E30">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所在地区</w:t>
            </w:r>
          </w:p>
        </w:tc>
      </w:tr>
      <w:tr w14:paraId="43F0D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65421AC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w:t>
            </w:r>
          </w:p>
        </w:tc>
        <w:tc>
          <w:tcPr>
            <w:tcW w:w="2343" w:type="pct"/>
            <w:vAlign w:val="center"/>
          </w:tcPr>
          <w:p w14:paraId="3C69184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海南省牛路岭灌区工程</w:t>
            </w:r>
            <w:r>
              <w:rPr>
                <w:rFonts w:hint="eastAsia" w:eastAsia="仿宋_GB2312" w:cs="Times New Roman"/>
                <w:kern w:val="0"/>
                <w:sz w:val="24"/>
                <w:szCs w:val="24"/>
                <w:highlight w:val="none"/>
                <w:lang w:val="en-US" w:eastAsia="zh-CN" w:bidi="ar-SA"/>
              </w:rPr>
              <w:t>—</w:t>
            </w:r>
            <w:r>
              <w:rPr>
                <w:rFonts w:hint="eastAsia" w:ascii="Times New Roman" w:hAnsi="Times New Roman" w:eastAsia="仿宋_GB2312" w:cs="Times New Roman"/>
                <w:kern w:val="0"/>
                <w:sz w:val="24"/>
                <w:szCs w:val="24"/>
                <w:highlight w:val="none"/>
                <w:lang w:val="en-US" w:eastAsia="zh-CN" w:bidi="ar-SA"/>
              </w:rPr>
              <w:t>牛路岭水库至中平仔水库引水工程</w:t>
            </w:r>
          </w:p>
        </w:tc>
        <w:tc>
          <w:tcPr>
            <w:tcW w:w="384" w:type="pct"/>
            <w:vAlign w:val="center"/>
          </w:tcPr>
          <w:p w14:paraId="5CB7C3A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新建</w:t>
            </w:r>
          </w:p>
        </w:tc>
        <w:tc>
          <w:tcPr>
            <w:tcW w:w="752" w:type="pct"/>
            <w:vAlign w:val="center"/>
          </w:tcPr>
          <w:p w14:paraId="6094865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19" w:type="pct"/>
            <w:vAlign w:val="center"/>
          </w:tcPr>
          <w:p w14:paraId="1E7749E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会山镇</w:t>
            </w:r>
          </w:p>
        </w:tc>
      </w:tr>
      <w:tr w14:paraId="1255D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34F9425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w:t>
            </w:r>
          </w:p>
        </w:tc>
        <w:tc>
          <w:tcPr>
            <w:tcW w:w="2343" w:type="pct"/>
            <w:vAlign w:val="center"/>
          </w:tcPr>
          <w:p w14:paraId="392CB32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海南省牛路岭灌区工程</w:t>
            </w:r>
            <w:r>
              <w:rPr>
                <w:rFonts w:hint="eastAsia" w:eastAsia="仿宋_GB2312" w:cs="Times New Roman"/>
                <w:kern w:val="0"/>
                <w:sz w:val="24"/>
                <w:szCs w:val="24"/>
                <w:highlight w:val="none"/>
                <w:lang w:val="en-US" w:eastAsia="zh-CN" w:bidi="ar-SA"/>
              </w:rPr>
              <w:t>—</w:t>
            </w:r>
            <w:r>
              <w:rPr>
                <w:rFonts w:hint="eastAsia" w:ascii="Times New Roman" w:hAnsi="Times New Roman" w:eastAsia="仿宋_GB2312" w:cs="Times New Roman"/>
                <w:kern w:val="0"/>
                <w:sz w:val="24"/>
                <w:szCs w:val="24"/>
                <w:highlight w:val="none"/>
                <w:lang w:val="en-US" w:eastAsia="zh-CN" w:bidi="ar-SA"/>
              </w:rPr>
              <w:t>中平仔至南部水厂原水输水管线工程</w:t>
            </w:r>
          </w:p>
        </w:tc>
        <w:tc>
          <w:tcPr>
            <w:tcW w:w="384" w:type="pct"/>
            <w:vAlign w:val="center"/>
          </w:tcPr>
          <w:p w14:paraId="4D6C115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新建</w:t>
            </w:r>
          </w:p>
        </w:tc>
        <w:tc>
          <w:tcPr>
            <w:tcW w:w="752" w:type="pct"/>
            <w:vAlign w:val="center"/>
          </w:tcPr>
          <w:p w14:paraId="6BE45DE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19" w:type="pct"/>
            <w:vAlign w:val="center"/>
          </w:tcPr>
          <w:p w14:paraId="7798D20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会山镇、阳江镇</w:t>
            </w:r>
          </w:p>
        </w:tc>
      </w:tr>
      <w:tr w14:paraId="3B3D9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389592E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3</w:t>
            </w:r>
          </w:p>
        </w:tc>
        <w:tc>
          <w:tcPr>
            <w:tcW w:w="2343" w:type="pct"/>
            <w:vAlign w:val="center"/>
          </w:tcPr>
          <w:p w14:paraId="1D67E86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南部水厂及配套配水管网设施工程</w:t>
            </w:r>
          </w:p>
        </w:tc>
        <w:tc>
          <w:tcPr>
            <w:tcW w:w="384" w:type="pct"/>
            <w:vAlign w:val="center"/>
          </w:tcPr>
          <w:p w14:paraId="7B515B9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新建</w:t>
            </w:r>
          </w:p>
        </w:tc>
        <w:tc>
          <w:tcPr>
            <w:tcW w:w="752" w:type="pct"/>
            <w:vAlign w:val="center"/>
          </w:tcPr>
          <w:p w14:paraId="043349E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2024~2030</w:t>
            </w:r>
          </w:p>
        </w:tc>
        <w:tc>
          <w:tcPr>
            <w:tcW w:w="1119" w:type="pct"/>
            <w:vAlign w:val="center"/>
          </w:tcPr>
          <w:p w14:paraId="7507B7F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阳江镇</w:t>
            </w:r>
          </w:p>
        </w:tc>
      </w:tr>
      <w:tr w14:paraId="3DD2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507972E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4</w:t>
            </w:r>
          </w:p>
        </w:tc>
        <w:tc>
          <w:tcPr>
            <w:tcW w:w="2343" w:type="pct"/>
            <w:vAlign w:val="center"/>
          </w:tcPr>
          <w:p w14:paraId="0159845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万泉河博鳌乐城国际医疗旅游先行区河段综合整治工程</w:t>
            </w:r>
          </w:p>
        </w:tc>
        <w:tc>
          <w:tcPr>
            <w:tcW w:w="384" w:type="pct"/>
            <w:vAlign w:val="center"/>
          </w:tcPr>
          <w:p w14:paraId="4A8778F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新建</w:t>
            </w:r>
          </w:p>
        </w:tc>
        <w:tc>
          <w:tcPr>
            <w:tcW w:w="752" w:type="pct"/>
            <w:vAlign w:val="center"/>
          </w:tcPr>
          <w:p w14:paraId="1900315D">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19" w:type="pct"/>
            <w:vAlign w:val="center"/>
          </w:tcPr>
          <w:p w14:paraId="53E467E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嘉积镇</w:t>
            </w:r>
          </w:p>
        </w:tc>
      </w:tr>
      <w:tr w14:paraId="1558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6D092A7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5</w:t>
            </w:r>
          </w:p>
        </w:tc>
        <w:tc>
          <w:tcPr>
            <w:tcW w:w="2343" w:type="pct"/>
            <w:vAlign w:val="center"/>
          </w:tcPr>
          <w:p w14:paraId="7AF095C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博鳌乐城国际医疗旅游先行区防洪防潮排涝综合治理工程</w:t>
            </w:r>
          </w:p>
        </w:tc>
        <w:tc>
          <w:tcPr>
            <w:tcW w:w="384" w:type="pct"/>
            <w:vAlign w:val="center"/>
          </w:tcPr>
          <w:p w14:paraId="5BE94BC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新建</w:t>
            </w:r>
          </w:p>
        </w:tc>
        <w:tc>
          <w:tcPr>
            <w:tcW w:w="752" w:type="pct"/>
            <w:vAlign w:val="center"/>
          </w:tcPr>
          <w:p w14:paraId="568EF60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2021~2030</w:t>
            </w:r>
          </w:p>
        </w:tc>
        <w:tc>
          <w:tcPr>
            <w:tcW w:w="1119" w:type="pct"/>
            <w:vAlign w:val="center"/>
          </w:tcPr>
          <w:p w14:paraId="21A0D1B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嘉积镇</w:t>
            </w:r>
          </w:p>
        </w:tc>
      </w:tr>
      <w:tr w14:paraId="4A84F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3BB3B0D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6</w:t>
            </w:r>
          </w:p>
        </w:tc>
        <w:tc>
          <w:tcPr>
            <w:tcW w:w="2343" w:type="pct"/>
            <w:vAlign w:val="center"/>
          </w:tcPr>
          <w:p w14:paraId="46AAC45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琼海市北岸水闸除险加固工程</w:t>
            </w:r>
          </w:p>
        </w:tc>
        <w:tc>
          <w:tcPr>
            <w:tcW w:w="384" w:type="pct"/>
            <w:vAlign w:val="center"/>
          </w:tcPr>
          <w:p w14:paraId="0A39EAB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新建</w:t>
            </w:r>
          </w:p>
        </w:tc>
        <w:tc>
          <w:tcPr>
            <w:tcW w:w="752" w:type="pct"/>
            <w:vAlign w:val="center"/>
          </w:tcPr>
          <w:p w14:paraId="7D695AE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19" w:type="pct"/>
            <w:vAlign w:val="center"/>
          </w:tcPr>
          <w:p w14:paraId="4C17407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博鳌镇、中原镇</w:t>
            </w:r>
          </w:p>
        </w:tc>
      </w:tr>
      <w:tr w14:paraId="3893E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5F5E126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7</w:t>
            </w:r>
          </w:p>
        </w:tc>
        <w:tc>
          <w:tcPr>
            <w:tcW w:w="2343" w:type="pct"/>
            <w:vAlign w:val="center"/>
          </w:tcPr>
          <w:p w14:paraId="1E2CAA9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琼海市</w:t>
            </w:r>
            <w:r>
              <w:rPr>
                <w:rFonts w:hint="default" w:ascii="Times New Roman" w:hAnsi="Times New Roman" w:eastAsia="仿宋_GB2312" w:cs="Times New Roman"/>
                <w:kern w:val="0"/>
                <w:sz w:val="24"/>
                <w:szCs w:val="24"/>
                <w:highlight w:val="none"/>
                <w:lang w:val="en-US" w:eastAsia="zh-CN" w:bidi="ar-SA"/>
              </w:rPr>
              <w:t>8</w:t>
            </w:r>
            <w:r>
              <w:rPr>
                <w:rFonts w:hint="eastAsia" w:ascii="Times New Roman" w:hAnsi="Times New Roman" w:eastAsia="仿宋_GB2312" w:cs="Times New Roman"/>
                <w:kern w:val="0"/>
                <w:sz w:val="24"/>
                <w:szCs w:val="24"/>
                <w:highlight w:val="none"/>
                <w:lang w:val="en-US" w:eastAsia="zh-CN" w:bidi="ar-SA"/>
              </w:rPr>
              <w:t>宗中型灌区续建配套与节水改造工程</w:t>
            </w:r>
          </w:p>
        </w:tc>
        <w:tc>
          <w:tcPr>
            <w:tcW w:w="384" w:type="pct"/>
            <w:vAlign w:val="center"/>
          </w:tcPr>
          <w:p w14:paraId="0B0E106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续建</w:t>
            </w:r>
          </w:p>
        </w:tc>
        <w:tc>
          <w:tcPr>
            <w:tcW w:w="752" w:type="pct"/>
            <w:vAlign w:val="center"/>
          </w:tcPr>
          <w:p w14:paraId="41CBD66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19" w:type="pct"/>
            <w:vAlign w:val="center"/>
          </w:tcPr>
          <w:p w14:paraId="22B1F23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琼海市</w:t>
            </w:r>
          </w:p>
        </w:tc>
      </w:tr>
      <w:tr w14:paraId="776A7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00" w:type="pct"/>
            <w:vAlign w:val="center"/>
          </w:tcPr>
          <w:p w14:paraId="6C65E30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8</w:t>
            </w:r>
          </w:p>
        </w:tc>
        <w:tc>
          <w:tcPr>
            <w:tcW w:w="2343" w:type="pct"/>
            <w:vAlign w:val="center"/>
          </w:tcPr>
          <w:p w14:paraId="54E2204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琼海市城镇污水处理设施工程</w:t>
            </w:r>
          </w:p>
        </w:tc>
        <w:tc>
          <w:tcPr>
            <w:tcW w:w="384" w:type="pct"/>
            <w:vAlign w:val="center"/>
          </w:tcPr>
          <w:p w14:paraId="6422B58F">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续建</w:t>
            </w:r>
          </w:p>
        </w:tc>
        <w:tc>
          <w:tcPr>
            <w:tcW w:w="752" w:type="pct"/>
            <w:vAlign w:val="center"/>
          </w:tcPr>
          <w:p w14:paraId="607CEF3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19" w:type="pct"/>
            <w:vAlign w:val="center"/>
          </w:tcPr>
          <w:p w14:paraId="03840F1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Times New Roman" w:hAnsi="Times New Roman" w:eastAsia="仿宋_GB2312" w:cs="Times New Roman"/>
                <w:kern w:val="0"/>
                <w:sz w:val="24"/>
                <w:szCs w:val="24"/>
                <w:highlight w:val="none"/>
                <w:lang w:val="en-US" w:eastAsia="zh-CN" w:bidi="ar-SA"/>
              </w:rPr>
            </w:pPr>
            <w:r>
              <w:rPr>
                <w:rFonts w:hint="eastAsia" w:ascii="Times New Roman" w:hAnsi="Times New Roman" w:eastAsia="仿宋_GB2312" w:cs="Times New Roman"/>
                <w:kern w:val="0"/>
                <w:sz w:val="24"/>
                <w:szCs w:val="24"/>
                <w:highlight w:val="none"/>
                <w:lang w:val="en-US" w:eastAsia="zh-CN" w:bidi="ar-SA"/>
              </w:rPr>
              <w:t>琼海市</w:t>
            </w:r>
          </w:p>
        </w:tc>
      </w:tr>
    </w:tbl>
    <w:p w14:paraId="03E4A037">
      <w:pPr>
        <w:pStyle w:val="4"/>
        <w:keepNext w:val="0"/>
        <w:keepLines w:val="0"/>
        <w:pageBreakBefore w:val="0"/>
        <w:widowControl w:val="0"/>
        <w:numPr>
          <w:ilvl w:val="0"/>
          <w:numId w:val="6"/>
        </w:numPr>
        <w:kinsoku/>
        <w:wordWrap/>
        <w:overflowPunct/>
        <w:topLinePunct w:val="0"/>
        <w:autoSpaceDE/>
        <w:autoSpaceDN/>
        <w:bidi w:val="0"/>
        <w:adjustRightInd/>
        <w:snapToGrid/>
        <w:spacing w:before="157" w:beforeLines="50"/>
        <w:ind w:left="420" w:leftChars="200" w:firstLine="0" w:firstLineChars="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保障旅游发展建设使用林地</w:t>
      </w:r>
    </w:p>
    <w:p w14:paraId="011B2A12">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加快推进博鳌乐城国际医疗旅游先行区提升工程项目、琼海官塘温泉养生基地提升工程项目、博鳌亚洲论坛体育分论坛会展工程项目等重点生态旅游配套项目建设，打造康养旅游基地、山地户外运动基地，协同建设综合产业带，发展高水平休闲旅游产业，共同打造旅游休闲首选地</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各项目名称及所在地区详见表10。</w:t>
      </w:r>
    </w:p>
    <w:p w14:paraId="289A292D">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auto"/>
        <w:rPr>
          <w:rFonts w:hint="eastAsia" w:ascii="方正小标宋简体" w:eastAsia="方正小标宋简体"/>
          <w:sz w:val="28"/>
          <w:szCs w:val="28"/>
          <w:highlight w:val="none"/>
          <w:lang w:val="en-US" w:eastAsia="zh-CN"/>
        </w:rPr>
      </w:pPr>
      <w:r>
        <w:rPr>
          <w:rFonts w:hint="eastAsia" w:ascii="方正小标宋简体" w:eastAsia="方正小标宋简体"/>
          <w:sz w:val="28"/>
          <w:szCs w:val="28"/>
          <w:highlight w:val="none"/>
          <w:lang w:val="en-US" w:eastAsia="zh-CN"/>
        </w:rPr>
        <w:t>表10 琼海市旅游发展重点工程建设项目表</w:t>
      </w:r>
    </w:p>
    <w:tbl>
      <w:tblPr>
        <w:tblStyle w:val="11"/>
        <w:tblW w:w="54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4340"/>
        <w:gridCol w:w="800"/>
        <w:gridCol w:w="1360"/>
        <w:gridCol w:w="2166"/>
      </w:tblGrid>
      <w:tr w14:paraId="36B0D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blHeader/>
          <w:jc w:val="center"/>
        </w:trPr>
        <w:tc>
          <w:tcPr>
            <w:tcW w:w="344" w:type="pct"/>
          </w:tcPr>
          <w:p w14:paraId="4360B3A3">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序号</w:t>
            </w:r>
          </w:p>
        </w:tc>
        <w:tc>
          <w:tcPr>
            <w:tcW w:w="2331" w:type="pct"/>
          </w:tcPr>
          <w:p w14:paraId="04131BFD">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项目名称</w:t>
            </w:r>
          </w:p>
        </w:tc>
        <w:tc>
          <w:tcPr>
            <w:tcW w:w="429" w:type="pct"/>
          </w:tcPr>
          <w:p w14:paraId="696CCA99">
            <w:pPr>
              <w:keepNext w:val="0"/>
              <w:keepLines w:val="0"/>
              <w:widowControl/>
              <w:suppressLineNumbers w:val="0"/>
              <w:jc w:val="center"/>
              <w:textAlignment w:val="center"/>
              <w:rPr>
                <w:rFonts w:hint="default"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建设性质</w:t>
            </w:r>
          </w:p>
        </w:tc>
        <w:tc>
          <w:tcPr>
            <w:tcW w:w="730" w:type="pct"/>
          </w:tcPr>
          <w:p w14:paraId="66EC226F">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default" w:ascii="仿宋_GB2312" w:hAnsi="Times New Roman" w:eastAsia="仿宋_GB2312" w:cs="Times New Roman"/>
                <w:b/>
                <w:bCs/>
                <w:kern w:val="0"/>
                <w:sz w:val="24"/>
                <w:szCs w:val="24"/>
                <w:highlight w:val="none"/>
                <w:lang w:val="en-US" w:eastAsia="zh-CN" w:bidi="ar-SA"/>
              </w:rPr>
            </w:pPr>
            <w:r>
              <w:rPr>
                <w:rFonts w:hint="default" w:ascii="仿宋_GB2312" w:hAnsi="Times New Roman" w:eastAsia="仿宋_GB2312" w:cs="Times New Roman"/>
                <w:b/>
                <w:bCs/>
                <w:kern w:val="0"/>
                <w:sz w:val="24"/>
                <w:szCs w:val="24"/>
                <w:highlight w:val="none"/>
                <w:lang w:val="en-US" w:eastAsia="zh-CN" w:bidi="ar-SA"/>
              </w:rPr>
              <w:t>建设年限</w:t>
            </w:r>
          </w:p>
        </w:tc>
        <w:tc>
          <w:tcPr>
            <w:tcW w:w="1163" w:type="pct"/>
          </w:tcPr>
          <w:p w14:paraId="7C21BB35">
            <w:pPr>
              <w:keepNext w:val="0"/>
              <w:keepLines w:val="0"/>
              <w:pageBreakBefore w:val="0"/>
              <w:widowControl/>
              <w:suppressLineNumbers w:val="0"/>
              <w:kinsoku/>
              <w:wordWrap/>
              <w:overflowPunct/>
              <w:topLinePunct w:val="0"/>
              <w:autoSpaceDE/>
              <w:autoSpaceDN/>
              <w:bidi w:val="0"/>
              <w:adjustRightInd/>
              <w:snapToGrid/>
              <w:spacing w:before="157" w:beforeLines="50"/>
              <w:jc w:val="center"/>
              <w:textAlignment w:val="center"/>
              <w:rPr>
                <w:rFonts w:hint="eastAsia" w:ascii="仿宋_GB2312" w:hAnsi="Times New Roman" w:eastAsia="仿宋_GB2312" w:cs="Times New Roman"/>
                <w:b/>
                <w:bCs/>
                <w:kern w:val="0"/>
                <w:sz w:val="24"/>
                <w:szCs w:val="24"/>
                <w:highlight w:val="none"/>
                <w:lang w:val="en-US" w:eastAsia="zh-CN" w:bidi="ar-SA"/>
              </w:rPr>
            </w:pPr>
            <w:r>
              <w:rPr>
                <w:rFonts w:hint="eastAsia" w:ascii="仿宋_GB2312" w:hAnsi="Times New Roman" w:eastAsia="仿宋_GB2312" w:cs="Times New Roman"/>
                <w:b/>
                <w:bCs/>
                <w:kern w:val="0"/>
                <w:sz w:val="24"/>
                <w:szCs w:val="24"/>
                <w:highlight w:val="none"/>
                <w:lang w:val="en-US" w:eastAsia="zh-CN" w:bidi="ar-SA"/>
              </w:rPr>
              <w:t>所在地区</w:t>
            </w:r>
          </w:p>
        </w:tc>
      </w:tr>
      <w:tr w14:paraId="3FFF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46CBAE0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w:t>
            </w:r>
          </w:p>
        </w:tc>
        <w:tc>
          <w:tcPr>
            <w:tcW w:w="2331" w:type="pct"/>
            <w:vAlign w:val="top"/>
          </w:tcPr>
          <w:p w14:paraId="59AE0B1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博鳌乐城国际医疗旅游先行区提升工程</w:t>
            </w:r>
          </w:p>
        </w:tc>
        <w:tc>
          <w:tcPr>
            <w:tcW w:w="429" w:type="pct"/>
            <w:vAlign w:val="top"/>
          </w:tcPr>
          <w:p w14:paraId="3460F48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27CC041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2022~2025</w:t>
            </w:r>
          </w:p>
        </w:tc>
        <w:tc>
          <w:tcPr>
            <w:tcW w:w="1163" w:type="pct"/>
            <w:vAlign w:val="top"/>
          </w:tcPr>
          <w:p w14:paraId="57EEE66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博鳌镇</w:t>
            </w:r>
          </w:p>
        </w:tc>
      </w:tr>
      <w:tr w14:paraId="16E74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2B25DE5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w:t>
            </w:r>
          </w:p>
        </w:tc>
        <w:tc>
          <w:tcPr>
            <w:tcW w:w="2331" w:type="pct"/>
            <w:vAlign w:val="top"/>
          </w:tcPr>
          <w:p w14:paraId="3D5B274F">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琼海健康运动旅游度假区</w:t>
            </w:r>
          </w:p>
        </w:tc>
        <w:tc>
          <w:tcPr>
            <w:tcW w:w="429" w:type="pct"/>
            <w:vAlign w:val="top"/>
          </w:tcPr>
          <w:p w14:paraId="4F145D5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6F89CEF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63" w:type="pct"/>
            <w:vAlign w:val="top"/>
          </w:tcPr>
          <w:p w14:paraId="338DBC5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琼海市</w:t>
            </w:r>
          </w:p>
        </w:tc>
      </w:tr>
      <w:tr w14:paraId="6906B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63B0A6F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3</w:t>
            </w:r>
          </w:p>
        </w:tc>
        <w:tc>
          <w:tcPr>
            <w:tcW w:w="2331" w:type="pct"/>
            <w:vAlign w:val="top"/>
          </w:tcPr>
          <w:p w14:paraId="59C9320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琼海官塘温泉养生基地提升工程</w:t>
            </w:r>
          </w:p>
        </w:tc>
        <w:tc>
          <w:tcPr>
            <w:tcW w:w="429" w:type="pct"/>
            <w:vAlign w:val="top"/>
          </w:tcPr>
          <w:p w14:paraId="7B3DDCB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5B2C504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2021~2025</w:t>
            </w:r>
          </w:p>
        </w:tc>
        <w:tc>
          <w:tcPr>
            <w:tcW w:w="1163" w:type="pct"/>
            <w:vAlign w:val="top"/>
          </w:tcPr>
          <w:p w14:paraId="6C1FFC5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嘉积镇官塘度假村</w:t>
            </w:r>
          </w:p>
        </w:tc>
      </w:tr>
      <w:tr w14:paraId="04663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52CC0EC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4</w:t>
            </w:r>
          </w:p>
        </w:tc>
        <w:tc>
          <w:tcPr>
            <w:tcW w:w="2331" w:type="pct"/>
            <w:vAlign w:val="top"/>
          </w:tcPr>
          <w:p w14:paraId="3EB2FD1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琼海官塘温泉健康养生小镇</w:t>
            </w:r>
          </w:p>
        </w:tc>
        <w:tc>
          <w:tcPr>
            <w:tcW w:w="429" w:type="pct"/>
            <w:vAlign w:val="top"/>
          </w:tcPr>
          <w:p w14:paraId="12BE21E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2ABC73F6">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w:t>
            </w:r>
            <w:r>
              <w:rPr>
                <w:rFonts w:hint="eastAsia" w:ascii="Times New Roman" w:hAnsi="Times New Roman" w:eastAsia="仿宋_GB2312" w:cs="Times New Roman"/>
                <w:kern w:val="0"/>
                <w:sz w:val="24"/>
                <w:szCs w:val="24"/>
                <w:highlight w:val="none"/>
                <w:lang w:val="en-US" w:eastAsia="zh-CN" w:bidi="ar-SA"/>
              </w:rPr>
              <w:t>2022</w:t>
            </w:r>
          </w:p>
        </w:tc>
        <w:tc>
          <w:tcPr>
            <w:tcW w:w="1163" w:type="pct"/>
            <w:vAlign w:val="top"/>
          </w:tcPr>
          <w:p w14:paraId="143DDA41">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琼海市白石岭大道</w:t>
            </w:r>
          </w:p>
        </w:tc>
      </w:tr>
      <w:tr w14:paraId="094BB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792FD4A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5</w:t>
            </w:r>
          </w:p>
        </w:tc>
        <w:tc>
          <w:tcPr>
            <w:tcW w:w="2331" w:type="pct"/>
            <w:vAlign w:val="top"/>
          </w:tcPr>
          <w:p w14:paraId="4BABE05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琼海市旅游示范区创建工程</w:t>
            </w:r>
          </w:p>
        </w:tc>
        <w:tc>
          <w:tcPr>
            <w:tcW w:w="429" w:type="pct"/>
            <w:vAlign w:val="top"/>
          </w:tcPr>
          <w:p w14:paraId="51CF233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新建</w:t>
            </w:r>
          </w:p>
        </w:tc>
        <w:tc>
          <w:tcPr>
            <w:tcW w:w="730" w:type="pct"/>
            <w:vAlign w:val="top"/>
          </w:tcPr>
          <w:p w14:paraId="3D6B800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2021~2022</w:t>
            </w:r>
          </w:p>
        </w:tc>
        <w:tc>
          <w:tcPr>
            <w:tcW w:w="1163" w:type="pct"/>
            <w:vAlign w:val="top"/>
          </w:tcPr>
          <w:p w14:paraId="0CBCE74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琼海市</w:t>
            </w:r>
          </w:p>
        </w:tc>
      </w:tr>
      <w:tr w14:paraId="17AB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44E5160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6</w:t>
            </w:r>
          </w:p>
        </w:tc>
        <w:tc>
          <w:tcPr>
            <w:tcW w:w="2331" w:type="pct"/>
            <w:vAlign w:val="top"/>
          </w:tcPr>
          <w:p w14:paraId="541D75B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博鳌亚洲论坛体育分论坛会展工程</w:t>
            </w:r>
          </w:p>
        </w:tc>
        <w:tc>
          <w:tcPr>
            <w:tcW w:w="429" w:type="pct"/>
            <w:vAlign w:val="top"/>
          </w:tcPr>
          <w:p w14:paraId="4770275F">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4AE73B63">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2022</w:t>
            </w:r>
          </w:p>
        </w:tc>
        <w:tc>
          <w:tcPr>
            <w:tcW w:w="1163" w:type="pct"/>
            <w:vAlign w:val="top"/>
          </w:tcPr>
          <w:p w14:paraId="21A8741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博鳌镇</w:t>
            </w:r>
          </w:p>
        </w:tc>
      </w:tr>
      <w:tr w14:paraId="62523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671D061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7</w:t>
            </w:r>
          </w:p>
        </w:tc>
        <w:tc>
          <w:tcPr>
            <w:tcW w:w="2331" w:type="pct"/>
            <w:vAlign w:val="top"/>
          </w:tcPr>
          <w:p w14:paraId="40756FAD">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蔡家宅文化文物品牌工程</w:t>
            </w:r>
          </w:p>
        </w:tc>
        <w:tc>
          <w:tcPr>
            <w:tcW w:w="429" w:type="pct"/>
            <w:vAlign w:val="top"/>
          </w:tcPr>
          <w:p w14:paraId="3209374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3293F7D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2019~2020</w:t>
            </w:r>
          </w:p>
        </w:tc>
        <w:tc>
          <w:tcPr>
            <w:tcW w:w="1163" w:type="pct"/>
            <w:vAlign w:val="top"/>
          </w:tcPr>
          <w:p w14:paraId="0435B3F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博鳌镇</w:t>
            </w:r>
          </w:p>
        </w:tc>
      </w:tr>
      <w:tr w14:paraId="1F075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2224B13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8</w:t>
            </w:r>
          </w:p>
        </w:tc>
        <w:tc>
          <w:tcPr>
            <w:tcW w:w="2331" w:type="pct"/>
            <w:vAlign w:val="top"/>
          </w:tcPr>
          <w:p w14:paraId="05B6C00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琼海体育</w:t>
            </w:r>
            <w:r>
              <w:rPr>
                <w:rFonts w:hint="eastAsia" w:ascii="仿宋_GB2312" w:eastAsia="仿宋_GB2312" w:cs="Times New Roman"/>
                <w:kern w:val="0"/>
                <w:sz w:val="24"/>
                <w:szCs w:val="24"/>
                <w:highlight w:val="none"/>
                <w:lang w:val="en-US" w:eastAsia="zh-CN" w:bidi="ar-SA"/>
              </w:rPr>
              <w:t>“</w:t>
            </w:r>
            <w:r>
              <w:rPr>
                <w:rFonts w:hint="eastAsia" w:ascii="仿宋_GB2312" w:hAnsi="Times New Roman" w:eastAsia="仿宋_GB2312" w:cs="Times New Roman"/>
                <w:kern w:val="0"/>
                <w:sz w:val="24"/>
                <w:szCs w:val="24"/>
                <w:highlight w:val="none"/>
                <w:lang w:val="en-US" w:eastAsia="zh-CN" w:bidi="ar-SA"/>
              </w:rPr>
              <w:t>一场两馆</w:t>
            </w:r>
            <w:r>
              <w:rPr>
                <w:rFonts w:hint="eastAsia" w:ascii="仿宋_GB2312" w:eastAsia="仿宋_GB2312" w:cs="Times New Roman"/>
                <w:kern w:val="0"/>
                <w:sz w:val="24"/>
                <w:szCs w:val="24"/>
                <w:highlight w:val="none"/>
                <w:lang w:val="en-US" w:eastAsia="zh-CN" w:bidi="ar-SA"/>
              </w:rPr>
              <w:t>”</w:t>
            </w:r>
            <w:r>
              <w:rPr>
                <w:rFonts w:hint="eastAsia" w:ascii="仿宋_GB2312" w:hAnsi="Times New Roman" w:eastAsia="仿宋_GB2312" w:cs="Times New Roman"/>
                <w:kern w:val="0"/>
                <w:sz w:val="24"/>
                <w:szCs w:val="24"/>
                <w:highlight w:val="none"/>
                <w:lang w:val="en-US" w:eastAsia="zh-CN" w:bidi="ar-SA"/>
              </w:rPr>
              <w:t>工程</w:t>
            </w:r>
          </w:p>
        </w:tc>
        <w:tc>
          <w:tcPr>
            <w:tcW w:w="429" w:type="pct"/>
            <w:vAlign w:val="top"/>
          </w:tcPr>
          <w:p w14:paraId="7E548CEC">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新建</w:t>
            </w:r>
          </w:p>
        </w:tc>
        <w:tc>
          <w:tcPr>
            <w:tcW w:w="730" w:type="pct"/>
            <w:vAlign w:val="top"/>
          </w:tcPr>
          <w:p w14:paraId="02F54B8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2021~2022</w:t>
            </w:r>
          </w:p>
        </w:tc>
        <w:tc>
          <w:tcPr>
            <w:tcW w:w="1163" w:type="pct"/>
            <w:vAlign w:val="top"/>
          </w:tcPr>
          <w:p w14:paraId="2A4C2B30">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嘉积城区南部</w:t>
            </w:r>
          </w:p>
        </w:tc>
      </w:tr>
      <w:tr w14:paraId="44E83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40D1ED8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9</w:t>
            </w:r>
          </w:p>
        </w:tc>
        <w:tc>
          <w:tcPr>
            <w:tcW w:w="2331" w:type="pct"/>
            <w:vAlign w:val="top"/>
          </w:tcPr>
          <w:p w14:paraId="6DD2594E">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琼海体育免税店提升项目</w:t>
            </w:r>
          </w:p>
        </w:tc>
        <w:tc>
          <w:tcPr>
            <w:tcW w:w="429" w:type="pct"/>
            <w:vAlign w:val="top"/>
          </w:tcPr>
          <w:p w14:paraId="4954D84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续建</w:t>
            </w:r>
          </w:p>
        </w:tc>
        <w:tc>
          <w:tcPr>
            <w:tcW w:w="730" w:type="pct"/>
            <w:vAlign w:val="top"/>
          </w:tcPr>
          <w:p w14:paraId="243DC3C7">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w:t>
            </w:r>
          </w:p>
        </w:tc>
        <w:tc>
          <w:tcPr>
            <w:tcW w:w="1163" w:type="pct"/>
            <w:vAlign w:val="top"/>
          </w:tcPr>
          <w:p w14:paraId="022A668F">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博鳌镇</w:t>
            </w:r>
          </w:p>
        </w:tc>
      </w:tr>
      <w:tr w14:paraId="2E36C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7FC60D4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10</w:t>
            </w:r>
          </w:p>
        </w:tc>
        <w:tc>
          <w:tcPr>
            <w:tcW w:w="2331" w:type="pct"/>
            <w:vAlign w:val="top"/>
          </w:tcPr>
          <w:p w14:paraId="09C135BB">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琼海精品体育旅游区工程</w:t>
            </w:r>
          </w:p>
        </w:tc>
        <w:tc>
          <w:tcPr>
            <w:tcW w:w="429" w:type="pct"/>
            <w:vAlign w:val="top"/>
          </w:tcPr>
          <w:p w14:paraId="7BD77FB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新建</w:t>
            </w:r>
          </w:p>
        </w:tc>
        <w:tc>
          <w:tcPr>
            <w:tcW w:w="730" w:type="pct"/>
            <w:vAlign w:val="top"/>
          </w:tcPr>
          <w:p w14:paraId="725C33C2">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2020~2025</w:t>
            </w:r>
          </w:p>
        </w:tc>
        <w:tc>
          <w:tcPr>
            <w:tcW w:w="1163" w:type="pct"/>
            <w:vAlign w:val="top"/>
          </w:tcPr>
          <w:p w14:paraId="7BCF4AFD">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琼海市</w:t>
            </w:r>
          </w:p>
        </w:tc>
      </w:tr>
      <w:tr w14:paraId="18336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344" w:type="pct"/>
          </w:tcPr>
          <w:p w14:paraId="70CDAC08">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11</w:t>
            </w:r>
          </w:p>
        </w:tc>
        <w:tc>
          <w:tcPr>
            <w:tcW w:w="2331" w:type="pct"/>
            <w:vAlign w:val="top"/>
          </w:tcPr>
          <w:p w14:paraId="5AAC05B9">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琼海市国际滨海度假旅游项目</w:t>
            </w:r>
          </w:p>
        </w:tc>
        <w:tc>
          <w:tcPr>
            <w:tcW w:w="429" w:type="pct"/>
            <w:vAlign w:val="top"/>
          </w:tcPr>
          <w:p w14:paraId="6A8A3C3A">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新建</w:t>
            </w:r>
          </w:p>
        </w:tc>
        <w:tc>
          <w:tcPr>
            <w:tcW w:w="730" w:type="pct"/>
            <w:vAlign w:val="top"/>
          </w:tcPr>
          <w:p w14:paraId="5F04A394">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default" w:ascii="Times New Roman" w:hAnsi="Times New Roman" w:eastAsia="仿宋_GB2312" w:cs="Times New Roman"/>
                <w:kern w:val="0"/>
                <w:sz w:val="24"/>
                <w:szCs w:val="24"/>
                <w:highlight w:val="none"/>
                <w:lang w:val="en-US" w:eastAsia="zh-CN" w:bidi="ar-SA"/>
              </w:rPr>
            </w:pPr>
            <w:r>
              <w:rPr>
                <w:rFonts w:hint="default" w:ascii="Times New Roman" w:hAnsi="Times New Roman" w:eastAsia="仿宋_GB2312" w:cs="Times New Roman"/>
                <w:kern w:val="0"/>
                <w:sz w:val="24"/>
                <w:szCs w:val="24"/>
                <w:highlight w:val="none"/>
                <w:lang w:val="en-US" w:eastAsia="zh-CN" w:bidi="ar-SA"/>
              </w:rPr>
              <w:t>2021~2022</w:t>
            </w:r>
          </w:p>
        </w:tc>
        <w:tc>
          <w:tcPr>
            <w:tcW w:w="1163" w:type="pct"/>
            <w:vAlign w:val="top"/>
          </w:tcPr>
          <w:p w14:paraId="56A7CC35">
            <w:pPr>
              <w:keepNext w:val="0"/>
              <w:keepLines w:val="0"/>
              <w:pageBreakBefore w:val="0"/>
              <w:widowControl/>
              <w:suppressLineNumbers w:val="0"/>
              <w:kinsoku/>
              <w:wordWrap/>
              <w:overflowPunct/>
              <w:topLinePunct w:val="0"/>
              <w:autoSpaceDE/>
              <w:autoSpaceDN/>
              <w:bidi w:val="0"/>
              <w:adjustRightInd/>
              <w:snapToGrid/>
              <w:spacing w:before="63" w:beforeLines="20"/>
              <w:jc w:val="center"/>
              <w:textAlignment w:val="center"/>
              <w:rPr>
                <w:rFonts w:hint="eastAsia" w:ascii="仿宋_GB2312" w:hAnsi="Times New Roman" w:eastAsia="仿宋_GB2312" w:cs="Times New Roman"/>
                <w:kern w:val="0"/>
                <w:sz w:val="24"/>
                <w:szCs w:val="24"/>
                <w:highlight w:val="none"/>
                <w:lang w:val="en-US" w:eastAsia="zh-CN" w:bidi="ar-SA"/>
              </w:rPr>
            </w:pPr>
            <w:r>
              <w:rPr>
                <w:rFonts w:hint="eastAsia" w:ascii="仿宋_GB2312" w:hAnsi="Times New Roman" w:eastAsia="仿宋_GB2312" w:cs="Times New Roman"/>
                <w:kern w:val="0"/>
                <w:sz w:val="24"/>
                <w:szCs w:val="24"/>
                <w:highlight w:val="none"/>
                <w:lang w:val="en-US" w:eastAsia="zh-CN" w:bidi="ar-SA"/>
              </w:rPr>
              <w:t>博鳌镇</w:t>
            </w:r>
          </w:p>
        </w:tc>
      </w:tr>
    </w:tbl>
    <w:p w14:paraId="52B353E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35" w:name="_Toc4088"/>
      <w:r>
        <w:rPr>
          <w:rFonts w:hint="eastAsia" w:ascii="楷体" w:hAnsi="楷体" w:eastAsia="楷体" w:cs="宋体"/>
          <w:kern w:val="0"/>
          <w:sz w:val="32"/>
          <w:szCs w:val="32"/>
          <w:highlight w:val="none"/>
          <w:lang w:val="en-US" w:eastAsia="zh-CN" w:bidi="ar-SA"/>
        </w:rPr>
        <w:t>二、引导节约使用林地</w:t>
      </w:r>
      <w:bookmarkEnd w:id="35"/>
    </w:p>
    <w:p w14:paraId="2EE9213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限制工矿开发占用林地</w:t>
      </w:r>
    </w:p>
    <w:p w14:paraId="24BF8AA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限制工业项目和矿产资源开发项目使用公益林地、天然林地和重点商品林地</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为防止采矿对林地的破坏，应大力推行矿产资源有偿使用制度，限制采矿企业规模和数量，禁止随意破坏林地和非法占用林地，整顿和规范矿山生产秩序，加强采矿生产安全检查和尾矿监督</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矿山用地实行生态优先、缴费使用、保障恢复、占补平衡政策，禁止私挖滥采，无序开发，建立矿山开发配套实施生态工程制度，并对其生态状况进行严格监控，防止地质灾害破坏林地，防止废水废渣污染林地。建立矿山开发配套实施生态工程制度，保障恢复林地，实现林地占补平衡。</w:t>
      </w:r>
    </w:p>
    <w:p w14:paraId="0995C62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规范商业性经营使用林地</w:t>
      </w:r>
    </w:p>
    <w:p w14:paraId="24AF5C08">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规范旅游经营设施等用地，适度保障符合自然保护区、森林公园、省级旅游度假区规划的生态旅游用地。严格控制其他旅游开发项目使用公益林地和重</w:t>
      </w:r>
      <w:r>
        <w:rPr>
          <w:rFonts w:hint="eastAsia" w:eastAsia="仿宋_GB2312" w:cs="Times New Roman"/>
          <w:kern w:val="0"/>
          <w:sz w:val="30"/>
          <w:szCs w:val="30"/>
          <w:highlight w:val="none"/>
          <w:lang w:val="en-US" w:eastAsia="zh-CN" w:bidi="ar-SA"/>
        </w:rPr>
        <w:t>点商</w:t>
      </w:r>
      <w:r>
        <w:rPr>
          <w:rFonts w:hint="default" w:ascii="Times New Roman" w:hAnsi="Times New Roman" w:eastAsia="仿宋_GB2312" w:cs="Times New Roman"/>
          <w:kern w:val="0"/>
          <w:sz w:val="30"/>
          <w:szCs w:val="30"/>
          <w:highlight w:val="none"/>
          <w:lang w:val="en-US" w:eastAsia="zh-CN" w:bidi="ar-SA"/>
        </w:rPr>
        <w:t>品林地。规划建设生态旅游用地以少占林地保护生态为原则，科学规划管理用房和旅游设施建设。工业园区扩建项目以征占低保护等级、低质量等级林地资源为宜，减少优质林地改变用途。</w:t>
      </w:r>
    </w:p>
    <w:p w14:paraId="38E7CF0B">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36" w:name="_Toc9404"/>
      <w:r>
        <w:rPr>
          <w:rFonts w:hint="eastAsia" w:ascii="楷体" w:hAnsi="楷体" w:eastAsia="楷体" w:cs="宋体"/>
          <w:kern w:val="0"/>
          <w:sz w:val="32"/>
          <w:szCs w:val="32"/>
          <w:highlight w:val="none"/>
          <w:lang w:val="en-US" w:eastAsia="zh-CN" w:bidi="ar-SA"/>
        </w:rPr>
        <w:t>三、优化林地利用体系</w:t>
      </w:r>
      <w:bookmarkEnd w:id="36"/>
    </w:p>
    <w:p w14:paraId="09A0F6C6">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林地质量等级结构</w:t>
      </w:r>
    </w:p>
    <w:p w14:paraId="1582D605">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根据林地的土壤厚度、土壤类型、坡度、坡向、坡位和交通区位6个质量因子，采用层次分析法，按林地质量等级划分标准，对全市林地进行质量分等评定，全市林地质量等级划分为Ⅰ级、Ⅱ级、Ⅲ级、Ⅳ级、Ⅴ级5个等级，其中：Ⅰ级林地面积7797.67公顷，占12.35%；Ⅱ级林地面积2894.77公顷，占4.59%；Ⅲ级林地面积24005.03公顷，占38.04％；Ⅳ级林地面积28400.94公顷，占45.01％；Ⅴ级林地面积2.61公顷，占0.01%</w:t>
      </w:r>
      <w:r>
        <w:rPr>
          <w:rFonts w:hint="eastAsia" w:ascii="Times New Roman" w:hAnsi="Times New Roman" w:eastAsia="仿宋_GB2312" w:cs="Times New Roman"/>
          <w:kern w:val="0"/>
          <w:sz w:val="30"/>
          <w:szCs w:val="30"/>
          <w:highlight w:val="none"/>
          <w:lang w:val="en-US" w:eastAsia="zh-CN" w:bidi="ar-SA"/>
        </w:rPr>
        <w:t>。</w:t>
      </w:r>
    </w:p>
    <w:p w14:paraId="4247B8F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20"/>
          <w:szCs w:val="2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林地质量分等级利用和管护</w:t>
      </w:r>
    </w:p>
    <w:p w14:paraId="505A09CE">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基于林地质量等级，确定相适宜的森林经营目标和经营利用程度，做到适地适树，选好经营方式，充分发挥林地潜力，并实行与林地质量等级对应的森林经营模式和利用方式。</w:t>
      </w:r>
    </w:p>
    <w:p w14:paraId="55EE9CAD">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13E1E17B">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1.Ⅰ级林地</w:t>
      </w:r>
    </w:p>
    <w:p w14:paraId="0E9C734A">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该级林地立地条件好。对于商品林地应采用集约利用模式，重点发展优良、高价值树种培育基地，形成速生、丰产、优质、高效的森林；经营林地时，提倡树种轮换、混交，采取施肥措施提高林地肥力，防止地力衰退。对公益林，采取补植珍贵树种的方法，营造有利于生物多样性保护的异龄、复层、混交森林群落；在不破坏生态功能的前提下，可以依法合理利用林地资源，开展适度的森林经营活动和非木质森林资源培育与利用，提高林地生产力。</w:t>
      </w:r>
    </w:p>
    <w:p w14:paraId="5268D6D3">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2.Ⅱ级林地</w:t>
      </w:r>
    </w:p>
    <w:p w14:paraId="06797D7F">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该级林地立地条件较好。根据林地的功能定位及林业发展趋势，对属于商品林地的，按适地适树的原则，在不破坏生态功能的前提下，优先考虑发展橡胶、槟榔和椰子为主，建立高效商品林基地。提倡规模化、集约化和企业化经营方式，采取树种轮换、测土配方施肥等经营措施，维持、提高林地生产率。对属于公益林地，根据公益林管理办法，采取补植珍贵乡土树种等措施，提高林地生产率。同时，限制该级林地转为建设用地和农用地等，严禁擅自改变林地用途。</w:t>
      </w:r>
    </w:p>
    <w:p w14:paraId="481FD21E">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3.Ⅲ级林地</w:t>
      </w:r>
    </w:p>
    <w:p w14:paraId="663F0911">
      <w:pPr>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该级林地立地条件一般。在管理上限制林地转为建设用地，控制林地转为农用地，禁止可能威胁生态系统、生态功能正常发挥和生物多样性保护的各类林地利用方式和资源开发活动。加大低产、低效林改造力度，大力提高种植技术和培育技术，适度发展特色经济林。在公益林区或生态功能比较重要的区域，考虑重点发展培育混交林，异层复龄林，丰富生物多样性，增强生态系统稳定性，维护生态平衡。</w:t>
      </w:r>
    </w:p>
    <w:p w14:paraId="427451EE">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4.Ⅳ级林地</w:t>
      </w:r>
    </w:p>
    <w:p w14:paraId="1124D12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该级林地立地条件较差。在公益林经营上加大植被的恢复力度，充分考虑森林的天然更新能力，坚持封山育林和人工造林相结合，促进天然林的自我修复更新；在商品林经营上应优先考虑发展木麻黄和其他乡土树种，既能保持水土、涵养水源又可以充分利用林地，提高林地利用效率；同时，限制林地转为建设用地和其他农用地。</w:t>
      </w:r>
    </w:p>
    <w:p w14:paraId="5CD23AE0">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5.Ⅴ级林地</w:t>
      </w:r>
    </w:p>
    <w:p w14:paraId="5CE2FD0D">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该级保护林地质量很差，主要为岩石裸露地或难利用地居多，突出特点是生态环境恶劣，属于生态区位极其重要和生态状况极端脆弱的区域。因此，要加强公益林保护建设。要实施封禁管护，禁止商业性采伐，并鼓励和引导抚育性管理，对于生态区位极其重要和生态状况极端脆弱的区域进行封山育林，落实责任到部门和个人，加大破坏林地的打击力度。</w:t>
      </w:r>
    </w:p>
    <w:p w14:paraId="4140B90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37" w:name="_Toc15715"/>
      <w:r>
        <w:rPr>
          <w:rFonts w:hint="eastAsia" w:ascii="楷体" w:hAnsi="楷体" w:eastAsia="楷体" w:cs="宋体"/>
          <w:kern w:val="0"/>
          <w:sz w:val="32"/>
          <w:szCs w:val="32"/>
          <w:highlight w:val="none"/>
          <w:lang w:val="en-US" w:eastAsia="zh-CN" w:bidi="ar-SA"/>
        </w:rPr>
        <w:t>四、完善森林生态安全体系</w:t>
      </w:r>
      <w:bookmarkEnd w:id="37"/>
    </w:p>
    <w:p w14:paraId="2E24465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构建森林生态屏障</w:t>
      </w:r>
    </w:p>
    <w:p w14:paraId="70C93B0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rPr>
          <w:rFonts w:hint="default" w:ascii="Times New Roman" w:hAnsi="Times New Roman" w:cs="Times New Roman"/>
          <w:highlight w:val="none"/>
        </w:rPr>
      </w:pPr>
      <w:r>
        <w:rPr>
          <w:rFonts w:hint="default" w:ascii="Times New Roman" w:hAnsi="Times New Roman" w:eastAsia="仿宋_GB2312" w:cs="Times New Roman"/>
          <w:kern w:val="0"/>
          <w:sz w:val="30"/>
          <w:szCs w:val="30"/>
          <w:highlight w:val="none"/>
          <w:lang w:val="en-US" w:eastAsia="zh-CN" w:bidi="ar-SA"/>
        </w:rPr>
        <w:t>实施一批林业重点生态工程，加强生态建设和系统修复，形成强大的生态庇护能力，减少和预防各种自然灾害对人类生存和经济社会的影响，为琼海市乃至海南省提供生态安全保障。健全生态公益林管理机构，提高生态公益林补偿标准，开展全市生态脆弱区生态系统修复，提升东北区域林地的生态庇护、水源保护和多样性维护的能力，构建西部山地稳定的生态屏障区，逐步减少重点景区、水库周边、旅游主干道两侧第一重山可视范围内的经济林，将其改造为生态公益林。强化流域集水区的防护林建设，提升集水区林地水量调节和水质净化功能，遏制泥沙入河，构建高效的生态防护网。</w:t>
      </w:r>
    </w:p>
    <w:p w14:paraId="27B342F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保护生物多样性</w:t>
      </w:r>
    </w:p>
    <w:p w14:paraId="1BD45A88">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西部、西北部为山区、半山区，也是野生动植物的主要分布区域，野生动物有猕猴、野猪、穿山甲、水鹿和果子狸等。构建以生态公益林和天然林为基础，自然保护区、森林公园为重点的生态保护网络体系，保护生物多样性，确保林地稳定和谐。应当制定野生动物及其栖息地相关保护规划和措施，并将野生动物保护经费纳入预算。加强野生动物保护的宣传教育和科学知识普及工作，鼓励和支持基层群众性自治组织、社会组织、企业事业单位、志愿者开展野生动物保护法律法规和保护知识的宣传活动。</w:t>
      </w:r>
    </w:p>
    <w:p w14:paraId="1E32DAA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保障生态公益林发展空间</w:t>
      </w:r>
    </w:p>
    <w:p w14:paraId="23D0853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对现有公益林地进行适当合法调整，形成集中连片的公益林保育区，最大限度地发挥森林生态效益；适度增加公益林地面积，依法将生态重要地区和生态脆弱地区的林地，区划为生态公益林地；合理利用林地资源，在不破坏生态功能的前提下，开发林下种植业，利用森林景观发展旅游业。</w:t>
      </w:r>
    </w:p>
    <w:p w14:paraId="70C788E6">
      <w:pPr>
        <w:rPr>
          <w:rFonts w:hint="default"/>
          <w:highlight w:val="none"/>
          <w:lang w:val="en-US" w:eastAsia="zh-CN"/>
        </w:rPr>
      </w:pPr>
      <w:r>
        <w:rPr>
          <w:rFonts w:hint="default"/>
          <w:highlight w:val="none"/>
          <w:lang w:val="en-US" w:eastAsia="zh-CN"/>
        </w:rPr>
        <w:br w:type="page"/>
      </w:r>
    </w:p>
    <w:p w14:paraId="72B46C5E">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38" w:name="_Toc11974"/>
      <w:r>
        <w:rPr>
          <w:rFonts w:hint="eastAsia" w:ascii="黑体" w:hAnsi="黑体" w:eastAsia="黑体" w:cs="宋体"/>
          <w:kern w:val="0"/>
          <w:sz w:val="36"/>
          <w:szCs w:val="36"/>
          <w:highlight w:val="none"/>
          <w:lang w:val="en-US" w:eastAsia="zh-CN" w:bidi="ar-SA"/>
        </w:rPr>
        <w:t>第七章  重点工程规划</w:t>
      </w:r>
      <w:bookmarkEnd w:id="38"/>
    </w:p>
    <w:p w14:paraId="51EC5DBC">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39" w:name="_Toc10242"/>
      <w:r>
        <w:rPr>
          <w:rFonts w:hint="default" w:ascii="Times New Roman" w:hAnsi="Times New Roman" w:eastAsia="楷体" w:cs="Times New Roman"/>
          <w:kern w:val="0"/>
          <w:sz w:val="32"/>
          <w:szCs w:val="32"/>
          <w:highlight w:val="none"/>
          <w:lang w:val="en-US" w:eastAsia="zh-CN" w:bidi="ar-SA"/>
        </w:rPr>
        <w:t>一、森林质量精准提升工程</w:t>
      </w:r>
      <w:bookmarkEnd w:id="39"/>
    </w:p>
    <w:p w14:paraId="576CF94B">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人工造林</w:t>
      </w:r>
    </w:p>
    <w:p w14:paraId="5D391B50">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1.建设范围</w:t>
      </w:r>
    </w:p>
    <w:p w14:paraId="50CF222F">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eastAsia" w:ascii="Times New Roman" w:hAnsi="Times New Roman" w:eastAsia="仿宋_GB2312" w:cs="Times New Roman"/>
          <w:kern w:val="0"/>
          <w:sz w:val="30"/>
          <w:szCs w:val="30"/>
          <w:highlight w:val="none"/>
          <w:lang w:val="en-US" w:eastAsia="zh-CN" w:bidi="ar-SA"/>
        </w:rPr>
        <w:t>根据</w:t>
      </w:r>
      <w:r>
        <w:rPr>
          <w:rFonts w:hint="eastAsia" w:ascii="Times New Roman" w:hAnsi="Times New Roman" w:eastAsia="仿宋_GB2312"/>
          <w:kern w:val="0"/>
          <w:sz w:val="30"/>
          <w:szCs w:val="30"/>
          <w:highlight w:val="none"/>
        </w:rPr>
        <w:t>《琼海市森林经营规划（2018-2050年）》</w:t>
      </w:r>
      <w:r>
        <w:rPr>
          <w:rFonts w:hint="eastAsia" w:ascii="Times New Roman" w:hAnsi="Times New Roman" w:eastAsia="仿宋_GB2312"/>
          <w:kern w:val="0"/>
          <w:sz w:val="30"/>
          <w:szCs w:val="30"/>
          <w:highlight w:val="none"/>
          <w:lang w:eastAsia="zh-CN"/>
        </w:rPr>
        <w:t>，</w:t>
      </w:r>
      <w:r>
        <w:rPr>
          <w:rFonts w:hint="eastAsia" w:ascii="Times New Roman" w:hAnsi="Times New Roman" w:eastAsia="仿宋_GB2312"/>
          <w:kern w:val="0"/>
          <w:sz w:val="30"/>
          <w:szCs w:val="30"/>
          <w:highlight w:val="none"/>
          <w:lang w:val="en-US" w:eastAsia="zh-CN"/>
        </w:rPr>
        <w:t>未来人工造林主要在宜林地中进行，</w:t>
      </w:r>
      <w:r>
        <w:rPr>
          <w:rFonts w:hint="eastAsia" w:ascii="Times New Roman" w:hAnsi="Times New Roman" w:eastAsia="仿宋_GB2312" w:cs="Times New Roman"/>
          <w:kern w:val="0"/>
          <w:sz w:val="30"/>
          <w:szCs w:val="30"/>
          <w:highlight w:val="none"/>
          <w:lang w:val="en-US" w:eastAsia="zh-CN" w:bidi="ar-SA"/>
        </w:rPr>
        <w:t>由</w:t>
      </w:r>
      <w:r>
        <w:rPr>
          <w:rFonts w:hint="default" w:ascii="Times New Roman" w:hAnsi="Times New Roman" w:eastAsia="仿宋_GB2312" w:cs="Times New Roman"/>
          <w:kern w:val="0"/>
          <w:sz w:val="30"/>
          <w:szCs w:val="30"/>
          <w:highlight w:val="none"/>
          <w:lang w:val="en-US" w:eastAsia="zh-CN" w:bidi="ar-SA"/>
        </w:rPr>
        <w:t>琼海市第三次国土调查数据和2020年森林资源管理</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对接融合后的数据</w:t>
      </w:r>
      <w:r>
        <w:rPr>
          <w:rFonts w:hint="eastAsia" w:ascii="Times New Roman" w:hAnsi="Times New Roman" w:eastAsia="仿宋_GB2312" w:cs="Times New Roman"/>
          <w:kern w:val="0"/>
          <w:sz w:val="30"/>
          <w:szCs w:val="30"/>
          <w:highlight w:val="none"/>
          <w:lang w:val="en-US" w:eastAsia="zh-CN" w:bidi="ar-SA"/>
        </w:rPr>
        <w:t>可知，森林资源管理“一张图”中的宜林地在国土三调中的其他土地中，主要以裸土地为主</w:t>
      </w:r>
      <w:r>
        <w:rPr>
          <w:rFonts w:hint="default" w:ascii="Times New Roman" w:hAnsi="Times New Roman" w:eastAsia="仿宋_GB2312" w:cs="Times New Roman"/>
          <w:kern w:val="0"/>
          <w:sz w:val="30"/>
          <w:szCs w:val="30"/>
          <w:highlight w:val="none"/>
          <w:lang w:val="en-US" w:eastAsia="zh-CN" w:bidi="ar-SA"/>
        </w:rPr>
        <w:t>。</w:t>
      </w:r>
      <w:r>
        <w:rPr>
          <w:rFonts w:hint="eastAsia" w:ascii="Times New Roman" w:hAnsi="Times New Roman" w:eastAsia="仿宋_GB2312" w:cs="Times New Roman"/>
          <w:kern w:val="0"/>
          <w:sz w:val="30"/>
          <w:szCs w:val="30"/>
          <w:highlight w:val="none"/>
          <w:lang w:val="en-US" w:eastAsia="zh-CN" w:bidi="ar-SA"/>
        </w:rPr>
        <w:t>因此，在裸土地里可进行造林，</w:t>
      </w:r>
      <w:r>
        <w:rPr>
          <w:rFonts w:hint="default" w:ascii="Times New Roman" w:hAnsi="Times New Roman" w:eastAsia="仿宋_GB2312" w:cs="Times New Roman"/>
          <w:kern w:val="0"/>
          <w:sz w:val="30"/>
          <w:szCs w:val="30"/>
          <w:highlight w:val="none"/>
          <w:lang w:val="en-US" w:eastAsia="zh-CN" w:bidi="ar-SA"/>
        </w:rPr>
        <w:t>造林方式采取人工造林。</w:t>
      </w:r>
    </w:p>
    <w:p w14:paraId="0FB0F76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2.目的及意义</w:t>
      </w:r>
    </w:p>
    <w:p w14:paraId="1CE49AB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为持续扩大森林面积，提高森林覆盖率，有必要继续开展人工造林工程。人工造林是林业生态建设的重要工程，更是森林资源提质、提量的前提基础和有效保障。在调整森林结构、加强森林质量、改善森林资源长效机制、优化森林生态功能、美化森林景观效益和保持自然生态平衡等方面具有重要作用。</w:t>
      </w:r>
    </w:p>
    <w:p w14:paraId="195A526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3.主要技术说明</w:t>
      </w:r>
    </w:p>
    <w:p w14:paraId="6026E68D">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防护林：人工营造生态防护林，目的是在确保生态效益的前提下，兼顾经济、社会及景观效益。对于沿海防护林而言，应选用椰子等棕榈科植物、木麻黄、大叶榄仁、重阳木、琼崖海棠、海南蒲桃、榕树、凤凰木、黄槿等乔木树种，适当配置露兜、草海桐、剑麻、三角梅、黄金榕等灌木树种，营造出多树种混交的沿海景观型防护林，最大限度</w:t>
      </w:r>
      <w:r>
        <w:rPr>
          <w:rFonts w:hint="eastAsia" w:eastAsia="仿宋_GB2312" w:cs="Times New Roman"/>
          <w:kern w:val="0"/>
          <w:sz w:val="30"/>
          <w:szCs w:val="30"/>
          <w:highlight w:val="none"/>
          <w:lang w:val="en-US" w:eastAsia="zh-CN" w:bidi="ar-SA"/>
        </w:rPr>
        <w:t>地</w:t>
      </w:r>
      <w:r>
        <w:rPr>
          <w:rFonts w:hint="default" w:ascii="Times New Roman" w:hAnsi="Times New Roman" w:eastAsia="仿宋_GB2312" w:cs="Times New Roman"/>
          <w:kern w:val="0"/>
          <w:sz w:val="30"/>
          <w:szCs w:val="30"/>
          <w:highlight w:val="none"/>
          <w:lang w:val="en-US" w:eastAsia="zh-CN" w:bidi="ar-SA"/>
        </w:rPr>
        <w:t>发挥其景观效益，为滨海旅游创造条件。</w:t>
      </w:r>
    </w:p>
    <w:p w14:paraId="14415E5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（2）对于其他区域的生态防护林，可选择橡胶、波罗蜜、油茶、相思类等树种，适当选择珍贵乡土阔叶树种进行混交种植，兼顾经济效益。</w:t>
      </w:r>
    </w:p>
    <w:p w14:paraId="35ADE0F6">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（3）经济林：根据区位优势，营造波罗蜜、柑橘橙等热带经果林，橡胶等林化工业林，以及油茶等食用原料林，大力发展特色经济林，为人类社会提供充足的特色林产品。</w:t>
      </w:r>
    </w:p>
    <w:p w14:paraId="14B1181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（4）用材林：在保障相思类、木麻黄等用材树种面积的基础上，引导种植降香黄檀、白木香、母生、格木等珍贵用材树种，尽可能采用混交林种植模式。</w:t>
      </w:r>
    </w:p>
    <w:p w14:paraId="1AF21E7F">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更新造林</w:t>
      </w:r>
    </w:p>
    <w:p w14:paraId="009DA85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1.建设范围</w:t>
      </w:r>
    </w:p>
    <w:p w14:paraId="78DE1EC4">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依据《中华人民共和国森林法》《中华人民共和国森林法实施条例》以及《森林采伐更新管理办法》相关要求，对规划区域内的</w:t>
      </w:r>
      <w:r>
        <w:rPr>
          <w:rFonts w:hint="eastAsia" w:ascii="Times New Roman" w:hAnsi="Times New Roman" w:eastAsia="仿宋_GB2312" w:cs="Times New Roman"/>
          <w:kern w:val="0"/>
          <w:sz w:val="30"/>
          <w:szCs w:val="30"/>
          <w:highlight w:val="none"/>
          <w:lang w:val="en-US" w:eastAsia="zh-CN" w:bidi="ar-SA"/>
        </w:rPr>
        <w:t>其他园地及其他林地</w:t>
      </w:r>
      <w:r>
        <w:rPr>
          <w:rFonts w:hint="default" w:ascii="Times New Roman" w:hAnsi="Times New Roman" w:eastAsia="仿宋_GB2312" w:cs="Times New Roman"/>
          <w:kern w:val="0"/>
          <w:sz w:val="30"/>
          <w:szCs w:val="30"/>
          <w:highlight w:val="none"/>
          <w:lang w:val="en-US" w:eastAsia="zh-CN" w:bidi="ar-SA"/>
        </w:rPr>
        <w:t>进行更新造林</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造林方式为人工造林。</w:t>
      </w:r>
    </w:p>
    <w:p w14:paraId="2444C2C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2.目的及意义</w:t>
      </w:r>
    </w:p>
    <w:p w14:paraId="51FF68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目前在规划区域内存在较多的槟榔</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对槟榔进行更新造林，可</w:t>
      </w:r>
      <w:r>
        <w:rPr>
          <w:rFonts w:hint="default" w:ascii="Times New Roman" w:hAnsi="Times New Roman" w:eastAsia="仿宋_GB2312" w:cs="Times New Roman"/>
          <w:kern w:val="0"/>
          <w:sz w:val="30"/>
          <w:szCs w:val="30"/>
          <w:highlight w:val="none"/>
          <w:lang w:val="en-US" w:eastAsia="zh-CN" w:bidi="ar-SA"/>
        </w:rPr>
        <w:t>增加</w:t>
      </w:r>
      <w:r>
        <w:rPr>
          <w:rFonts w:hint="eastAsia" w:eastAsia="仿宋_GB2312" w:cs="Times New Roman"/>
          <w:kern w:val="0"/>
          <w:sz w:val="30"/>
          <w:szCs w:val="30"/>
          <w:highlight w:val="none"/>
          <w:lang w:val="en-US" w:eastAsia="zh-CN" w:bidi="ar-SA"/>
        </w:rPr>
        <w:t>森林</w:t>
      </w:r>
      <w:r>
        <w:rPr>
          <w:rFonts w:hint="default" w:ascii="Times New Roman" w:hAnsi="Times New Roman" w:eastAsia="仿宋_GB2312" w:cs="Times New Roman"/>
          <w:kern w:val="0"/>
          <w:sz w:val="30"/>
          <w:szCs w:val="30"/>
          <w:highlight w:val="none"/>
          <w:lang w:val="en-US" w:eastAsia="zh-CN" w:bidi="ar-SA"/>
        </w:rPr>
        <w:t>面积，确保森林面积和森林蓄积</w:t>
      </w:r>
      <w:r>
        <w:rPr>
          <w:rFonts w:hint="eastAsia" w:eastAsia="仿宋_GB2312" w:cs="Times New Roman"/>
          <w:kern w:val="0"/>
          <w:sz w:val="30"/>
          <w:szCs w:val="30"/>
          <w:highlight w:val="none"/>
          <w:lang w:val="en-US" w:eastAsia="zh-CN" w:bidi="ar-SA"/>
        </w:rPr>
        <w:t>提高</w:t>
      </w:r>
      <w:r>
        <w:rPr>
          <w:rFonts w:hint="default" w:ascii="Times New Roman" w:hAnsi="Times New Roman" w:eastAsia="仿宋_GB2312" w:cs="Times New Roman"/>
          <w:kern w:val="0"/>
          <w:sz w:val="30"/>
          <w:szCs w:val="30"/>
          <w:highlight w:val="none"/>
          <w:lang w:val="en-US" w:eastAsia="zh-CN" w:bidi="ar-SA"/>
        </w:rPr>
        <w:t>，防止森林生态系统的平衡被打破，保障森林资源的相对稳定和持续利用。</w:t>
      </w:r>
    </w:p>
    <w:p w14:paraId="44BAEC0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3.主要技术说明</w:t>
      </w:r>
    </w:p>
    <w:p w14:paraId="3E7E286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（1）严格执行限额采伐，做到合理采伐，及时更新。</w:t>
      </w:r>
    </w:p>
    <w:p w14:paraId="3F3CFE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生态公益林更新造林需编制专项采伐作业设计和更新造林作业设计，由相应林业主管部门进行审批。一般商品林更新造林可采取编制简易采伐设计和造林作业设计的方式进行，以确保森林经营活动的连续性。</w:t>
      </w:r>
    </w:p>
    <w:p w14:paraId="2F9CA7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（3）在更新树种选择方面，在确保生态优先的基础上，应积极进行引导</w:t>
      </w:r>
      <w:r>
        <w:rPr>
          <w:rFonts w:hint="eastAsia" w:eastAsia="仿宋_GB2312" w:cs="Times New Roman"/>
          <w:kern w:val="0"/>
          <w:sz w:val="30"/>
          <w:szCs w:val="30"/>
          <w:highlight w:val="none"/>
          <w:lang w:val="en-US" w:eastAsia="zh-CN" w:bidi="ar-SA"/>
        </w:rPr>
        <w:t>科学种植，可采用政府适当补贴的方式，选</w:t>
      </w:r>
      <w:r>
        <w:rPr>
          <w:rFonts w:hint="default" w:ascii="Times New Roman" w:hAnsi="Times New Roman" w:eastAsia="仿宋_GB2312" w:cs="Times New Roman"/>
          <w:kern w:val="0"/>
          <w:sz w:val="30"/>
          <w:szCs w:val="30"/>
          <w:highlight w:val="none"/>
          <w:lang w:val="en-US" w:eastAsia="zh-CN" w:bidi="ar-SA"/>
        </w:rPr>
        <w:t>种</w:t>
      </w:r>
      <w:r>
        <w:rPr>
          <w:rFonts w:hint="eastAsia" w:eastAsia="仿宋_GB2312" w:cs="Times New Roman"/>
          <w:kern w:val="0"/>
          <w:sz w:val="30"/>
          <w:szCs w:val="30"/>
          <w:highlight w:val="none"/>
          <w:lang w:val="en-US" w:eastAsia="zh-CN" w:bidi="ar-SA"/>
        </w:rPr>
        <w:t>乡土珍贵树种</w:t>
      </w:r>
      <w:r>
        <w:rPr>
          <w:rFonts w:hint="default" w:ascii="Times New Roman" w:hAnsi="Times New Roman" w:eastAsia="仿宋_GB2312" w:cs="Times New Roman"/>
          <w:kern w:val="0"/>
          <w:sz w:val="30"/>
          <w:szCs w:val="30"/>
          <w:highlight w:val="none"/>
          <w:lang w:val="en-US" w:eastAsia="zh-CN" w:bidi="ar-SA"/>
        </w:rPr>
        <w:t>，且尽可能遵循林农自愿经营的原则。</w:t>
      </w:r>
    </w:p>
    <w:p w14:paraId="507770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4</w:t>
      </w:r>
      <w:r>
        <w:rPr>
          <w:rFonts w:hint="default" w:ascii="Times New Roman" w:hAnsi="Times New Roman" w:eastAsia="仿宋_GB2312" w:cs="Times New Roman"/>
          <w:kern w:val="0"/>
          <w:sz w:val="30"/>
          <w:szCs w:val="30"/>
          <w:highlight w:val="none"/>
          <w:lang w:val="en-US" w:eastAsia="zh-CN" w:bidi="ar-SA"/>
        </w:rPr>
        <w:t>）必须在伐后次年内完成更新，应做到越早更新越好，并确保当年造林成活率达85%以上。</w:t>
      </w:r>
    </w:p>
    <w:p w14:paraId="1859BC24">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森林抚育</w:t>
      </w:r>
    </w:p>
    <w:p w14:paraId="4D2B775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1.建设范围</w:t>
      </w:r>
    </w:p>
    <w:p w14:paraId="1E61B3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森林抚育的范围包括全市范围内的用材林、经济林、防护林和特用林，以及纳入国家木材战略储备林规划的橡胶幼、中龄林。加强中幼林抚育经营管理，对中幼龄林采取科学合理的间伐、割灌除草、施肥、补植等森林抚育措施，促进林木生长，缩短新造林成林年限。</w:t>
      </w:r>
    </w:p>
    <w:p w14:paraId="0C7CB0D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2.目的及意义</w:t>
      </w:r>
    </w:p>
    <w:p w14:paraId="0199E0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改善森林结构和树种组成，促进林木生长发育，提高林地生产力和林木生长量，丰富生物多样性，维护森林健康，提升森林多功能效益，培育健康、稳定、优质的森林生态系统。</w:t>
      </w:r>
    </w:p>
    <w:p w14:paraId="35539CA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3.主要技术说明</w:t>
      </w:r>
    </w:p>
    <w:p w14:paraId="28C337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（1）从幼林郁闭度到林分成熟前，根据培育目标所采取的各种营造林措施，包括：抚育采伐、补植、修枝、浇水、施肥、人工促进天然更新以及视情况进行的砍藤割灌、除草等辅助作业活动。</w:t>
      </w:r>
    </w:p>
    <w:p w14:paraId="67893A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（2）幼龄林阶段的天然林或混交林，主要进行透光伐抚育作业，而对于幼龄林阶段的人工同龄纯林，可视培育目标进行疏伐抚育作业，必要时可进行除草、培土和补植。</w:t>
      </w:r>
    </w:p>
    <w:p w14:paraId="7933DD3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（3）对于幼、中龄林的橡胶林</w:t>
      </w:r>
      <w:r>
        <w:rPr>
          <w:rFonts w:hint="eastAsia" w:eastAsia="仿宋_GB2312" w:cs="Times New Roman"/>
          <w:kern w:val="0"/>
          <w:sz w:val="30"/>
          <w:szCs w:val="30"/>
          <w:highlight w:val="none"/>
          <w:lang w:val="en-US" w:eastAsia="zh-CN" w:bidi="ar-SA"/>
        </w:rPr>
        <w:t>以及</w:t>
      </w:r>
      <w:r>
        <w:rPr>
          <w:rFonts w:hint="default" w:ascii="Times New Roman" w:hAnsi="Times New Roman" w:eastAsia="仿宋_GB2312" w:cs="Times New Roman"/>
          <w:kern w:val="0"/>
          <w:sz w:val="30"/>
          <w:szCs w:val="30"/>
          <w:highlight w:val="none"/>
          <w:lang w:val="en-US" w:eastAsia="zh-CN" w:bidi="ar-SA"/>
        </w:rPr>
        <w:t>其他特色经济林树种，主要采取除草、割灌、施肥和补植等抚育措施。</w:t>
      </w:r>
    </w:p>
    <w:p w14:paraId="593D27D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四</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退化林修复</w:t>
      </w:r>
    </w:p>
    <w:p w14:paraId="01B7D81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1.建设范围</w:t>
      </w:r>
    </w:p>
    <w:p w14:paraId="540DFE61">
      <w:pPr>
        <w:numPr>
          <w:ilvl w:val="0"/>
          <w:numId w:val="0"/>
        </w:numPr>
        <w:ind w:firstLine="600" w:firstLineChars="200"/>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市范围内特色经济体，主要包括因遭受黄化病影响的槟榔林和少部分经营不当的经济林；树种配置不佳、林分老化、生态防护功能低下的人工生态林；经营、管护不当的橡胶林等；此类林分将提前或加速进入生理衰退阶段，出现林木枯死濒死、生长不良等现象，生态功能逐渐减退，森科经济效益显著下降，难以充分发挥森林生态、经济价值。</w:t>
      </w:r>
    </w:p>
    <w:p w14:paraId="46798C4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2.目的及意义</w:t>
      </w:r>
    </w:p>
    <w:p w14:paraId="524F4F0C">
      <w:pPr>
        <w:numPr>
          <w:ilvl w:val="0"/>
          <w:numId w:val="0"/>
        </w:numPr>
        <w:ind w:firstLine="600" w:firstLineChars="200"/>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对退化林分采取人工干预措施，改善林分结构和生境，提高林分质量，恢复和提升森林生态功能，森林生态、经济效益得以充分发挥，保障林产品供给。</w:t>
      </w:r>
    </w:p>
    <w:p w14:paraId="24A468AB">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3.主要技术说明</w:t>
      </w:r>
    </w:p>
    <w:p w14:paraId="4BC3987D">
      <w:pPr>
        <w:numPr>
          <w:ilvl w:val="0"/>
          <w:numId w:val="0"/>
        </w:numPr>
        <w:ind w:firstLine="600" w:firstLineChars="200"/>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更替修复：主要针对因遭受黄化病影响经营不当的经济林；防护功能和林分质量低下及林相差且不属于特殊保护和生态脆弱区域的人工生态林；采取块状皆伐更新、带状采伐更新、林（冠）下造林更新、全面补植更新等方式进行修复。</w:t>
      </w:r>
    </w:p>
    <w:p w14:paraId="39543395">
      <w:pPr>
        <w:numPr>
          <w:ilvl w:val="0"/>
          <w:numId w:val="0"/>
        </w:numPr>
        <w:ind w:firstLine="600" w:firstLineChars="200"/>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择伐修复：主要针对基干林带、江河和水库两岸等重点生态区域以及生态脆弱区域或坡度＞25°的生态公益林中达到成、过熟年龄的人工防护林和特用林，主要采用隔株择伐、群块状择伐方式，并根据林分实际情况进行补植补造。对林分中枯死、濒死和受林业有害生物危害的林木以及达到成、过熟年龄的林木，实行择伐作业。择伐强度应根据实际情况进行确定，原则上一次择伐作业强度不能超过30%，且作业技术应符合国家、省相关规定要求。择伐后根据林分实际情况，适当进行补植补造，尽可能选择乡土适生树种，以营造混交林为目的，提高林分质量，改善生态功能。</w:t>
      </w:r>
    </w:p>
    <w:p w14:paraId="5EB7DF23">
      <w:pPr>
        <w:pStyle w:val="4"/>
        <w:numPr>
          <w:ilvl w:val="0"/>
          <w:numId w:val="0"/>
        </w:numPr>
        <w:spacing w:before="157" w:beforeLines="50"/>
        <w:ind w:leftChars="200"/>
        <w:jc w:val="left"/>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val="en-US" w:eastAsia="zh-CN" w:bidi="ar-SA"/>
        </w:rPr>
        <w:t>（五）油茶林建设</w:t>
      </w:r>
    </w:p>
    <w:p w14:paraId="4F28A8C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9"/>
        <w:rPr>
          <w:rFonts w:hint="default" w:ascii="Times New Roman" w:hAnsi="Times New Roman" w:eastAsia="仿宋_GB2312" w:cs="Times New Roman"/>
          <w:kern w:val="0"/>
          <w:sz w:val="30"/>
          <w:szCs w:val="30"/>
          <w:highlight w:val="none"/>
          <w:lang w:val="en-US" w:eastAsia="zh-CN" w:bidi="ar-SA"/>
        </w:rPr>
      </w:pPr>
      <w:r>
        <w:rPr>
          <w:rFonts w:hint="default" w:eastAsia="仿宋_GB2312"/>
          <w:kern w:val="0"/>
          <w:sz w:val="30"/>
          <w:szCs w:val="30"/>
          <w:highlight w:val="none"/>
        </w:rPr>
        <w:t>国家林草局、国家发改委、财政部联合印发《加快油茶产业发展三年行动方案（2023年—2025年）》，</w:t>
      </w:r>
      <w:r>
        <w:rPr>
          <w:rFonts w:hint="eastAsia" w:eastAsia="仿宋_GB2312"/>
          <w:kern w:val="0"/>
          <w:sz w:val="30"/>
          <w:szCs w:val="30"/>
          <w:highlight w:val="none"/>
          <w:lang w:val="en-US" w:eastAsia="zh-CN"/>
        </w:rPr>
        <w:t>我</w:t>
      </w:r>
      <w:r>
        <w:rPr>
          <w:rFonts w:hint="default" w:eastAsia="仿宋_GB2312"/>
          <w:kern w:val="0"/>
          <w:sz w:val="30"/>
          <w:szCs w:val="30"/>
          <w:highlight w:val="none"/>
        </w:rPr>
        <w:t>省被列为全国油茶重点拓展区</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根据《海南省</w:t>
      </w:r>
      <w:r>
        <w:rPr>
          <w:rFonts w:hint="eastAsia" w:eastAsia="仿宋_GB2312"/>
          <w:kern w:val="0"/>
          <w:sz w:val="30"/>
          <w:szCs w:val="30"/>
          <w:highlight w:val="none"/>
        </w:rPr>
        <w:t>油茶产业高质量发展中长期规划</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2021-2035年</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w:t>
      </w:r>
      <w:r>
        <w:rPr>
          <w:rFonts w:hint="default" w:eastAsia="仿宋_GB2312"/>
          <w:kern w:val="0"/>
          <w:sz w:val="30"/>
          <w:szCs w:val="30"/>
          <w:highlight w:val="none"/>
        </w:rPr>
        <w:t>到2025年全省建设油茶种植基地25万亩</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其中，</w:t>
      </w:r>
      <w:r>
        <w:rPr>
          <w:rFonts w:hint="default" w:eastAsia="仿宋_GB2312"/>
          <w:kern w:val="0"/>
          <w:sz w:val="30"/>
          <w:szCs w:val="30"/>
          <w:highlight w:val="none"/>
        </w:rPr>
        <w:t>新造油茶林12.71万亩，培育幼林6.73万亩，改造低产林5.56万亩</w:t>
      </w:r>
      <w:r>
        <w:rPr>
          <w:rFonts w:hint="eastAsia" w:eastAsia="仿宋_GB2312"/>
          <w:kern w:val="0"/>
          <w:sz w:val="30"/>
          <w:szCs w:val="30"/>
          <w:highlight w:val="none"/>
          <w:lang w:eastAsia="zh-CN"/>
        </w:rPr>
        <w:t>，</w:t>
      </w:r>
      <w:r>
        <w:rPr>
          <w:rFonts w:hint="eastAsia" w:eastAsia="仿宋_GB2312"/>
          <w:kern w:val="0"/>
          <w:sz w:val="30"/>
          <w:szCs w:val="30"/>
          <w:highlight w:val="none"/>
        </w:rPr>
        <w:t>到2035年全面建设油茶基地50万亩。将全省油茶种植区域划分为核心发展区、积极发展区和一般发展区</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琼海市属于</w:t>
      </w:r>
      <w:r>
        <w:rPr>
          <w:rFonts w:hint="eastAsia" w:eastAsia="仿宋_GB2312"/>
          <w:kern w:val="0"/>
          <w:sz w:val="30"/>
          <w:szCs w:val="30"/>
          <w:highlight w:val="none"/>
        </w:rPr>
        <w:t>核心发展区</w:t>
      </w:r>
      <w:r>
        <w:rPr>
          <w:rFonts w:hint="eastAsia" w:eastAsia="仿宋_GB2312"/>
          <w:kern w:val="0"/>
          <w:sz w:val="30"/>
          <w:szCs w:val="30"/>
          <w:highlight w:val="none"/>
          <w:lang w:eastAsia="zh-CN"/>
        </w:rPr>
        <w:t>。</w:t>
      </w:r>
    </w:p>
    <w:p w14:paraId="75DACF6C">
      <w:pPr>
        <w:keepNext w:val="0"/>
        <w:keepLines w:val="0"/>
        <w:pageBreakBefore w:val="0"/>
        <w:widowControl w:val="0"/>
        <w:numPr>
          <w:ilvl w:val="0"/>
          <w:numId w:val="7"/>
        </w:numPr>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建设范围</w:t>
      </w:r>
    </w:p>
    <w:p w14:paraId="4572DE57">
      <w:pPr>
        <w:pStyle w:val="2"/>
        <w:numPr>
          <w:ilvl w:val="-1"/>
          <w:numId w:val="0"/>
        </w:numPr>
        <w:ind w:firstLine="600" w:firstLineChars="200"/>
        <w:rPr>
          <w:rFonts w:hint="default" w:eastAsia="仿宋_GB2312" w:cs="Times New Roman"/>
          <w:color w:val="auto"/>
          <w:kern w:val="0"/>
          <w:sz w:val="30"/>
          <w:szCs w:val="30"/>
          <w:highlight w:val="none"/>
          <w:lang w:val="en-US" w:eastAsia="zh-CN"/>
        </w:rPr>
      </w:pPr>
      <w:r>
        <w:rPr>
          <w:rFonts w:hint="eastAsia" w:eastAsia="仿宋_GB2312" w:cs="Times New Roman"/>
          <w:color w:val="auto"/>
          <w:kern w:val="0"/>
          <w:sz w:val="30"/>
          <w:szCs w:val="30"/>
          <w:highlight w:val="none"/>
          <w:lang w:val="en-US" w:eastAsia="zh-CN"/>
        </w:rPr>
        <w:t>根据</w:t>
      </w:r>
      <w:r>
        <w:rPr>
          <w:rFonts w:hint="eastAsia" w:eastAsia="仿宋_GB2312"/>
          <w:kern w:val="0"/>
          <w:sz w:val="30"/>
          <w:szCs w:val="30"/>
          <w:highlight w:val="none"/>
          <w:lang w:val="en-US" w:eastAsia="zh-CN"/>
        </w:rPr>
        <w:t>《海南省</w:t>
      </w:r>
      <w:r>
        <w:rPr>
          <w:rFonts w:hint="eastAsia" w:eastAsia="仿宋_GB2312"/>
          <w:kern w:val="0"/>
          <w:sz w:val="30"/>
          <w:szCs w:val="30"/>
          <w:highlight w:val="none"/>
        </w:rPr>
        <w:t>油茶产业高质量发展中长期规划</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2021-2035年</w:t>
      </w:r>
      <w:r>
        <w:rPr>
          <w:rFonts w:hint="eastAsia" w:eastAsia="仿宋_GB2312"/>
          <w:kern w:val="0"/>
          <w:sz w:val="30"/>
          <w:szCs w:val="30"/>
          <w:highlight w:val="none"/>
          <w:lang w:eastAsia="zh-CN"/>
        </w:rPr>
        <w:t>）</w:t>
      </w:r>
      <w:r>
        <w:rPr>
          <w:rFonts w:hint="eastAsia" w:eastAsia="仿宋_GB2312"/>
          <w:kern w:val="0"/>
          <w:sz w:val="30"/>
          <w:szCs w:val="30"/>
          <w:highlight w:val="none"/>
          <w:lang w:val="en-US" w:eastAsia="zh-CN"/>
        </w:rPr>
        <w:t>》，琼海市的12个镇都为</w:t>
      </w:r>
      <w:r>
        <w:rPr>
          <w:rFonts w:hint="eastAsia" w:eastAsia="仿宋_GB2312"/>
          <w:kern w:val="0"/>
          <w:sz w:val="30"/>
          <w:szCs w:val="30"/>
          <w:highlight w:val="none"/>
        </w:rPr>
        <w:t>油茶种植最适发展</w:t>
      </w:r>
      <w:r>
        <w:rPr>
          <w:rFonts w:hint="eastAsia" w:eastAsia="仿宋_GB2312"/>
          <w:kern w:val="0"/>
          <w:sz w:val="30"/>
          <w:szCs w:val="30"/>
          <w:highlight w:val="none"/>
          <w:lang w:eastAsia="zh-CN"/>
        </w:rPr>
        <w:t>地，</w:t>
      </w:r>
      <w:r>
        <w:rPr>
          <w:rFonts w:hint="eastAsia" w:eastAsia="仿宋_GB2312"/>
          <w:kern w:val="0"/>
          <w:sz w:val="30"/>
          <w:szCs w:val="30"/>
          <w:highlight w:val="none"/>
          <w:lang w:val="en-US" w:eastAsia="zh-CN"/>
        </w:rPr>
        <w:t>选择适宜油茶生长的土地进行油茶新造林，根据目前油茶种植分布生长情况进行相应的幼林培育和低产林改造。</w:t>
      </w:r>
    </w:p>
    <w:p w14:paraId="5EA0C3AA">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2.目的及意义</w:t>
      </w:r>
    </w:p>
    <w:p w14:paraId="452B792F">
      <w:pPr>
        <w:pStyle w:val="2"/>
        <w:ind w:firstLine="600" w:firstLineChars="200"/>
        <w:rPr>
          <w:rFonts w:hint="default" w:eastAsia="仿宋_GB2312" w:cs="Times New Roman"/>
          <w:color w:val="auto"/>
          <w:kern w:val="0"/>
          <w:sz w:val="30"/>
          <w:szCs w:val="30"/>
          <w:highlight w:val="none"/>
          <w:lang w:val="en-US" w:eastAsia="zh-CN"/>
        </w:rPr>
      </w:pPr>
      <w:r>
        <w:rPr>
          <w:rFonts w:hint="eastAsia" w:eastAsia="仿宋_GB2312" w:cs="Times New Roman"/>
          <w:color w:val="auto"/>
          <w:kern w:val="0"/>
          <w:sz w:val="30"/>
          <w:szCs w:val="30"/>
          <w:highlight w:val="none"/>
          <w:lang w:val="en-US" w:eastAsia="zh-CN"/>
        </w:rPr>
        <w:t>扩大油茶种植基地，提升油茶林的质量，</w:t>
      </w:r>
      <w:r>
        <w:rPr>
          <w:rFonts w:hint="default" w:eastAsia="仿宋_GB2312" w:cs="Times New Roman"/>
          <w:color w:val="auto"/>
          <w:kern w:val="0"/>
          <w:sz w:val="30"/>
          <w:szCs w:val="30"/>
          <w:highlight w:val="none"/>
        </w:rPr>
        <w:t>加快油茶良种培育推广，强化良种示范带动效益以及拉长产业链全面促进产业发展，产生更多的经济及社会效益。</w:t>
      </w:r>
    </w:p>
    <w:p w14:paraId="2D825217">
      <w:pPr>
        <w:keepNext w:val="0"/>
        <w:keepLines w:val="0"/>
        <w:pageBreakBefore w:val="0"/>
        <w:widowControl w:val="0"/>
        <w:numPr>
          <w:ilvl w:val="0"/>
          <w:numId w:val="8"/>
        </w:numPr>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主要技术说明</w:t>
      </w:r>
    </w:p>
    <w:p w14:paraId="3ED58E32">
      <w:pPr>
        <w:pStyle w:val="2"/>
        <w:numPr>
          <w:ilvl w:val="0"/>
          <w:numId w:val="9"/>
        </w:numPr>
        <w:ind w:firstLine="600" w:firstLineChars="200"/>
        <w:rPr>
          <w:rFonts w:hint="default" w:eastAsia="仿宋_GB2312" w:cs="Times New Roman"/>
          <w:color w:val="auto"/>
          <w:kern w:val="0"/>
          <w:sz w:val="30"/>
          <w:szCs w:val="30"/>
          <w:highlight w:val="none"/>
          <w:lang w:val="en-US" w:eastAsia="zh-CN"/>
        </w:rPr>
      </w:pPr>
      <w:r>
        <w:rPr>
          <w:rFonts w:hint="eastAsia" w:eastAsia="仿宋_GB2312" w:cs="Times New Roman"/>
          <w:color w:val="auto"/>
          <w:kern w:val="0"/>
          <w:sz w:val="30"/>
          <w:szCs w:val="30"/>
          <w:highlight w:val="none"/>
          <w:lang w:val="en-US" w:eastAsia="zh-CN"/>
        </w:rPr>
        <w:t>新造油茶林：</w:t>
      </w:r>
      <w:r>
        <w:rPr>
          <w:rFonts w:hint="eastAsia" w:eastAsia="仿宋_GB2312" w:cs="Times New Roman"/>
          <w:color w:val="auto"/>
          <w:kern w:val="0"/>
          <w:sz w:val="30"/>
          <w:szCs w:val="30"/>
          <w:highlight w:val="none"/>
        </w:rPr>
        <w:t>利用农林产业结构调整政策，结合橡胶、槟榔、桉树、相思等树种采伐更新，采用良种良法造林；探索试验橡胶等树种宽行间种油茶，营建行带状混交林；探索油茶复合经营模式，间种经济作物，提高林地利用率。</w:t>
      </w:r>
    </w:p>
    <w:p w14:paraId="77F00E5C">
      <w:pPr>
        <w:pStyle w:val="2"/>
        <w:numPr>
          <w:ilvl w:val="0"/>
          <w:numId w:val="9"/>
        </w:numPr>
        <w:ind w:firstLine="600" w:firstLineChars="200"/>
        <w:rPr>
          <w:rFonts w:hint="default" w:eastAsia="仿宋_GB2312" w:cs="Times New Roman"/>
          <w:color w:val="auto"/>
          <w:kern w:val="0"/>
          <w:sz w:val="30"/>
          <w:szCs w:val="30"/>
          <w:highlight w:val="none"/>
          <w:lang w:val="en-US" w:eastAsia="zh-CN"/>
        </w:rPr>
      </w:pPr>
      <w:r>
        <w:rPr>
          <w:rFonts w:hint="eastAsia" w:eastAsia="仿宋_GB2312" w:cs="Times New Roman"/>
          <w:color w:val="auto"/>
          <w:kern w:val="0"/>
          <w:sz w:val="30"/>
          <w:szCs w:val="30"/>
          <w:highlight w:val="none"/>
          <w:lang w:val="en-US" w:eastAsia="zh-CN"/>
        </w:rPr>
        <w:t>培育幼林：</w:t>
      </w:r>
      <w:r>
        <w:rPr>
          <w:rFonts w:hint="eastAsia" w:eastAsia="仿宋_GB2312" w:cs="Times New Roman"/>
          <w:color w:val="auto"/>
          <w:kern w:val="0"/>
          <w:sz w:val="30"/>
          <w:szCs w:val="30"/>
          <w:highlight w:val="none"/>
        </w:rPr>
        <w:t>对品种良好、缺乏管护的油茶幼林加大培育力度，采取除草、补植、施肥、培兜、修剪、摘花等抚育管护措施，恢复长势，培育健壮植株，结合标准化基地建设关键技术应用，促进林分发展成为高产林，对品种单一或品种杂乱的幼林可实施条带状、宽窄行补种、换种或嫁接优异品种。</w:t>
      </w:r>
    </w:p>
    <w:p w14:paraId="12CABE9C">
      <w:pPr>
        <w:pStyle w:val="2"/>
        <w:numPr>
          <w:ilvl w:val="0"/>
          <w:numId w:val="9"/>
        </w:numPr>
        <w:ind w:firstLine="600" w:firstLineChars="200"/>
        <w:rPr>
          <w:rFonts w:hint="default" w:eastAsia="仿宋_GB2312" w:cs="Times New Roman"/>
          <w:color w:val="auto"/>
          <w:kern w:val="0"/>
          <w:sz w:val="30"/>
          <w:szCs w:val="30"/>
          <w:highlight w:val="none"/>
          <w:lang w:val="en-US" w:eastAsia="zh-CN"/>
        </w:rPr>
      </w:pPr>
      <w:r>
        <w:rPr>
          <w:rFonts w:hint="eastAsia" w:eastAsia="仿宋_GB2312" w:cs="Times New Roman"/>
          <w:color w:val="auto"/>
          <w:kern w:val="0"/>
          <w:sz w:val="30"/>
          <w:szCs w:val="30"/>
          <w:highlight w:val="none"/>
          <w:lang w:val="en-US" w:eastAsia="zh-CN"/>
        </w:rPr>
        <w:t>改造低产林：</w:t>
      </w:r>
      <w:r>
        <w:rPr>
          <w:rFonts w:hint="eastAsia" w:eastAsia="仿宋_GB2312" w:cs="Times New Roman"/>
          <w:color w:val="auto"/>
          <w:kern w:val="0"/>
          <w:sz w:val="30"/>
          <w:szCs w:val="30"/>
          <w:highlight w:val="none"/>
        </w:rPr>
        <w:t>分析低产林形成原因，因地制宜采取不同方式，分类推进油茶低产林改造。采取带状、块状更新方式，对品种不良、林分衰败的低产林实施更新改造；采取嫁接换冠、劣株换种等方式，对树体长势良好、因品种单一或品种不良、品种混杂、花期不遇而形成的低产林实施品种改造；采取林地清理、密度调整、土壤改良、树体改良等方式，对品种良好、林分衰退、林地荒芜的林分实施抚育改造</w:t>
      </w:r>
      <w:r>
        <w:rPr>
          <w:rFonts w:hint="eastAsia" w:eastAsia="仿宋_GB2312" w:cs="Times New Roman"/>
          <w:color w:val="auto"/>
          <w:kern w:val="0"/>
          <w:sz w:val="30"/>
          <w:szCs w:val="30"/>
          <w:highlight w:val="none"/>
          <w:lang w:eastAsia="zh-CN"/>
        </w:rPr>
        <w:t>。</w:t>
      </w:r>
    </w:p>
    <w:p w14:paraId="4B853BB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4.建设规模</w:t>
      </w:r>
    </w:p>
    <w:p w14:paraId="40EA2EED">
      <w:pPr>
        <w:numPr>
          <w:ilvl w:val="-1"/>
          <w:numId w:val="0"/>
        </w:numPr>
        <w:ind w:left="0" w:leftChars="0" w:firstLine="600" w:firstLineChars="200"/>
        <w:rPr>
          <w:rFonts w:hint="eastAsia" w:eastAsia="仿宋_GB2312"/>
          <w:color w:val="auto"/>
          <w:kern w:val="0"/>
          <w:sz w:val="30"/>
          <w:szCs w:val="30"/>
          <w:highlight w:val="none"/>
          <w:lang w:val="en-US" w:eastAsia="zh-CN"/>
        </w:rPr>
      </w:pPr>
      <w:r>
        <w:rPr>
          <w:rFonts w:hint="eastAsia" w:eastAsia="仿宋_GB2312"/>
          <w:color w:val="auto"/>
          <w:kern w:val="0"/>
          <w:sz w:val="30"/>
          <w:szCs w:val="30"/>
          <w:highlight w:val="none"/>
        </w:rPr>
        <w:t>根据琼海市</w:t>
      </w:r>
      <w:r>
        <w:rPr>
          <w:rFonts w:hint="eastAsia" w:eastAsia="仿宋_GB2312"/>
          <w:color w:val="auto"/>
          <w:kern w:val="0"/>
          <w:sz w:val="30"/>
          <w:szCs w:val="30"/>
          <w:highlight w:val="none"/>
          <w:lang w:val="en-US" w:eastAsia="zh-CN"/>
        </w:rPr>
        <w:t>油茶林</w:t>
      </w:r>
      <w:r>
        <w:rPr>
          <w:rFonts w:hint="eastAsia" w:eastAsia="仿宋_GB2312"/>
          <w:color w:val="auto"/>
          <w:kern w:val="0"/>
          <w:sz w:val="30"/>
          <w:szCs w:val="30"/>
          <w:highlight w:val="none"/>
        </w:rPr>
        <w:t>实际情况，</w:t>
      </w:r>
      <w:r>
        <w:rPr>
          <w:rFonts w:hint="eastAsia" w:eastAsia="仿宋_GB2312"/>
          <w:color w:val="auto"/>
          <w:kern w:val="0"/>
          <w:sz w:val="30"/>
          <w:szCs w:val="30"/>
          <w:highlight w:val="none"/>
          <w:lang w:val="en-US" w:eastAsia="zh-CN"/>
        </w:rPr>
        <w:t>在</w:t>
      </w:r>
      <w:r>
        <w:rPr>
          <w:rFonts w:hint="eastAsia" w:eastAsia="仿宋_GB2312"/>
          <w:color w:val="auto"/>
          <w:kern w:val="0"/>
          <w:sz w:val="30"/>
          <w:szCs w:val="30"/>
          <w:highlight w:val="none"/>
        </w:rPr>
        <w:t>规划期内（2021-2035年），规划实施</w:t>
      </w:r>
      <w:r>
        <w:rPr>
          <w:rFonts w:hint="eastAsia" w:eastAsia="仿宋_GB2312"/>
          <w:color w:val="auto"/>
          <w:kern w:val="0"/>
          <w:sz w:val="30"/>
          <w:szCs w:val="30"/>
          <w:highlight w:val="none"/>
          <w:lang w:val="en-US" w:eastAsia="zh-CN"/>
        </w:rPr>
        <w:t>油茶种植基地建设5.89万亩，</w:t>
      </w:r>
      <w:r>
        <w:rPr>
          <w:rFonts w:hint="eastAsia" w:eastAsia="仿宋_GB2312"/>
          <w:kern w:val="0"/>
          <w:sz w:val="30"/>
          <w:szCs w:val="30"/>
          <w:highlight w:val="none"/>
          <w:lang w:val="en-US" w:eastAsia="zh-CN"/>
        </w:rPr>
        <w:t>其中，</w:t>
      </w:r>
      <w:r>
        <w:rPr>
          <w:rFonts w:hint="default" w:eastAsia="仿宋_GB2312"/>
          <w:kern w:val="0"/>
          <w:sz w:val="30"/>
          <w:szCs w:val="30"/>
          <w:highlight w:val="none"/>
        </w:rPr>
        <w:t>新造油茶林</w:t>
      </w:r>
      <w:r>
        <w:rPr>
          <w:rFonts w:hint="eastAsia" w:eastAsia="仿宋_GB2312"/>
          <w:kern w:val="0"/>
          <w:sz w:val="30"/>
          <w:szCs w:val="30"/>
          <w:highlight w:val="none"/>
          <w:lang w:val="en-US" w:eastAsia="zh-CN"/>
        </w:rPr>
        <w:t>3.40</w:t>
      </w:r>
      <w:r>
        <w:rPr>
          <w:rFonts w:hint="default" w:eastAsia="仿宋_GB2312"/>
          <w:kern w:val="0"/>
          <w:sz w:val="30"/>
          <w:szCs w:val="30"/>
          <w:highlight w:val="none"/>
        </w:rPr>
        <w:t>万亩，培育幼林</w:t>
      </w:r>
      <w:r>
        <w:rPr>
          <w:rFonts w:hint="eastAsia" w:eastAsia="仿宋_GB2312"/>
          <w:kern w:val="0"/>
          <w:sz w:val="30"/>
          <w:szCs w:val="30"/>
          <w:highlight w:val="none"/>
          <w:lang w:val="en-US" w:eastAsia="zh-CN"/>
        </w:rPr>
        <w:t>1.32</w:t>
      </w:r>
      <w:r>
        <w:rPr>
          <w:rFonts w:hint="default" w:eastAsia="仿宋_GB2312"/>
          <w:kern w:val="0"/>
          <w:sz w:val="30"/>
          <w:szCs w:val="30"/>
          <w:highlight w:val="none"/>
        </w:rPr>
        <w:t>万亩，改造低产林</w:t>
      </w:r>
      <w:r>
        <w:rPr>
          <w:rFonts w:hint="eastAsia" w:eastAsia="仿宋_GB2312"/>
          <w:kern w:val="0"/>
          <w:sz w:val="30"/>
          <w:szCs w:val="30"/>
          <w:highlight w:val="none"/>
          <w:lang w:val="en-US" w:eastAsia="zh-CN"/>
        </w:rPr>
        <w:t>1.17</w:t>
      </w:r>
      <w:r>
        <w:rPr>
          <w:rFonts w:hint="default" w:eastAsia="仿宋_GB2312"/>
          <w:kern w:val="0"/>
          <w:sz w:val="30"/>
          <w:szCs w:val="30"/>
          <w:highlight w:val="none"/>
        </w:rPr>
        <w:t>万亩</w:t>
      </w:r>
      <w:r>
        <w:rPr>
          <w:rFonts w:hint="eastAsia" w:eastAsia="仿宋_GB2312"/>
          <w:kern w:val="0"/>
          <w:sz w:val="30"/>
          <w:szCs w:val="30"/>
          <w:highlight w:val="none"/>
          <w:lang w:eastAsia="zh-CN"/>
        </w:rPr>
        <w:t>。</w:t>
      </w:r>
    </w:p>
    <w:p w14:paraId="424BA445">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40" w:name="_Toc5584"/>
      <w:r>
        <w:rPr>
          <w:rFonts w:hint="default" w:ascii="Times New Roman" w:hAnsi="Times New Roman" w:eastAsia="楷体" w:cs="Times New Roman"/>
          <w:kern w:val="0"/>
          <w:sz w:val="32"/>
          <w:szCs w:val="32"/>
          <w:highlight w:val="none"/>
          <w:lang w:val="en-US" w:eastAsia="zh-CN" w:bidi="ar-SA"/>
        </w:rPr>
        <w:t>二、自然保护地体系建设工程</w:t>
      </w:r>
      <w:bookmarkEnd w:id="40"/>
    </w:p>
    <w:p w14:paraId="152E3E6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60" w:lineRule="atLeast"/>
        <w:ind w:left="0" w:right="0" w:firstLine="600" w:firstLineChars="200"/>
        <w:jc w:val="left"/>
        <w:outlineLvl w:val="9"/>
        <w:rPr>
          <w:rFonts w:hint="eastAsia" w:ascii="Times New Roman" w:hAnsi="Times New Roman" w:eastAsia="仿宋_GB2312" w:cs="Times New Roman"/>
          <w:b w:val="0"/>
          <w:bCs w:val="0"/>
          <w:i w:val="0"/>
          <w:iCs w:val="0"/>
          <w:caps w:val="0"/>
          <w:color w:val="auto"/>
          <w:spacing w:val="0"/>
          <w:kern w:val="0"/>
          <w:sz w:val="30"/>
          <w:szCs w:val="30"/>
          <w:highlight w:val="none"/>
        </w:rPr>
      </w:pPr>
      <w:r>
        <w:rPr>
          <w:rFonts w:hint="eastAsia" w:eastAsia="仿宋_GB2312" w:cs="Times New Roman"/>
          <w:b w:val="0"/>
          <w:bCs w:val="0"/>
          <w:i w:val="0"/>
          <w:iCs w:val="0"/>
          <w:caps w:val="0"/>
          <w:color w:val="auto"/>
          <w:spacing w:val="0"/>
          <w:kern w:val="0"/>
          <w:sz w:val="30"/>
          <w:szCs w:val="30"/>
          <w:highlight w:val="none"/>
          <w:shd w:val="clear"/>
          <w:lang w:val="en-US" w:eastAsia="zh-CN"/>
        </w:rPr>
        <w:t>根据《</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中共中央办公厅 国务院办公厅印发</w:t>
      </w:r>
      <w:r>
        <w:rPr>
          <w:rFonts w:hint="eastAsia" w:eastAsia="仿宋_GB2312" w:cs="Times New Roman"/>
          <w:b w:val="0"/>
          <w:bCs w:val="0"/>
          <w:i w:val="0"/>
          <w:iCs w:val="0"/>
          <w:caps w:val="0"/>
          <w:color w:val="auto"/>
          <w:spacing w:val="0"/>
          <w:kern w:val="0"/>
          <w:sz w:val="30"/>
          <w:szCs w:val="30"/>
          <w:highlight w:val="none"/>
          <w:shd w:val="clear"/>
          <w:lang w:val="en-US" w:eastAsia="zh-CN"/>
        </w:rPr>
        <w:t>的&lt;</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关于建立以国家公园为主体的自然保护地体系的指导意见</w:t>
      </w:r>
      <w:r>
        <w:rPr>
          <w:rFonts w:hint="eastAsia" w:eastAsia="仿宋_GB2312" w:cs="Times New Roman"/>
          <w:b w:val="0"/>
          <w:bCs w:val="0"/>
          <w:i w:val="0"/>
          <w:iCs w:val="0"/>
          <w:caps w:val="0"/>
          <w:color w:val="auto"/>
          <w:spacing w:val="0"/>
          <w:kern w:val="0"/>
          <w:sz w:val="30"/>
          <w:szCs w:val="30"/>
          <w:highlight w:val="none"/>
          <w:shd w:val="clear" w:fill="auto"/>
          <w:lang w:eastAsia="zh-CN"/>
        </w:rPr>
        <w:t>&gt;》</w:t>
      </w:r>
      <w:r>
        <w:rPr>
          <w:rFonts w:hint="eastAsia" w:eastAsia="仿宋_GB2312" w:cs="Times New Roman"/>
          <w:b w:val="0"/>
          <w:bCs w:val="0"/>
          <w:i w:val="0"/>
          <w:iCs w:val="0"/>
          <w:caps w:val="0"/>
          <w:color w:val="auto"/>
          <w:spacing w:val="0"/>
          <w:kern w:val="0"/>
          <w:sz w:val="30"/>
          <w:szCs w:val="30"/>
          <w:highlight w:val="none"/>
          <w:shd w:val="clear"/>
          <w:lang w:val="en-US" w:eastAsia="zh-CN"/>
        </w:rPr>
        <w:t>相关要求，对琼海市内自然保护地进行统筹规划建设，</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确保</w:t>
      </w:r>
      <w:r>
        <w:rPr>
          <w:rFonts w:hint="eastAsia" w:eastAsia="仿宋_GB2312" w:cs="Times New Roman"/>
          <w:b w:val="0"/>
          <w:bCs w:val="0"/>
          <w:i w:val="0"/>
          <w:iCs w:val="0"/>
          <w:caps w:val="0"/>
          <w:color w:val="auto"/>
          <w:spacing w:val="0"/>
          <w:kern w:val="0"/>
          <w:sz w:val="30"/>
          <w:szCs w:val="30"/>
          <w:highlight w:val="none"/>
          <w:shd w:val="clear"/>
          <w:lang w:val="en-US" w:eastAsia="zh-CN"/>
        </w:rPr>
        <w:t>琼海市内</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重要自然生态系统、自然遗迹、自然景观和生物多样性得到系统性保护，提升生态产品供给能力，维护</w:t>
      </w:r>
      <w:r>
        <w:rPr>
          <w:rFonts w:hint="eastAsia" w:eastAsia="仿宋_GB2312" w:cs="Times New Roman"/>
          <w:b w:val="0"/>
          <w:bCs w:val="0"/>
          <w:i w:val="0"/>
          <w:iCs w:val="0"/>
          <w:caps w:val="0"/>
          <w:color w:val="auto"/>
          <w:spacing w:val="0"/>
          <w:kern w:val="0"/>
          <w:sz w:val="30"/>
          <w:szCs w:val="30"/>
          <w:highlight w:val="none"/>
          <w:shd w:val="clear"/>
          <w:lang w:val="en-US" w:eastAsia="zh-CN"/>
        </w:rPr>
        <w:t>海南地区</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生态安全，为建设美丽</w:t>
      </w:r>
      <w:r>
        <w:rPr>
          <w:rFonts w:hint="eastAsia" w:eastAsia="仿宋_GB2312" w:cs="Times New Roman"/>
          <w:b w:val="0"/>
          <w:bCs w:val="0"/>
          <w:i w:val="0"/>
          <w:iCs w:val="0"/>
          <w:caps w:val="0"/>
          <w:color w:val="auto"/>
          <w:spacing w:val="0"/>
          <w:kern w:val="0"/>
          <w:sz w:val="30"/>
          <w:szCs w:val="30"/>
          <w:highlight w:val="none"/>
          <w:shd w:val="clear"/>
          <w:lang w:val="en-US" w:eastAsia="zh-CN"/>
        </w:rPr>
        <w:t>海岛</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、实现</w:t>
      </w:r>
      <w:r>
        <w:rPr>
          <w:rFonts w:hint="eastAsia" w:eastAsia="仿宋_GB2312" w:cs="Times New Roman"/>
          <w:b w:val="0"/>
          <w:bCs w:val="0"/>
          <w:i w:val="0"/>
          <w:iCs w:val="0"/>
          <w:caps w:val="0"/>
          <w:color w:val="auto"/>
          <w:spacing w:val="0"/>
          <w:kern w:val="0"/>
          <w:sz w:val="30"/>
          <w:szCs w:val="30"/>
          <w:highlight w:val="none"/>
          <w:shd w:val="clear" w:fill="auto"/>
          <w:lang w:val="en-US" w:eastAsia="zh-CN"/>
        </w:rPr>
        <w:t>高水平自由贸易港</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发展提供生态支撑。</w:t>
      </w:r>
      <w:r>
        <w:rPr>
          <w:rFonts w:hint="eastAsia" w:eastAsia="仿宋_GB2312" w:cs="Times New Roman"/>
          <w:b w:val="0"/>
          <w:bCs w:val="0"/>
          <w:i w:val="0"/>
          <w:iCs w:val="0"/>
          <w:caps w:val="0"/>
          <w:color w:val="auto"/>
          <w:spacing w:val="0"/>
          <w:kern w:val="0"/>
          <w:sz w:val="30"/>
          <w:szCs w:val="30"/>
          <w:highlight w:val="none"/>
          <w:shd w:val="clear" w:fill="auto"/>
          <w:lang w:val="en-US" w:eastAsia="zh-CN"/>
        </w:rPr>
        <w:t>根据</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《海南省林业局 海南省自然资源和规划厅 海南省生态环境厅 关于核准报送自然保护地整合优化方案的函》</w:t>
      </w:r>
      <w:r>
        <w:rPr>
          <w:rFonts w:hint="eastAsia" w:eastAsia="仿宋_GB2312" w:cs="Times New Roman"/>
          <w:b w:val="0"/>
          <w:bCs w:val="0"/>
          <w:i w:val="0"/>
          <w:iCs w:val="0"/>
          <w:caps w:val="0"/>
          <w:color w:val="auto"/>
          <w:spacing w:val="0"/>
          <w:kern w:val="0"/>
          <w:sz w:val="30"/>
          <w:szCs w:val="30"/>
          <w:highlight w:val="none"/>
          <w:shd w:val="clear" w:fill="auto"/>
          <w:lang w:val="en-US" w:eastAsia="zh-CN"/>
        </w:rPr>
        <w:t>的要求，琼海市经保护地整合优化后共保留6个自然保护地，总面积为</w:t>
      </w:r>
      <w:r>
        <w:rPr>
          <w:rFonts w:hint="eastAsia" w:ascii="Times New Roman" w:hAnsi="Times New Roman" w:eastAsia="仿宋_GB2312" w:cs="Times New Roman"/>
          <w:b w:val="0"/>
          <w:bCs w:val="0"/>
          <w:i w:val="0"/>
          <w:iCs w:val="0"/>
          <w:caps w:val="0"/>
          <w:color w:val="auto"/>
          <w:spacing w:val="0"/>
          <w:kern w:val="0"/>
          <w:sz w:val="30"/>
          <w:szCs w:val="30"/>
          <w:highlight w:val="none"/>
          <w:shd w:val="clear" w:fill="auto"/>
        </w:rPr>
        <w:t>8725.15公顷</w:t>
      </w:r>
      <w:r>
        <w:rPr>
          <w:rFonts w:hint="eastAsia" w:eastAsia="仿宋_GB2312" w:cs="Times New Roman"/>
          <w:b w:val="0"/>
          <w:bCs w:val="0"/>
          <w:i w:val="0"/>
          <w:iCs w:val="0"/>
          <w:caps w:val="0"/>
          <w:color w:val="auto"/>
          <w:spacing w:val="0"/>
          <w:kern w:val="0"/>
          <w:sz w:val="30"/>
          <w:szCs w:val="30"/>
          <w:highlight w:val="none"/>
          <w:shd w:val="clear" w:fill="auto"/>
          <w:lang w:eastAsia="zh-CN"/>
        </w:rPr>
        <w:t>。</w:t>
      </w:r>
    </w:p>
    <w:p w14:paraId="10B1D0EC">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）海南会山省级自然保护区</w:t>
      </w:r>
    </w:p>
    <w:p w14:paraId="63A67B3A">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海南会山省级自然保护区地理坐标是东经110°04′57.24″-110°12′9.96″，北纬18°59′31.85″-19°5′9.94″，</w:t>
      </w:r>
      <w:r>
        <w:rPr>
          <w:rFonts w:hint="eastAsia" w:ascii="Times New Roman" w:hAnsi="Times New Roman" w:eastAsia="仿宋_GB2312" w:cs="Times New Roman"/>
          <w:kern w:val="0"/>
          <w:sz w:val="30"/>
          <w:szCs w:val="30"/>
          <w:highlight w:val="none"/>
          <w:lang w:val="en-US" w:eastAsia="zh-CN" w:bidi="ar-SA"/>
        </w:rPr>
        <w:t>经整合优化后</w:t>
      </w:r>
      <w:r>
        <w:rPr>
          <w:rFonts w:hint="default" w:ascii="Times New Roman" w:hAnsi="Times New Roman" w:eastAsia="仿宋_GB2312" w:cs="Times New Roman"/>
          <w:kern w:val="0"/>
          <w:sz w:val="30"/>
          <w:szCs w:val="30"/>
          <w:highlight w:val="none"/>
          <w:lang w:val="en-US" w:eastAsia="zh-CN" w:bidi="ar-SA"/>
        </w:rPr>
        <w:t>保护区总面积为5435.77hm²。保护对象为以热带雨林为主的森林生态系统。</w:t>
      </w:r>
    </w:p>
    <w:p w14:paraId="693FB15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1.保护管理工程</w:t>
      </w:r>
    </w:p>
    <w:p w14:paraId="1FA3A7DB">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对保护区的国家重点保护野生动物和植物采取绝对保护措施，保护区内禁止任何形式的狩猎和砍伐活动，并加强法制宣传教育，达到妥善保护野生动物的目的。规划建设护林防火监测系统站点，加大森林防火宣传力度，增设防火宣传牌。在保护区边缘人工林比较集中的区域，设置生物防火隔离林带。查明保护区及周边可能引发的主要病虫害，做好防范预案，坚持</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预防为主、综合防治</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和以生物、物理防治为主、化学防治为辅的原则。</w:t>
      </w:r>
    </w:p>
    <w:p w14:paraId="64D4BB0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2.科研监测工程</w:t>
      </w:r>
    </w:p>
    <w:p w14:paraId="3B8B4C2F">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在保护区管理站新建资源环境监测中心并配备相应的科研监测设备。根据动植物资源分布情况，设置森林生态系统监测样带，每条样带上选择具有</w:t>
      </w:r>
      <w:r>
        <w:rPr>
          <w:rFonts w:hint="eastAsia" w:ascii="Times New Roman" w:hAnsi="Times New Roman" w:eastAsia="仿宋_GB2312" w:cs="Times New Roman"/>
          <w:kern w:val="0"/>
          <w:sz w:val="30"/>
          <w:szCs w:val="30"/>
          <w:highlight w:val="none"/>
          <w:lang w:val="en-US" w:eastAsia="zh-CN" w:bidi="ar-SA"/>
        </w:rPr>
        <w:t>区域</w:t>
      </w:r>
      <w:r>
        <w:rPr>
          <w:rFonts w:hint="default" w:ascii="Times New Roman" w:hAnsi="Times New Roman" w:eastAsia="仿宋_GB2312" w:cs="Times New Roman"/>
          <w:kern w:val="0"/>
          <w:sz w:val="30"/>
          <w:szCs w:val="30"/>
          <w:highlight w:val="none"/>
          <w:lang w:val="en-US" w:eastAsia="zh-CN" w:bidi="ar-SA"/>
        </w:rPr>
        <w:t>代表性</w:t>
      </w:r>
      <w:r>
        <w:rPr>
          <w:rFonts w:hint="eastAsia" w:ascii="Times New Roman" w:hAnsi="Times New Roman" w:eastAsia="仿宋_GB2312" w:cs="Times New Roman"/>
          <w:kern w:val="0"/>
          <w:sz w:val="30"/>
          <w:szCs w:val="30"/>
          <w:highlight w:val="none"/>
          <w:lang w:val="en-US" w:eastAsia="zh-CN" w:bidi="ar-SA"/>
        </w:rPr>
        <w:t>的地块</w:t>
      </w:r>
      <w:r>
        <w:rPr>
          <w:rFonts w:hint="default" w:ascii="Times New Roman" w:hAnsi="Times New Roman" w:eastAsia="仿宋_GB2312" w:cs="Times New Roman"/>
          <w:kern w:val="0"/>
          <w:sz w:val="30"/>
          <w:szCs w:val="30"/>
          <w:highlight w:val="none"/>
          <w:lang w:val="en-US" w:eastAsia="zh-CN" w:bidi="ar-SA"/>
        </w:rPr>
        <w:t>设置标准样地，对样地进行定期的连续监测；对保护区内主要陆生野生动物进行监测,为保护管理提供科学依据；通过收集、处理有关生物类群的空间分布数据，借助GPS、计算机技术，建立生物类群的地理信息系统。</w:t>
      </w:r>
    </w:p>
    <w:p w14:paraId="15D991D5">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28D3B9A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3.宣传教育工程</w:t>
      </w:r>
    </w:p>
    <w:p w14:paraId="7BF88ED5">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完善宣传教育基础设施，制作视听材料，组织拍摄、印刷、出版保护区专题画册和光盘，并建设自然保护区网站、开通及维护微信公众号等，通过网站、媒体、社区教育进行宣传，同时开展职工业务培训，对周边政府干部、周边村民进行政策法规、环境保护、科技知识的培训，加大对周边社区群众的法制教育。</w:t>
      </w:r>
    </w:p>
    <w:p w14:paraId="07B4CA7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4.基础建设工程</w:t>
      </w:r>
    </w:p>
    <w:p w14:paraId="0B8C1848">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将原来保护区管理站新建资源环境监测。并对现有的管护站点进行定期维修、完善，以便正常开展管护工作，在附近的自然村修建保护区界碑、界桩和界址浮标。每个管护点各配备卫星电视接收设备、电视机。保护区管理站配备公务车，各管护站点共配备巡护用摩托车。</w:t>
      </w:r>
    </w:p>
    <w:p w14:paraId="709E578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5.可持续发展工程</w:t>
      </w:r>
    </w:p>
    <w:p w14:paraId="3D413C29">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建设苗圃基地，苗圃设在加略管护点附近的实验区内。育苗以满足保护区、社区造林绿化为主，兼顾珍稀濒危植物育苗技术研究。开展生态旅游项目，主要建设项目有登山步道、停车场、游船码头和游艇。</w:t>
      </w:r>
    </w:p>
    <w:p w14:paraId="5FC31F4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）博鳌省级森林公园</w:t>
      </w:r>
    </w:p>
    <w:p w14:paraId="46889960">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eastAsia" w:eastAsia="仿宋_GB2312" w:cs="Times New Roman"/>
          <w:i w:val="0"/>
          <w:iCs w:val="0"/>
          <w:caps w:val="0"/>
          <w:spacing w:val="0"/>
          <w:kern w:val="0"/>
          <w:sz w:val="30"/>
          <w:szCs w:val="30"/>
          <w:highlight w:val="none"/>
          <w:shd w:val="clear"/>
          <w:lang w:eastAsia="zh-CN"/>
        </w:rPr>
      </w:pPr>
      <w:r>
        <w:rPr>
          <w:rFonts w:hint="default" w:ascii="Times New Roman" w:hAnsi="Times New Roman" w:eastAsia="仿宋_GB2312" w:cs="Times New Roman"/>
          <w:kern w:val="0"/>
          <w:sz w:val="30"/>
          <w:szCs w:val="30"/>
          <w:highlight w:val="none"/>
          <w:lang w:val="en-US" w:eastAsia="zh-CN" w:bidi="ar-SA"/>
        </w:rPr>
        <w:t>博鳌省级森林公园前身为海南省上埇林场，位于海南省琼海市市郊，地理坐标为北纬18°58′-19°28′，东经110°07′-110°40′，</w:t>
      </w:r>
      <w:r>
        <w:rPr>
          <w:rFonts w:hint="eastAsia" w:eastAsia="仿宋_GB2312" w:cs="Times New Roman"/>
          <w:kern w:val="0"/>
          <w:sz w:val="30"/>
          <w:szCs w:val="30"/>
          <w:highlight w:val="none"/>
          <w:lang w:val="en-US" w:eastAsia="zh-CN" w:bidi="ar-SA"/>
        </w:rPr>
        <w:t>批复</w:t>
      </w:r>
      <w:r>
        <w:rPr>
          <w:rFonts w:hint="default" w:ascii="Times New Roman" w:hAnsi="Times New Roman" w:eastAsia="仿宋_GB2312" w:cs="Times New Roman"/>
          <w:kern w:val="0"/>
          <w:sz w:val="30"/>
          <w:szCs w:val="30"/>
          <w:highlight w:val="none"/>
          <w:lang w:val="en-US" w:eastAsia="zh-CN" w:bidi="ar-SA"/>
        </w:rPr>
        <w:t>面积139.33公顷，</w:t>
      </w:r>
      <w:r>
        <w:rPr>
          <w:rFonts w:hint="eastAsia" w:eastAsia="仿宋_GB2312" w:cs="Times New Roman"/>
          <w:kern w:val="0"/>
          <w:sz w:val="30"/>
          <w:szCs w:val="30"/>
          <w:highlight w:val="none"/>
          <w:lang w:val="en-US" w:eastAsia="zh-CN" w:bidi="ar-SA"/>
        </w:rPr>
        <w:t>整合优化后面积139.30公顷</w:t>
      </w:r>
      <w:r>
        <w:rPr>
          <w:rFonts w:hint="default" w:ascii="Times New Roman" w:hAnsi="Times New Roman" w:eastAsia="仿宋_GB2312" w:cs="Times New Roman"/>
          <w:kern w:val="0"/>
          <w:sz w:val="30"/>
          <w:szCs w:val="30"/>
          <w:highlight w:val="none"/>
          <w:lang w:val="en-US" w:eastAsia="zh-CN" w:bidi="ar-SA"/>
        </w:rPr>
        <w:t>。</w:t>
      </w:r>
      <w:r>
        <w:rPr>
          <w:rFonts w:hint="eastAsia" w:eastAsia="仿宋_GB2312" w:cs="Times New Roman"/>
          <w:kern w:val="0"/>
          <w:sz w:val="30"/>
          <w:szCs w:val="30"/>
          <w:highlight w:val="none"/>
          <w:lang w:val="en-US" w:eastAsia="zh-CN" w:bidi="ar-SA"/>
        </w:rPr>
        <w:t>博鳌森林公园的发展建设应当紧紧抓住自由贸易港发展机遇，打造宜居宜游、</w:t>
      </w:r>
      <w:r>
        <w:rPr>
          <w:rFonts w:hint="eastAsia" w:ascii="Times New Roman" w:hAnsi="Times New Roman" w:eastAsia="仿宋_GB2312" w:cs="Times New Roman"/>
          <w:i w:val="0"/>
          <w:iCs w:val="0"/>
          <w:caps w:val="0"/>
          <w:spacing w:val="0"/>
          <w:kern w:val="0"/>
          <w:sz w:val="30"/>
          <w:szCs w:val="30"/>
          <w:highlight w:val="none"/>
          <w:shd w:val="clear"/>
        </w:rPr>
        <w:t>生态环境一流的国家级休闲外交基地</w:t>
      </w:r>
      <w:r>
        <w:rPr>
          <w:rFonts w:hint="eastAsia" w:eastAsia="仿宋_GB2312" w:cs="Times New Roman"/>
          <w:i w:val="0"/>
          <w:iCs w:val="0"/>
          <w:caps w:val="0"/>
          <w:spacing w:val="0"/>
          <w:kern w:val="0"/>
          <w:sz w:val="30"/>
          <w:szCs w:val="30"/>
          <w:highlight w:val="none"/>
          <w:shd w:val="clear"/>
          <w:lang w:eastAsia="zh-CN"/>
        </w:rPr>
        <w:t>。</w:t>
      </w:r>
    </w:p>
    <w:p w14:paraId="44948CA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1.基础设施建设工程</w:t>
      </w:r>
    </w:p>
    <w:p w14:paraId="2E35F9AA">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各个功能区的生活污水排入封闭的地下管道，直达污水处理站处理，达到国家二级标准后排入作为林地灌溉用水。博鳌森林公园内雨水充沛，为了确保景点、公路、游道接待设施等不受雨水径流的冲刷、侵蚀，在景点、景区外围、游步道的上坡侧、公路的两侧开放明渠和</w:t>
      </w:r>
      <w:r>
        <w:rPr>
          <w:rFonts w:hint="eastAsia" w:eastAsia="仿宋_GB2312" w:cs="Times New Roman"/>
          <w:kern w:val="0"/>
          <w:sz w:val="30"/>
          <w:szCs w:val="30"/>
          <w:highlight w:val="none"/>
          <w:lang w:val="en-US" w:eastAsia="zh-CN" w:bidi="ar-SA"/>
        </w:rPr>
        <w:t>沉沙池</w:t>
      </w:r>
      <w:r>
        <w:rPr>
          <w:rFonts w:hint="default" w:ascii="Times New Roman" w:hAnsi="Times New Roman" w:eastAsia="仿宋_GB2312" w:cs="Times New Roman"/>
          <w:kern w:val="0"/>
          <w:sz w:val="30"/>
          <w:szCs w:val="30"/>
          <w:highlight w:val="none"/>
          <w:lang w:val="en-US" w:eastAsia="zh-CN" w:bidi="ar-SA"/>
        </w:rPr>
        <w:t>，有计划地将雨水排入就近的溪沟中，在旅游区的各来水方向设明渠暗沟相结合的排水系统，以便迅速地排除地表水。</w:t>
      </w:r>
    </w:p>
    <w:p w14:paraId="0EE590B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2.保护管理建设工程</w:t>
      </w:r>
    </w:p>
    <w:p w14:paraId="68995311">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各路口、游客集中地点和休息处沿游道设垃圾箱，修建垃圾站，在功能区及游道旁设立公厕。对公园内的动植物实行全面保护，</w:t>
      </w:r>
      <w:r>
        <w:rPr>
          <w:rFonts w:hint="eastAsia" w:eastAsia="仿宋_GB2312" w:cs="Times New Roman"/>
          <w:kern w:val="0"/>
          <w:sz w:val="30"/>
          <w:szCs w:val="30"/>
          <w:highlight w:val="none"/>
          <w:lang w:val="en-US" w:eastAsia="zh-CN" w:bidi="ar-SA"/>
        </w:rPr>
        <w:t>严禁</w:t>
      </w:r>
      <w:r>
        <w:rPr>
          <w:rFonts w:hint="default" w:ascii="Times New Roman" w:hAnsi="Times New Roman" w:eastAsia="仿宋_GB2312" w:cs="Times New Roman"/>
          <w:kern w:val="0"/>
          <w:sz w:val="30"/>
          <w:szCs w:val="30"/>
          <w:highlight w:val="none"/>
          <w:lang w:val="en-US" w:eastAsia="zh-CN" w:bidi="ar-SA"/>
        </w:rPr>
        <w:t>乱砍乱猎，对野生动物的繁殖地、栖息地带实行专门保护，在保护区埋设界桩，设警示牌。设立各景点与公园总体的紧急救护机构，在地势危险地段设立警示牌，提醒游客注意防火防灾。</w:t>
      </w:r>
    </w:p>
    <w:p w14:paraId="27F4DE2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3.绿化管理建设工程</w:t>
      </w:r>
    </w:p>
    <w:p w14:paraId="517155B1">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选用棕榈科植物、榕树、南药植物和热带花卉，联络各景区、景点的公路及主干道的两侧应配置规则或不规则的林带，配置高低错落的树丛，道路两侧有景可赏的地方，留出诱导视线的风景窗，对不佳近景，设复合林带加以遮挡。在进行点的绿化时，要以现状为基础，决定绿化方式，在配植植物时要突出热带植物主题和个性，表现出景景各异，季季不同的景象。</w:t>
      </w:r>
    </w:p>
    <w:p w14:paraId="49F4836C">
      <w:pPr>
        <w:pStyle w:val="4"/>
        <w:numPr>
          <w:ilvl w:val="0"/>
          <w:numId w:val="0"/>
        </w:numPr>
        <w:spacing w:before="157" w:beforeLines="50"/>
        <w:ind w:leftChars="200"/>
        <w:jc w:val="left"/>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白石岭省级森林公园</w:t>
      </w:r>
    </w:p>
    <w:p w14:paraId="30120FEC">
      <w:pPr>
        <w:ind w:firstLine="600" w:firstLineChars="200"/>
        <w:rPr>
          <w:rFonts w:hint="default"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白石岭森林公园位于琼海市中部，万泉河南侧，于1982年经原琼海县人民政府批准成立，批复面积</w:t>
      </w:r>
      <w:r>
        <w:rPr>
          <w:rFonts w:hint="eastAsia" w:ascii="Times New Roman" w:hAnsi="Times New Roman" w:eastAsia="仿宋_GB2312" w:cs="Times New Roman"/>
          <w:i w:val="0"/>
          <w:iCs w:val="0"/>
          <w:caps w:val="0"/>
          <w:color w:val="auto"/>
          <w:spacing w:val="0"/>
          <w:kern w:val="0"/>
          <w:sz w:val="30"/>
          <w:szCs w:val="30"/>
          <w:highlight w:val="none"/>
          <w:shd w:val="clear" w:fill="auto"/>
        </w:rPr>
        <w:t>1066.67公顷</w:t>
      </w:r>
      <w:r>
        <w:rPr>
          <w:rFonts w:hint="eastAsia" w:eastAsia="仿宋_GB2312" w:cs="Times New Roman"/>
          <w:i w:val="0"/>
          <w:iCs w:val="0"/>
          <w:caps w:val="0"/>
          <w:spacing w:val="0"/>
          <w:kern w:val="0"/>
          <w:sz w:val="30"/>
          <w:szCs w:val="30"/>
          <w:highlight w:val="none"/>
          <w:shd w:val="clear"/>
          <w:lang w:eastAsia="zh-CN"/>
        </w:rPr>
        <w:t>，</w:t>
      </w:r>
      <w:r>
        <w:rPr>
          <w:rFonts w:hint="eastAsia" w:eastAsia="仿宋_GB2312" w:cs="Times New Roman"/>
          <w:kern w:val="0"/>
          <w:sz w:val="30"/>
          <w:szCs w:val="30"/>
          <w:highlight w:val="none"/>
          <w:lang w:val="en-US" w:eastAsia="zh-CN" w:bidi="ar-SA"/>
        </w:rPr>
        <w:t>经整合优化后面积为690.36公顷，范围涉及嘉积镇、龙江镇、中原镇、阳江镇。白石岭森林公园作为海南白石岭绿世界旅游区的重要组成部分，在推进旅游开发建设的同时应当加强森林生态修复工作，保障森林公园生态效能。</w:t>
      </w:r>
    </w:p>
    <w:p w14:paraId="2BC3ADAA">
      <w:pPr>
        <w:numPr>
          <w:ilvl w:val="0"/>
          <w:numId w:val="10"/>
        </w:numPr>
        <w:ind w:firstLine="600" w:firstLineChars="200"/>
        <w:rPr>
          <w:rFonts w:hint="eastAsia"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加快森林公园内林分改造</w:t>
      </w:r>
    </w:p>
    <w:p w14:paraId="64212161">
      <w:pPr>
        <w:numPr>
          <w:ilvl w:val="0"/>
          <w:numId w:val="0"/>
        </w:numPr>
        <w:ind w:firstLine="600" w:firstLineChars="200"/>
        <w:rPr>
          <w:rFonts w:hint="default"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森林公园内目前存在大面积以槟榔为主的经济林，应当加快林分改造，提升森林公园生态和景观效应。采用政府租赁的方式对森林公园内的个人或集体经济林进行承租，通过林分改造，将森林公园打造成热带雨林地带性森林景观。</w:t>
      </w:r>
    </w:p>
    <w:p w14:paraId="754423EF">
      <w:pPr>
        <w:numPr>
          <w:ilvl w:val="0"/>
          <w:numId w:val="10"/>
        </w:numPr>
        <w:ind w:firstLine="600" w:firstLineChars="200"/>
        <w:rPr>
          <w:rFonts w:hint="default"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加快推进旅游基础设施建设</w:t>
      </w:r>
    </w:p>
    <w:p w14:paraId="7DA492A8">
      <w:pPr>
        <w:numPr>
          <w:ilvl w:val="0"/>
          <w:numId w:val="0"/>
        </w:numPr>
        <w:ind w:firstLine="600" w:firstLineChars="200"/>
        <w:rPr>
          <w:rFonts w:hint="eastAsia" w:eastAsia="仿宋_GB2312" w:cs="Times New Roman"/>
          <w:i w:val="0"/>
          <w:iCs w:val="0"/>
          <w:caps w:val="0"/>
          <w:spacing w:val="0"/>
          <w:kern w:val="0"/>
          <w:sz w:val="30"/>
          <w:szCs w:val="30"/>
          <w:highlight w:val="none"/>
          <w:shd w:val="clear"/>
          <w:lang w:eastAsia="zh-CN"/>
        </w:rPr>
      </w:pPr>
      <w:r>
        <w:rPr>
          <w:rFonts w:hint="eastAsia" w:eastAsia="仿宋_GB2312" w:cs="Times New Roman"/>
          <w:kern w:val="0"/>
          <w:sz w:val="30"/>
          <w:szCs w:val="30"/>
          <w:highlight w:val="none"/>
          <w:lang w:val="en-US" w:eastAsia="zh-CN" w:bidi="ar-SA"/>
        </w:rPr>
        <w:t>当前白石岭旅游开发程度还处于初级阶段，旅游设施较为简单，不能满足广大游客的旅游需求，要加大森林公园旅游基础设施建设，引导发展森林康养产业，紧紧抓住自由贸易港发展机遇，打造宜居宜游、</w:t>
      </w:r>
      <w:r>
        <w:rPr>
          <w:rFonts w:hint="eastAsia" w:ascii="Times New Roman" w:hAnsi="Times New Roman" w:eastAsia="仿宋_GB2312" w:cs="Times New Roman"/>
          <w:i w:val="0"/>
          <w:iCs w:val="0"/>
          <w:caps w:val="0"/>
          <w:color w:val="auto"/>
          <w:spacing w:val="0"/>
          <w:kern w:val="0"/>
          <w:sz w:val="30"/>
          <w:szCs w:val="30"/>
          <w:highlight w:val="none"/>
          <w:shd w:val="clear" w:fill="auto"/>
        </w:rPr>
        <w:t>生态环境一流的国家级休闲外交基地</w:t>
      </w:r>
      <w:r>
        <w:rPr>
          <w:rFonts w:hint="eastAsia" w:eastAsia="仿宋_GB2312" w:cs="Times New Roman"/>
          <w:i w:val="0"/>
          <w:iCs w:val="0"/>
          <w:caps w:val="0"/>
          <w:spacing w:val="0"/>
          <w:kern w:val="0"/>
          <w:sz w:val="30"/>
          <w:szCs w:val="30"/>
          <w:highlight w:val="none"/>
          <w:shd w:val="clear"/>
          <w:lang w:eastAsia="zh-CN"/>
        </w:rPr>
        <w:t>。</w:t>
      </w:r>
    </w:p>
    <w:p w14:paraId="270459E6">
      <w:pPr>
        <w:rPr>
          <w:rFonts w:hint="eastAsia" w:eastAsia="仿宋_GB2312" w:cs="Times New Roman"/>
          <w:i w:val="0"/>
          <w:iCs w:val="0"/>
          <w:caps w:val="0"/>
          <w:spacing w:val="0"/>
          <w:kern w:val="0"/>
          <w:sz w:val="30"/>
          <w:szCs w:val="30"/>
          <w:highlight w:val="none"/>
          <w:shd w:val="clear"/>
          <w:lang w:eastAsia="zh-CN"/>
        </w:rPr>
      </w:pPr>
      <w:r>
        <w:rPr>
          <w:rFonts w:hint="eastAsia" w:eastAsia="仿宋_GB2312" w:cs="Times New Roman"/>
          <w:i w:val="0"/>
          <w:iCs w:val="0"/>
          <w:caps w:val="0"/>
          <w:spacing w:val="0"/>
          <w:kern w:val="0"/>
          <w:sz w:val="30"/>
          <w:szCs w:val="30"/>
          <w:highlight w:val="none"/>
          <w:shd w:val="clear"/>
          <w:lang w:eastAsia="zh-CN"/>
        </w:rPr>
        <w:br w:type="page"/>
      </w:r>
    </w:p>
    <w:p w14:paraId="638F6097">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kern w:val="0"/>
          <w:sz w:val="30"/>
          <w:szCs w:val="30"/>
          <w:highlight w:val="none"/>
          <w:lang w:val="en-US" w:eastAsia="zh-CN" w:bidi="ar-SA"/>
        </w:rPr>
        <w:t>四</w:t>
      </w: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i w:val="0"/>
          <w:iCs w:val="0"/>
          <w:caps w:val="0"/>
          <w:color w:val="auto"/>
          <w:spacing w:val="0"/>
          <w:kern w:val="0"/>
          <w:sz w:val="30"/>
          <w:szCs w:val="30"/>
          <w:highlight w:val="none"/>
          <w:shd w:val="clear" w:fill="auto"/>
        </w:rPr>
        <w:t>麒麟菜省级自然保护区</w:t>
      </w:r>
    </w:p>
    <w:p w14:paraId="0EC26C9B">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海南麒麟菜省级自然保护区位于文昌市和琼海市，保护区面积90平方公里，其中文昌境内面积65平方公里，琼海境内面积25平方公里。保护区主要保护对象是麒麟菜及其自然生境，包括珊瑚礁生态系统、海草床生态系统。</w:t>
      </w:r>
    </w:p>
    <w:p w14:paraId="3A41A84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1.管护体系建设工程</w:t>
      </w:r>
    </w:p>
    <w:p w14:paraId="5480B420">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保护区边界折角设界标，在界标上注有保护区边界等标记。在保护区的沿岸、主要路口，设指示标牌和宣传牌。保护巡护设备及船只、车辆购置。购置快艇和船舶，在保护区选择船只过往较多的区域单独安装系锚浮球。</w:t>
      </w:r>
    </w:p>
    <w:p w14:paraId="23E5A64F">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kern w:val="0"/>
          <w:sz w:val="30"/>
          <w:szCs w:val="30"/>
          <w:highlight w:val="none"/>
          <w:lang w:val="en-US" w:eastAsia="zh-CN" w:bidi="ar-SA"/>
        </w:rPr>
        <w:t>2.开展湿地生态系统修复工程</w:t>
      </w:r>
    </w:p>
    <w:p w14:paraId="197F7A89">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麒麟菜修复示范区，提高麒麟菜的资源量，为海洋生物提供生活场所。针对保护区内海草种类变少和密度下降明显的情况，根据海草历史与现状分布资料诊断退化程度和影响因素，选定修复区域，并设计修复试验区、对照区和拓展区。</w:t>
      </w:r>
    </w:p>
    <w:p w14:paraId="29412E0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3.科研设施和监测工程</w:t>
      </w:r>
    </w:p>
    <w:p w14:paraId="77184EDB">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新建科研监测中心，建立生物多样性保护信息系统和生物地理信息系统。保护区应每年定期开展监测工作，每5年开展1次全面调查，根据保护区面积大小，布设数量不等的监测站位。</w:t>
      </w:r>
    </w:p>
    <w:p w14:paraId="383109D3">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13755C3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4.生态旅游建设工程</w:t>
      </w:r>
    </w:p>
    <w:p w14:paraId="2CED0D32">
      <w:pPr>
        <w:keepNext w:val="0"/>
        <w:keepLines w:val="0"/>
        <w:pageBreakBefore w:val="0"/>
        <w:widowControl/>
        <w:suppressLineNumbers w:val="0"/>
        <w:kinsoku/>
        <w:wordWrap/>
        <w:overflowPunct/>
        <w:topLinePunct w:val="0"/>
        <w:autoSpaceDE/>
        <w:autoSpaceDN/>
        <w:bidi w:val="0"/>
        <w:adjustRightInd/>
        <w:snapToGrid/>
        <w:spacing w:line="360" w:lineRule="auto"/>
        <w:ind w:firstLine="600" w:firstLineChars="200"/>
        <w:jc w:val="left"/>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生态旅游主要基于自然保护区的实验区，在严格遵守自然保护区生态保护要求基础上，科学合理地开发部分海洋生态观光项目，结合保护区周边陆域现有旅游度假区服务设施，推出海洋生态观光游、休闲垂钓游、海洋科普游三大旅游产品，打造集海洋资源与文化观光、渔家乐民俗文化体验、休闲垂钓体验等功能于一体的休闲度假目的地。</w:t>
      </w:r>
    </w:p>
    <w:p w14:paraId="098389F6">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eastAsia"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kern w:val="0"/>
          <w:sz w:val="30"/>
          <w:szCs w:val="30"/>
          <w:highlight w:val="none"/>
          <w:lang w:val="en-US" w:eastAsia="zh-CN" w:bidi="ar-SA"/>
        </w:rPr>
        <w:t>四</w:t>
      </w: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i w:val="0"/>
          <w:iCs w:val="0"/>
          <w:caps w:val="0"/>
          <w:color w:val="auto"/>
          <w:spacing w:val="0"/>
          <w:kern w:val="0"/>
          <w:sz w:val="30"/>
          <w:szCs w:val="30"/>
          <w:highlight w:val="none"/>
          <w:shd w:val="clear" w:fill="auto"/>
          <w:lang w:val="en-US" w:eastAsia="zh-CN"/>
        </w:rPr>
        <w:t>风景名胜区</w:t>
      </w:r>
    </w:p>
    <w:p w14:paraId="40966F14">
      <w:pPr>
        <w:ind w:firstLine="600" w:firstLineChars="200"/>
        <w:rPr>
          <w:rFonts w:hint="default" w:ascii="Times New Roman" w:hAnsi="Times New Roman" w:eastAsia="仿宋_GB2312" w:cs="Times New Roman"/>
          <w:kern w:val="0"/>
          <w:sz w:val="30"/>
          <w:szCs w:val="30"/>
          <w:highlight w:val="none"/>
          <w:lang w:val="en-US" w:eastAsia="zh-CN" w:bidi="ar-SA"/>
        </w:rPr>
      </w:pPr>
      <w:r>
        <w:rPr>
          <w:rFonts w:hint="eastAsia" w:eastAsia="仿宋_GB2312" w:cs="Times New Roman"/>
          <w:i w:val="0"/>
          <w:iCs w:val="0"/>
          <w:caps w:val="0"/>
          <w:color w:val="auto"/>
          <w:spacing w:val="0"/>
          <w:kern w:val="0"/>
          <w:sz w:val="30"/>
          <w:szCs w:val="30"/>
          <w:highlight w:val="none"/>
          <w:shd w:val="clear" w:fill="auto"/>
          <w:lang w:val="en-US" w:eastAsia="zh-CN"/>
        </w:rPr>
        <w:t>琼海市内有风景名胜区两处，分别是</w:t>
      </w:r>
      <w:r>
        <w:rPr>
          <w:rFonts w:hint="eastAsia" w:ascii="Times New Roman" w:hAnsi="Times New Roman" w:eastAsia="仿宋_GB2312" w:cs="Times New Roman"/>
          <w:i w:val="0"/>
          <w:iCs w:val="0"/>
          <w:caps w:val="0"/>
          <w:color w:val="auto"/>
          <w:spacing w:val="0"/>
          <w:kern w:val="0"/>
          <w:sz w:val="30"/>
          <w:szCs w:val="30"/>
          <w:highlight w:val="none"/>
          <w:shd w:val="clear" w:fill="auto"/>
        </w:rPr>
        <w:t>万泉河口海滨风景旅游区</w:t>
      </w:r>
      <w:r>
        <w:rPr>
          <w:rFonts w:hint="eastAsia" w:eastAsia="仿宋_GB2312" w:cs="Times New Roman"/>
          <w:i w:val="0"/>
          <w:iCs w:val="0"/>
          <w:caps w:val="0"/>
          <w:spacing w:val="0"/>
          <w:kern w:val="0"/>
          <w:sz w:val="30"/>
          <w:szCs w:val="30"/>
          <w:highlight w:val="none"/>
          <w:shd w:val="clear"/>
          <w:lang w:val="en-US" w:eastAsia="zh-CN"/>
        </w:rPr>
        <w:t>以及</w:t>
      </w:r>
      <w:r>
        <w:rPr>
          <w:rFonts w:hint="eastAsia" w:ascii="Times New Roman" w:hAnsi="Times New Roman" w:eastAsia="仿宋_GB2312" w:cs="Times New Roman"/>
          <w:i w:val="0"/>
          <w:iCs w:val="0"/>
          <w:caps w:val="0"/>
          <w:color w:val="auto"/>
          <w:spacing w:val="0"/>
          <w:kern w:val="0"/>
          <w:sz w:val="30"/>
          <w:szCs w:val="30"/>
          <w:highlight w:val="none"/>
          <w:shd w:val="clear" w:fill="auto"/>
        </w:rPr>
        <w:t>万泉河风景名胜区</w:t>
      </w:r>
      <w:r>
        <w:rPr>
          <w:rFonts w:hint="eastAsia" w:eastAsia="仿宋_GB2312" w:cs="Times New Roman"/>
          <w:i w:val="0"/>
          <w:iCs w:val="0"/>
          <w:caps w:val="0"/>
          <w:color w:val="auto"/>
          <w:spacing w:val="0"/>
          <w:kern w:val="0"/>
          <w:sz w:val="30"/>
          <w:szCs w:val="30"/>
          <w:highlight w:val="none"/>
          <w:shd w:val="clear" w:fill="auto"/>
          <w:lang w:eastAsia="zh-CN"/>
        </w:rPr>
        <w:t>，</w:t>
      </w:r>
      <w:r>
        <w:rPr>
          <w:rFonts w:hint="eastAsia" w:eastAsia="仿宋_GB2312" w:cs="Times New Roman"/>
          <w:i w:val="0"/>
          <w:iCs w:val="0"/>
          <w:caps w:val="0"/>
          <w:color w:val="auto"/>
          <w:spacing w:val="0"/>
          <w:kern w:val="0"/>
          <w:sz w:val="30"/>
          <w:szCs w:val="30"/>
          <w:highlight w:val="none"/>
          <w:shd w:val="clear" w:fill="auto"/>
          <w:lang w:val="en-US" w:eastAsia="zh-CN"/>
        </w:rPr>
        <w:t>经营单位应当按照《风景名胜区条例》加强风景名胜区的建设管理工作。通过提升基础设施、</w:t>
      </w:r>
      <w:r>
        <w:rPr>
          <w:rFonts w:hint="eastAsia" w:ascii="Times New Roman" w:hAnsi="Times New Roman" w:eastAsia="仿宋_GB2312" w:cs="Times New Roman"/>
          <w:i w:val="0"/>
          <w:iCs w:val="0"/>
          <w:caps w:val="0"/>
          <w:color w:val="auto"/>
          <w:spacing w:val="0"/>
          <w:kern w:val="0"/>
          <w:sz w:val="30"/>
          <w:szCs w:val="30"/>
          <w:highlight w:val="none"/>
          <w:shd w:val="clear" w:fill="auto"/>
        </w:rPr>
        <w:t>增设休闲设施</w:t>
      </w:r>
      <w:r>
        <w:rPr>
          <w:rFonts w:hint="eastAsia" w:ascii="Times New Roman" w:hAnsi="Times New Roman" w:eastAsia="仿宋_GB2312" w:cs="Times New Roman"/>
          <w:i w:val="0"/>
          <w:iCs w:val="0"/>
          <w:caps w:val="0"/>
          <w:color w:val="auto"/>
          <w:spacing w:val="0"/>
          <w:kern w:val="0"/>
          <w:sz w:val="30"/>
          <w:szCs w:val="30"/>
          <w:highlight w:val="none"/>
          <w:shd w:val="clear" w:fill="auto"/>
          <w:lang w:eastAsia="zh-CN"/>
        </w:rPr>
        <w:t>、</w:t>
      </w:r>
      <w:r>
        <w:rPr>
          <w:rFonts w:hint="eastAsia" w:ascii="Times New Roman" w:hAnsi="Times New Roman" w:eastAsia="仿宋_GB2312" w:cs="Times New Roman"/>
          <w:i w:val="0"/>
          <w:iCs w:val="0"/>
          <w:caps w:val="0"/>
          <w:color w:val="auto"/>
          <w:spacing w:val="0"/>
          <w:kern w:val="0"/>
          <w:sz w:val="30"/>
          <w:szCs w:val="30"/>
          <w:highlight w:val="none"/>
          <w:shd w:val="clear" w:fill="auto"/>
        </w:rPr>
        <w:t>加强环境保护</w:t>
      </w:r>
      <w:r>
        <w:rPr>
          <w:rFonts w:hint="eastAsia" w:ascii="Times New Roman" w:hAnsi="Times New Roman" w:eastAsia="仿宋_GB2312" w:cs="Times New Roman"/>
          <w:i w:val="0"/>
          <w:iCs w:val="0"/>
          <w:caps w:val="0"/>
          <w:color w:val="auto"/>
          <w:spacing w:val="0"/>
          <w:kern w:val="0"/>
          <w:sz w:val="30"/>
          <w:szCs w:val="30"/>
          <w:highlight w:val="none"/>
          <w:shd w:val="clear" w:fill="auto"/>
          <w:lang w:eastAsia="zh-CN"/>
        </w:rPr>
        <w:t>、</w:t>
      </w:r>
      <w:r>
        <w:rPr>
          <w:rFonts w:hint="eastAsia" w:ascii="Times New Roman" w:hAnsi="Times New Roman" w:eastAsia="仿宋_GB2312" w:cs="Times New Roman"/>
          <w:i w:val="0"/>
          <w:iCs w:val="0"/>
          <w:caps w:val="0"/>
          <w:color w:val="auto"/>
          <w:spacing w:val="0"/>
          <w:kern w:val="0"/>
          <w:sz w:val="30"/>
          <w:szCs w:val="30"/>
          <w:highlight w:val="none"/>
          <w:shd w:val="clear" w:fill="auto"/>
        </w:rPr>
        <w:t>丰富旅游项目</w:t>
      </w:r>
      <w:r>
        <w:rPr>
          <w:rFonts w:hint="eastAsia" w:ascii="Times New Roman" w:hAnsi="Times New Roman" w:eastAsia="仿宋_GB2312" w:cs="Times New Roman"/>
          <w:i w:val="0"/>
          <w:iCs w:val="0"/>
          <w:caps w:val="0"/>
          <w:color w:val="auto"/>
          <w:spacing w:val="0"/>
          <w:kern w:val="0"/>
          <w:sz w:val="30"/>
          <w:szCs w:val="30"/>
          <w:highlight w:val="none"/>
          <w:shd w:val="clear" w:fill="auto"/>
          <w:lang w:eastAsia="zh-CN"/>
        </w:rPr>
        <w:t>、</w:t>
      </w:r>
      <w:r>
        <w:rPr>
          <w:rFonts w:hint="eastAsia" w:ascii="Times New Roman" w:hAnsi="Times New Roman" w:eastAsia="仿宋_GB2312" w:cs="Times New Roman"/>
          <w:i w:val="0"/>
          <w:iCs w:val="0"/>
          <w:caps w:val="0"/>
          <w:color w:val="auto"/>
          <w:spacing w:val="0"/>
          <w:kern w:val="0"/>
          <w:sz w:val="30"/>
          <w:szCs w:val="30"/>
          <w:highlight w:val="none"/>
          <w:shd w:val="clear" w:fill="auto"/>
        </w:rPr>
        <w:t>加强文化推广</w:t>
      </w:r>
      <w:r>
        <w:rPr>
          <w:rFonts w:hint="eastAsia" w:ascii="Times New Roman" w:hAnsi="Times New Roman" w:eastAsia="仿宋_GB2312" w:cs="Times New Roman"/>
          <w:i w:val="0"/>
          <w:iCs w:val="0"/>
          <w:caps w:val="0"/>
          <w:color w:val="auto"/>
          <w:spacing w:val="0"/>
          <w:kern w:val="0"/>
          <w:sz w:val="30"/>
          <w:szCs w:val="30"/>
          <w:highlight w:val="none"/>
          <w:shd w:val="clear" w:fill="auto"/>
          <w:lang w:val="en-US" w:eastAsia="zh-CN"/>
        </w:rPr>
        <w:t>等方式</w:t>
      </w:r>
      <w:r>
        <w:rPr>
          <w:rFonts w:hint="eastAsia" w:eastAsia="仿宋_GB2312" w:cs="Times New Roman"/>
          <w:i w:val="0"/>
          <w:iCs w:val="0"/>
          <w:caps w:val="0"/>
          <w:color w:val="auto"/>
          <w:spacing w:val="0"/>
          <w:kern w:val="0"/>
          <w:sz w:val="30"/>
          <w:szCs w:val="30"/>
          <w:highlight w:val="none"/>
          <w:shd w:val="clear" w:fill="auto"/>
          <w:lang w:val="en-US" w:eastAsia="zh-CN"/>
        </w:rPr>
        <w:t>稳步推进风景名胜区的建设管理工作。</w:t>
      </w:r>
    </w:p>
    <w:p w14:paraId="767F3DAF">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41" w:name="_Toc15057"/>
      <w:r>
        <w:rPr>
          <w:rFonts w:hint="default" w:ascii="Times New Roman" w:hAnsi="Times New Roman" w:eastAsia="楷体" w:cs="Times New Roman"/>
          <w:kern w:val="0"/>
          <w:sz w:val="32"/>
          <w:szCs w:val="32"/>
          <w:highlight w:val="none"/>
          <w:lang w:val="en-US" w:eastAsia="zh-CN" w:bidi="ar-SA"/>
        </w:rPr>
        <w:t>三、</w:t>
      </w:r>
      <w:r>
        <w:rPr>
          <w:rFonts w:hint="eastAsia" w:ascii="Times New Roman" w:hAnsi="Times New Roman" w:eastAsia="楷体" w:cs="Times New Roman"/>
          <w:kern w:val="0"/>
          <w:sz w:val="32"/>
          <w:szCs w:val="32"/>
          <w:highlight w:val="none"/>
          <w:lang w:val="en-US" w:eastAsia="zh-CN" w:bidi="ar-SA"/>
        </w:rPr>
        <w:t>重要生态系统保护修复工程</w:t>
      </w:r>
      <w:bookmarkEnd w:id="41"/>
    </w:p>
    <w:p w14:paraId="1E1A37A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）沙美内海红树林保护修复项目</w:t>
      </w:r>
    </w:p>
    <w:p w14:paraId="452A878B">
      <w:pPr>
        <w:keepNext w:val="0"/>
        <w:keepLines w:val="0"/>
        <w:pageBreakBefore w:val="0"/>
        <w:widowControl w:val="0"/>
        <w:kinsoku w:val="0"/>
        <w:wordWrap w:val="0"/>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生态修复总面积为3.6km²，其中海域面积3.1km²，保护修复海岸线长度14100m，通过退塘还湿还林、开挖潮沟，修复红树林188.80公顷。清理外来入侵物种19.51公顷。计划总投资</w:t>
      </w:r>
      <w:r>
        <w:rPr>
          <w:rFonts w:hint="eastAsia" w:eastAsia="仿宋_GB2312" w:cs="Times New Roman"/>
          <w:kern w:val="0"/>
          <w:sz w:val="30"/>
          <w:szCs w:val="30"/>
          <w:highlight w:val="none"/>
          <w:lang w:val="en-US" w:eastAsia="zh-CN" w:bidi="ar-SA"/>
        </w:rPr>
        <w:t xml:space="preserve">   </w:t>
      </w:r>
      <w:r>
        <w:rPr>
          <w:rFonts w:hint="default" w:ascii="Times New Roman" w:hAnsi="Times New Roman" w:eastAsia="仿宋_GB2312" w:cs="Times New Roman"/>
          <w:kern w:val="0"/>
          <w:sz w:val="30"/>
          <w:szCs w:val="30"/>
          <w:highlight w:val="none"/>
          <w:lang w:val="en-US" w:eastAsia="zh-CN" w:bidi="ar-SA"/>
        </w:rPr>
        <w:t>23217.10万元，其中，中央资金8862.55万元，地方资金14354.55万元。</w:t>
      </w:r>
    </w:p>
    <w:p w14:paraId="1DAF683E">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4F6F9CC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）玉带滩海岸带修复项目</w:t>
      </w:r>
    </w:p>
    <w:p w14:paraId="461B1F65">
      <w:pPr>
        <w:keepNext w:val="0"/>
        <w:keepLines w:val="0"/>
        <w:pageBreakBefore w:val="0"/>
        <w:widowControl w:val="0"/>
        <w:kinsoku w:val="0"/>
        <w:wordWrap w:val="0"/>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kern w:val="0"/>
          <w:sz w:val="30"/>
          <w:szCs w:val="30"/>
          <w:highlight w:val="none"/>
          <w:lang w:val="en-US" w:eastAsia="zh-CN" w:bidi="ar-SA"/>
        </w:rPr>
        <w:t>生态修复总面积2.1km²，保护修复海岸线长度5200m。通过退塘还林，补充种植海防林20.80公顷。</w:t>
      </w:r>
      <w:r>
        <w:rPr>
          <w:rFonts w:hint="default" w:ascii="Times New Roman" w:hAnsi="Times New Roman" w:eastAsia="仿宋_GB2312" w:cs="Times New Roman"/>
          <w:sz w:val="30"/>
          <w:szCs w:val="30"/>
          <w:highlight w:val="none"/>
        </w:rPr>
        <w:t>计划总投资</w:t>
      </w:r>
      <w:r>
        <w:rPr>
          <w:rFonts w:hint="default" w:ascii="Times New Roman" w:hAnsi="Times New Roman" w:eastAsia="仿宋_GB2312" w:cs="Times New Roman"/>
          <w:kern w:val="0"/>
          <w:sz w:val="30"/>
          <w:szCs w:val="30"/>
          <w:highlight w:val="none"/>
          <w:lang w:val="en-US" w:eastAsia="zh-CN" w:bidi="ar-SA"/>
        </w:rPr>
        <w:t>3472.85</w:t>
      </w:r>
      <w:r>
        <w:rPr>
          <w:rFonts w:hint="default" w:ascii="Times New Roman" w:hAnsi="Times New Roman" w:eastAsia="仿宋_GB2312" w:cs="Times New Roman"/>
          <w:sz w:val="30"/>
          <w:szCs w:val="30"/>
          <w:highlight w:val="none"/>
        </w:rPr>
        <w:t>万元，其中，中央资金</w:t>
      </w:r>
      <w:r>
        <w:rPr>
          <w:rFonts w:hint="default" w:ascii="Times New Roman" w:hAnsi="Times New Roman" w:eastAsia="仿宋_GB2312" w:cs="Times New Roman"/>
          <w:kern w:val="0"/>
          <w:sz w:val="30"/>
          <w:szCs w:val="30"/>
          <w:highlight w:val="none"/>
          <w:lang w:val="en-US" w:eastAsia="zh-CN" w:bidi="ar-SA"/>
        </w:rPr>
        <w:t>2328.25</w:t>
      </w:r>
      <w:r>
        <w:rPr>
          <w:rFonts w:hint="default" w:ascii="Times New Roman" w:hAnsi="Times New Roman" w:eastAsia="仿宋_GB2312" w:cs="Times New Roman"/>
          <w:sz w:val="30"/>
          <w:szCs w:val="30"/>
          <w:highlight w:val="none"/>
        </w:rPr>
        <w:t>万元，地方资金</w:t>
      </w:r>
      <w:r>
        <w:rPr>
          <w:rFonts w:hint="default" w:ascii="Times New Roman" w:hAnsi="Times New Roman" w:eastAsia="仿宋_GB2312" w:cs="Times New Roman"/>
          <w:kern w:val="0"/>
          <w:sz w:val="30"/>
          <w:szCs w:val="30"/>
          <w:highlight w:val="none"/>
          <w:lang w:val="en-US" w:eastAsia="zh-CN" w:bidi="ar-SA"/>
        </w:rPr>
        <w:t>1144.60</w:t>
      </w:r>
      <w:r>
        <w:rPr>
          <w:rFonts w:hint="default" w:ascii="Times New Roman" w:hAnsi="Times New Roman" w:eastAsia="仿宋_GB2312" w:cs="Times New Roman"/>
          <w:sz w:val="30"/>
          <w:szCs w:val="30"/>
          <w:highlight w:val="none"/>
        </w:rPr>
        <w:t>万元</w:t>
      </w:r>
      <w:r>
        <w:rPr>
          <w:rFonts w:hint="default" w:ascii="Times New Roman" w:hAnsi="Times New Roman" w:eastAsia="仿宋_GB2312" w:cs="Times New Roman"/>
          <w:sz w:val="30"/>
          <w:szCs w:val="30"/>
          <w:highlight w:val="none"/>
          <w:lang w:eastAsia="zh-CN"/>
        </w:rPr>
        <w:t>。</w:t>
      </w:r>
    </w:p>
    <w:p w14:paraId="2F6BF916">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）琼海市博鳌沙美内海生态修复项目</w:t>
      </w:r>
    </w:p>
    <w:p w14:paraId="1C75F0E7">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对约0.08公顷沙美内海部分养殖塘围堰拆除、沙美内海疏浚22.33万方。内海疏浚通道长4.54km，疏浚宽度15m，底高程-3m；51604株红树林种植和管护；18.60公顷的清理垃圾、水葫芦和水空心菜等。资金下达1578.05万元，概算批复总投资1514.45万元。</w:t>
      </w:r>
    </w:p>
    <w:p w14:paraId="73ED66F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42" w:name="_Toc20415"/>
      <w:r>
        <w:rPr>
          <w:rFonts w:hint="default" w:ascii="Times New Roman" w:hAnsi="Times New Roman" w:eastAsia="楷体" w:cs="Times New Roman"/>
          <w:kern w:val="0"/>
          <w:sz w:val="32"/>
          <w:szCs w:val="32"/>
          <w:highlight w:val="none"/>
          <w:lang w:val="en-US" w:eastAsia="zh-CN" w:bidi="ar-SA"/>
        </w:rPr>
        <w:t>四、林火阻隔系统建设工程</w:t>
      </w:r>
      <w:bookmarkEnd w:id="42"/>
    </w:p>
    <w:p w14:paraId="3B50AB2E">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党的十八大以来，以习近平同志为核心的党中央高度重视森林防灭火工作，将其作为防灾减灾的重要任务，并作出了一系列重要决策部署。2022年10月，中共中央办公厅 国务院办公厅印发了《关于全面加强新形势下森林草原防灭火工作的意见》，要求各地党委政府要加强森林防灭火基础设施建设，力争到2025年全国重点林区林火阻隔密度达到4.7米/公顷，在森林城市和军事、能源等重要目标周边构建自然阻隔、工程阻隔、生物阻隔相结合的保护防线。2022年3月，省委书记、省总林长沈晓明在2022年总林长会议上专门强调要把森林防灭火工作纳入《2022年海南省林长制工作要点》。2022年4月，省政府召开专题会议研究部署森林防火工作，会议要求加强林火阻隔系统建设，坚持</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突出重点、分步推进</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的原则，逐步形成工程隔离、自然隔离和生物隔离互为补充的林火阻隔系统，由省林业局牵头，按照林火阻隔系统建设标准，对现有林分进行逐步调整，培育有利于防火、健康稳定的森林生态系统。</w:t>
      </w:r>
    </w:p>
    <w:p w14:paraId="65594FE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cs="Times New Roman"/>
          <w:lang w:val="en-US" w:eastAsia="zh-CN"/>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工程现状</w:t>
      </w:r>
    </w:p>
    <w:p w14:paraId="4F3764BF">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根据《海南省森林防火规划（2016</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2025年）》里森林火灾风险等级区划情况分析，琼海市属于Ⅱ级火险区市县。森林可燃物是森林燃烧的物质基础，也是发生森林火灾的首要条件。根据海南省第一次全国森林火灾风险普查样地调查成果测算，琼海市的单位面积细小可燃物载量值较低。琼海市现有林火阻隔带长度合计427千米，其中自然阻隔带128千米，工程阻隔带299千米，未有组合阻隔带；平均阻隔密度为3.66米/公顷，属全省中等水平（3.0-4.7米/公顷）。但与《海南省森林防火规划（2016</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2025年）》规划的到2025年阻隔网密度达到4.0米/公顷的目标仍有一定差距，与《全国森林防火规划（2016</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2025年）》确定的2025年全国林火阻隔网平均密度达到4.7米/公顷的目标仍有较大的差距。</w:t>
      </w:r>
    </w:p>
    <w:p w14:paraId="5B1AEE8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（二）建设布局与规划方向</w:t>
      </w:r>
    </w:p>
    <w:p w14:paraId="11F8E89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根据《海南省林火阻隔系统建设规划（2023</w:t>
      </w:r>
      <w:r>
        <w:rPr>
          <w:rFonts w:hint="eastAsia" w:ascii="Times New Roman" w:hAnsi="Times New Roman"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2035年）》构建</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一园、一环、多点、两区</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的林火阻隔系统建设布局，琼海市位于建设布局中的</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一环、两区</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，即环岛沿海防护林带和其他人工林分布区和其他天然林分布区。</w:t>
      </w:r>
    </w:p>
    <w:p w14:paraId="32240ADE">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的东部沿海防护林区域需结合环岛旅游公路、海防林提质改造等项目建设，构建自然阻隔带、工程阻隔带和生物阻隔带集一体的林火阻隔系统，重点打造具有防火、抗风、景观功能和经济效益的生物防火林带。</w:t>
      </w:r>
    </w:p>
    <w:p w14:paraId="778D6597">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除沿海防护林以外的人工林分布区需因险设防、因地制宜，充分依托和利用自然阻隔带，积极有序开展各类林火阻隔系统建设，全力保障人民群众生命财产安全、重要设施安全和森林资源安全。琼海市除沿海防护林以外的天然林分布区充分利用天然林周边的河流、水域、沟壑、道路等自然和人工阻火障碍物，原则上不在林内新增设林火阻隔带，可按需在林缘外部建设林火阻隔带。</w:t>
      </w:r>
    </w:p>
    <w:p w14:paraId="5F2E87B8">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（三）系统建设任务</w:t>
      </w:r>
    </w:p>
    <w:p w14:paraId="6CF2C932">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在规划期内，全市林火阻隔系统建设任务量为9</w:t>
      </w:r>
      <w:r>
        <w:rPr>
          <w:rFonts w:hint="eastAsia" w:eastAsia="仿宋_GB2312" w:cs="Times New Roman"/>
          <w:kern w:val="0"/>
          <w:sz w:val="30"/>
          <w:szCs w:val="30"/>
          <w:highlight w:val="none"/>
          <w:lang w:val="en-US" w:eastAsia="zh-CN" w:bidi="ar-SA"/>
        </w:rPr>
        <w:t>0</w:t>
      </w:r>
      <w:r>
        <w:rPr>
          <w:rFonts w:hint="default" w:ascii="Times New Roman" w:hAnsi="Times New Roman" w:eastAsia="仿宋_GB2312" w:cs="Times New Roman"/>
          <w:kern w:val="0"/>
          <w:sz w:val="30"/>
          <w:szCs w:val="30"/>
          <w:highlight w:val="none"/>
          <w:lang w:val="en-US" w:eastAsia="zh-CN" w:bidi="ar-SA"/>
        </w:rPr>
        <w:t>千米，均为新建阻隔带。近期（2021-2025年）系统建设任务量为14千米，中远期（2026-2035年）系统建设任务量为7</w:t>
      </w:r>
      <w:r>
        <w:rPr>
          <w:rFonts w:hint="eastAsia" w:eastAsia="仿宋_GB2312" w:cs="Times New Roman"/>
          <w:kern w:val="0"/>
          <w:sz w:val="30"/>
          <w:szCs w:val="30"/>
          <w:highlight w:val="none"/>
          <w:lang w:val="en-US" w:eastAsia="zh-CN" w:bidi="ar-SA"/>
        </w:rPr>
        <w:t>6</w:t>
      </w:r>
      <w:r>
        <w:rPr>
          <w:rFonts w:hint="default" w:ascii="Times New Roman" w:hAnsi="Times New Roman" w:eastAsia="仿宋_GB2312" w:cs="Times New Roman"/>
          <w:kern w:val="0"/>
          <w:sz w:val="30"/>
          <w:szCs w:val="30"/>
          <w:highlight w:val="none"/>
          <w:lang w:val="en-US" w:eastAsia="zh-CN" w:bidi="ar-SA"/>
        </w:rPr>
        <w:t>千米。</w:t>
      </w:r>
      <w:r>
        <w:rPr>
          <w:rFonts w:hint="default" w:ascii="Times New Roman" w:hAnsi="Times New Roman" w:eastAsia="仿宋_GB2312" w:cs="Times New Roman"/>
          <w:kern w:val="0"/>
          <w:sz w:val="30"/>
          <w:szCs w:val="30"/>
          <w:highlight w:val="none"/>
          <w:lang w:val="en-US" w:eastAsia="zh-CN" w:bidi="ar-SA"/>
        </w:rPr>
        <w:br w:type="page"/>
      </w:r>
    </w:p>
    <w:p w14:paraId="1BFD2AEA">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eastAsia" w:ascii="黑体" w:hAnsi="黑体" w:eastAsia="黑体" w:cs="宋体"/>
          <w:kern w:val="0"/>
          <w:sz w:val="36"/>
          <w:szCs w:val="36"/>
          <w:highlight w:val="none"/>
          <w:lang w:val="en-US" w:eastAsia="zh-CN" w:bidi="ar-SA"/>
        </w:rPr>
      </w:pPr>
      <w:bookmarkStart w:id="43" w:name="_Toc22415"/>
      <w:r>
        <w:rPr>
          <w:rFonts w:hint="eastAsia" w:ascii="黑体" w:hAnsi="黑体" w:eastAsia="黑体" w:cs="宋体"/>
          <w:kern w:val="0"/>
          <w:sz w:val="36"/>
          <w:szCs w:val="36"/>
          <w:highlight w:val="none"/>
          <w:lang w:val="en-US" w:eastAsia="zh-CN" w:bidi="ar-SA"/>
        </w:rPr>
        <w:t>第八章  林地治理体系</w:t>
      </w:r>
      <w:bookmarkEnd w:id="43"/>
    </w:p>
    <w:p w14:paraId="0D2C70B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eastAsia" w:ascii="楷体" w:hAnsi="楷体" w:eastAsia="楷体" w:cs="宋体"/>
          <w:kern w:val="0"/>
          <w:sz w:val="32"/>
          <w:szCs w:val="32"/>
          <w:highlight w:val="none"/>
          <w:lang w:val="en-US" w:eastAsia="zh-CN" w:bidi="ar-SA"/>
        </w:rPr>
      </w:pPr>
      <w:bookmarkStart w:id="44" w:name="_Toc13568"/>
      <w:r>
        <w:rPr>
          <w:rFonts w:hint="eastAsia" w:ascii="楷体" w:hAnsi="楷体" w:eastAsia="楷体" w:cs="宋体"/>
          <w:kern w:val="0"/>
          <w:sz w:val="32"/>
          <w:szCs w:val="32"/>
          <w:highlight w:val="none"/>
          <w:lang w:val="en-US" w:eastAsia="zh-CN" w:bidi="ar-SA"/>
        </w:rPr>
        <w:t>一、林长制体系建设</w:t>
      </w:r>
      <w:bookmarkEnd w:id="44"/>
    </w:p>
    <w:p w14:paraId="1F4A49E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组织体系</w:t>
      </w:r>
    </w:p>
    <w:p w14:paraId="46BDC3DD">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贯彻落实《中共中央办公厅国务院办公厅印发&lt;关于全面推行林长制的意见&gt;的通知》，按照属地管理、分级负责的原则，全面建立市、镇（区、自然保护区、农林场）、村（居）三级林长制体系，实行党政主要负责人双林长制，形成责任明确、监管有力的森林资源保护发展网格。</w:t>
      </w:r>
    </w:p>
    <w:p w14:paraId="5C6235F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主要任务</w:t>
      </w:r>
    </w:p>
    <w:p w14:paraId="326DD377">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1.强化森林资源监管</w:t>
      </w:r>
    </w:p>
    <w:p w14:paraId="70955C19">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坚持保护优先，坚决落实最严格的森林资源保护管理制度，严守林业生态保护红线，严格执行采伐限额，严格执行林地用途管制，严格生态公益林、天然林、野生动植物和古树名木保护管理，严格加强生态保护网络建设，加大生态功能区、生态脆弱区森林系统保护建设力度，构建以生态公益林和天然林为基础，自然保护区、森林公园为重点的生态保护网络体系，促进生物多样性和经济社会可持续发展。结合森林督查等各类专项整治活动，严厉打击非法占用林地、盗伐滥伐林木、乱捕野生动物等各类违法破坏森林资源行为，确保林区和谐。</w:t>
      </w:r>
    </w:p>
    <w:p w14:paraId="5323A11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2.提升森林质量效益</w:t>
      </w:r>
    </w:p>
    <w:p w14:paraId="64578318">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实施林业生态修复与湿地保护工程，着力抓好老残林更新改造，加强森林抚育，坚持科学森林经营，优化林种结构，构建健康、稳定、优质、高效的森林生态系统，提高森林的生态服务功能。创新义务植树机制，广泛开展全民义务植树活动，引导市场主体和社会资本参与国土绿化。着力发展林下经济、森林旅游和森林康养等产业，探索苗木花卉、林木产品精深加工，推进林业一二三产业融合发展，切实提高森林经济效益，促进绿色富民，助力脱贫攻坚和乡村振兴。</w:t>
      </w:r>
    </w:p>
    <w:p w14:paraId="773FF2FC">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3.全力抓好森林防火</w:t>
      </w:r>
    </w:p>
    <w:p w14:paraId="764122AD">
      <w:pPr>
        <w:pStyle w:val="4"/>
        <w:keepNext w:val="0"/>
        <w:keepLines w:val="0"/>
        <w:pageBreakBefore w:val="0"/>
        <w:widowControl w:val="0"/>
        <w:numPr>
          <w:ilvl w:val="0"/>
          <w:numId w:val="0"/>
        </w:numPr>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严格落实森林防火行政首长负责制和分片包干责任制，完善森林防火体系，加强基础设施建设，提升装备水平，增强森林防火预警、监测能力。强化森林防火宣传力度，积极倡导文明祭祀，充分发挥专职护林员和村镇干部作用，严格巡查和管控野外火源。</w:t>
      </w:r>
    </w:p>
    <w:p w14:paraId="4948554B">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4.全面落实重大林业有害生物防治</w:t>
      </w:r>
    </w:p>
    <w:p w14:paraId="057BB6B9">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加强林业有害生物监测预警体系、检疫御灾体系、防治减灾体系建设，充分发挥国家级林业有害生物监测点的作用，提升林业有害生物综合防控能力和水平。积极推进专业化防治，加大椰心叶甲、松材线虫病等重大林业有害生物防控力度，强化检疫执法，抓好联防联控，严防林业有害生物传播扩散、确保林业有害生物成灾率控制在3%以内。</w:t>
      </w:r>
    </w:p>
    <w:p w14:paraId="1FD41B7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eastAsia" w:ascii="楷体" w:hAnsi="楷体" w:eastAsia="楷体" w:cs="宋体"/>
          <w:kern w:val="0"/>
          <w:sz w:val="32"/>
          <w:szCs w:val="32"/>
          <w:highlight w:val="none"/>
          <w:lang w:val="en-US" w:eastAsia="zh-CN" w:bidi="ar-SA"/>
        </w:rPr>
      </w:pPr>
      <w:bookmarkStart w:id="45" w:name="_Toc9211"/>
      <w:r>
        <w:rPr>
          <w:rFonts w:hint="eastAsia" w:ascii="楷体" w:hAnsi="楷体" w:eastAsia="楷体" w:cs="宋体"/>
          <w:kern w:val="0"/>
          <w:sz w:val="32"/>
          <w:szCs w:val="32"/>
          <w:highlight w:val="none"/>
          <w:lang w:val="en-US" w:eastAsia="zh-CN" w:bidi="ar-SA"/>
        </w:rPr>
        <w:t>二、自然保护地体系建设</w:t>
      </w:r>
      <w:bookmarkEnd w:id="45"/>
    </w:p>
    <w:p w14:paraId="2706D63C">
      <w:pPr>
        <w:pStyle w:val="4"/>
        <w:keepNext w:val="0"/>
        <w:keepLines w:val="0"/>
        <w:pageBreakBefore w:val="0"/>
        <w:widowControl w:val="0"/>
        <w:numPr>
          <w:ilvl w:val="0"/>
          <w:numId w:val="11"/>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建立自然保护地体系</w:t>
      </w:r>
    </w:p>
    <w:p w14:paraId="3B85FE6F">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建立以自然保护区为基础、自然公园为补充的高水平自然保护地体系，提升自然公园生态服务能力，拓展优质生态产品供给。</w:t>
      </w:r>
    </w:p>
    <w:p w14:paraId="6C36F606">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琼海市境内有7个自然保护地，其中：陆域自然保护地面积14600.81公顷，占琼海市陆域国土面积的8.54%；海域自然保护地面积2659.83公顷，占琼海市海域面积的1.73%。重点建设海南会山省级自然保护区，总面积5435.77公顷，批复面积  5333.33公顷，落图面积4469.64公顷，主要保护对象为海南中部山区东北区热带雨林生态系统及其生物多样性，属</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自然生态系统类</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的</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森林生态系统类型</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自然保护区。其次有海南麒麟菜省级自然保护区，主要保护对象麒麟菜及其自然生境；博鳌省级森林公园，主要保护对象热带植物森林资源；白石岭森林公园，主要保护对象热带天然次生林中的动植物资源。</w:t>
      </w:r>
    </w:p>
    <w:p w14:paraId="1CB9D271">
      <w:pPr>
        <w:pStyle w:val="4"/>
        <w:keepNext w:val="0"/>
        <w:keepLines w:val="0"/>
        <w:pageBreakBefore w:val="0"/>
        <w:widowControl w:val="0"/>
        <w:numPr>
          <w:ilvl w:val="0"/>
          <w:numId w:val="11"/>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推进整合优化预案落地</w:t>
      </w:r>
    </w:p>
    <w:p w14:paraId="0C0E4258">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开展自然保护地范围勘界立标和自然资源资产确权登记工作，进行自然保护区范围调整、自然保护区功能分区调整，提高生态系统和生态过程的完整性及生物多样性，使重点保护对象得到有效保护。</w:t>
      </w:r>
    </w:p>
    <w:p w14:paraId="6F5C4726">
      <w:pPr>
        <w:pStyle w:val="4"/>
        <w:keepNext w:val="0"/>
        <w:keepLines w:val="0"/>
        <w:pageBreakBefore w:val="0"/>
        <w:widowControl w:val="0"/>
        <w:numPr>
          <w:ilvl w:val="0"/>
          <w:numId w:val="11"/>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建立管理机构体系</w:t>
      </w:r>
    </w:p>
    <w:p w14:paraId="6CC5DB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市、县级自然保护区设自然保护区管理站，配备必要的管理人员和科学技术人员。对保护区的自然环境和自然资源，进行资源考察，建立资源档案，开展科学研究和自然保护宣传教育工作。</w:t>
      </w:r>
    </w:p>
    <w:p w14:paraId="4F02AF35">
      <w:pPr>
        <w:pStyle w:val="4"/>
        <w:keepNext w:val="0"/>
        <w:keepLines w:val="0"/>
        <w:pageBreakBefore w:val="0"/>
        <w:widowControl w:val="0"/>
        <w:numPr>
          <w:ilvl w:val="0"/>
          <w:numId w:val="11"/>
        </w:numPr>
        <w:kinsoku/>
        <w:wordWrap/>
        <w:overflowPunct/>
        <w:topLinePunct w:val="0"/>
        <w:autoSpaceDE/>
        <w:autoSpaceDN/>
        <w:bidi w:val="0"/>
        <w:adjustRightInd/>
        <w:snapToGrid/>
        <w:spacing w:before="157" w:beforeLines="50"/>
        <w:ind w:leftChars="200"/>
        <w:jc w:val="left"/>
        <w:textAlignment w:val="auto"/>
        <w:outlineLvl w:val="2"/>
        <w:rPr>
          <w:rFonts w:hint="eastAsia" w:ascii="仿宋_GB2312" w:hAnsi="Times New Roman" w:eastAsia="仿宋_GB2312" w:cs="宋体"/>
          <w:kern w:val="0"/>
          <w:sz w:val="30"/>
          <w:szCs w:val="30"/>
          <w:highlight w:val="none"/>
          <w:lang w:val="en-US" w:eastAsia="zh-CN" w:bidi="ar-SA"/>
        </w:rPr>
      </w:pPr>
      <w:r>
        <w:rPr>
          <w:rFonts w:hint="eastAsia" w:ascii="仿宋_GB2312" w:hAnsi="Times New Roman" w:eastAsia="仿宋_GB2312" w:cs="宋体"/>
          <w:kern w:val="0"/>
          <w:sz w:val="30"/>
          <w:szCs w:val="30"/>
          <w:highlight w:val="none"/>
          <w:lang w:val="en-US" w:eastAsia="zh-CN" w:bidi="ar-SA"/>
        </w:rPr>
        <w:t>加快构建生态安全屏障</w:t>
      </w:r>
    </w:p>
    <w:p w14:paraId="4D0F05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将生态系统、自然景观、自然遗迹、野生动植物种及其重要栖息地均纳入自然保护地范畴，全面推进自然保护地的整体保护、系统修复、综合治理工作。</w:t>
      </w:r>
    </w:p>
    <w:p w14:paraId="789FA32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楷体" w:hAnsi="楷体" w:eastAsia="楷体" w:cs="宋体"/>
          <w:kern w:val="0"/>
          <w:sz w:val="32"/>
          <w:szCs w:val="32"/>
          <w:highlight w:val="none"/>
          <w:lang w:val="en-US" w:eastAsia="zh-CN" w:bidi="ar-SA"/>
        </w:rPr>
      </w:pPr>
      <w:bookmarkStart w:id="46" w:name="_Toc20305"/>
      <w:r>
        <w:rPr>
          <w:rFonts w:hint="eastAsia" w:ascii="楷体" w:hAnsi="楷体" w:eastAsia="楷体" w:cs="宋体"/>
          <w:kern w:val="0"/>
          <w:sz w:val="32"/>
          <w:szCs w:val="32"/>
          <w:highlight w:val="none"/>
          <w:lang w:val="en-US" w:eastAsia="zh-CN" w:bidi="ar-SA"/>
        </w:rPr>
        <w:t>三、森林资源监管体系</w:t>
      </w:r>
      <w:bookmarkEnd w:id="46"/>
    </w:p>
    <w:p w14:paraId="7458A9DF">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一</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建设智慧林业应用系统</w:t>
      </w:r>
    </w:p>
    <w:p w14:paraId="2CD89AD5">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整合现有的森林资源、湿地、自然保护地、国有林场、生态保护红线等数据，与国土空间规划相关内容进行对接，实现林业数据</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目标。以林业数据</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为核心，推动和完善全省森林资源网格化管理，逐步实现全省森林资源</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管理、</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一个体系</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监测、</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一套数</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评价。建设林业综合管理平台、林业监测数据管理平台为基础的信息化体系，开发森林资源监测、智慧林长、湿地资源监测等智慧林业应用系统。</w:t>
      </w:r>
    </w:p>
    <w:p w14:paraId="16D3E492">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二</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加强林地执法监督</w:t>
      </w:r>
    </w:p>
    <w:p w14:paraId="4D51A54F">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全面实施森林资源监督管理科学化、制度化、规范化、法制化管理。组织开展森林督查，毁林违建乱象清理整治、打击毁林专项行动等一系列专项行动，严厉打击违法破坏森林资源行为，防止林地资源不正当流失，有效维护生态安全。加强执法监督。全面加强森林督查，毁林违建乱象清理整治、打击毁林专项行动等一系列专项行动，全方位、多角度、多层次加大违法破坏森林资源打击力度，对违法破坏森林资源问题坚决实行</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零容忍</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，该行政处罚就行政处罚，刑事立案就刑事立案，有力震慑破坏森林资源行为。开展森林资源管理</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年度更新工作，推动和完善全省森林资源网格化管理，逐步实现全省森林资源</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一张图</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管理、</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一个体系</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监测、</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一套数</w:t>
      </w:r>
      <w:r>
        <w:rPr>
          <w:rFonts w:hint="eastAsia" w:eastAsia="仿宋_GB2312" w:cs="Times New Roman"/>
          <w:kern w:val="0"/>
          <w:sz w:val="30"/>
          <w:szCs w:val="30"/>
          <w:highlight w:val="none"/>
          <w:lang w:val="en-US" w:eastAsia="zh-CN" w:bidi="ar-SA"/>
        </w:rPr>
        <w:t>”</w:t>
      </w:r>
      <w:r>
        <w:rPr>
          <w:rFonts w:hint="default" w:ascii="Times New Roman" w:hAnsi="Times New Roman" w:eastAsia="仿宋_GB2312" w:cs="Times New Roman"/>
          <w:kern w:val="0"/>
          <w:sz w:val="30"/>
          <w:szCs w:val="30"/>
          <w:highlight w:val="none"/>
          <w:lang w:val="en-US" w:eastAsia="zh-CN" w:bidi="ar-SA"/>
        </w:rPr>
        <w:t>评价。</w:t>
      </w:r>
    </w:p>
    <w:p w14:paraId="0C16A96D">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4A028852">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仿宋_GB2312" w:hAnsi="Times New Roman" w:eastAsia="仿宋_GB2312" w:cs="宋体"/>
          <w:kern w:val="0"/>
          <w:sz w:val="30"/>
          <w:szCs w:val="30"/>
          <w:highlight w:val="none"/>
          <w:lang w:val="en-US" w:eastAsia="zh-CN" w:bidi="ar-SA"/>
        </w:rPr>
      </w:pP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三</w:t>
      </w:r>
      <w:r>
        <w:rPr>
          <w:rFonts w:hint="default" w:ascii="仿宋_GB2312" w:hAnsi="Times New Roman" w:eastAsia="仿宋_GB2312" w:cs="宋体"/>
          <w:kern w:val="0"/>
          <w:sz w:val="30"/>
          <w:szCs w:val="30"/>
          <w:highlight w:val="none"/>
          <w:lang w:eastAsia="zh-CN" w:bidi="ar-SA"/>
        </w:rPr>
        <w:t>）</w:t>
      </w:r>
      <w:r>
        <w:rPr>
          <w:rFonts w:hint="eastAsia" w:ascii="仿宋_GB2312" w:hAnsi="Times New Roman" w:eastAsia="仿宋_GB2312" w:cs="宋体"/>
          <w:kern w:val="0"/>
          <w:sz w:val="30"/>
          <w:szCs w:val="30"/>
          <w:highlight w:val="none"/>
          <w:lang w:val="en-US" w:eastAsia="zh-CN" w:bidi="ar-SA"/>
        </w:rPr>
        <w:t>严格执行定额管理和林地用途管制</w:t>
      </w:r>
    </w:p>
    <w:p w14:paraId="7209A00E">
      <w:pPr>
        <w:keepNext w:val="0"/>
        <w:keepLines w:val="0"/>
        <w:pageBreakBefore w:val="0"/>
        <w:widowControl w:val="0"/>
        <w:kinsoku/>
        <w:wordWrap/>
        <w:overflowPunct/>
        <w:topLinePunct w:val="0"/>
        <w:autoSpaceDE/>
        <w:autoSpaceDN/>
        <w:bidi w:val="0"/>
        <w:adjustRightInd/>
        <w:snapToGrid w:val="0"/>
        <w:spacing w:line="560" w:lineRule="exact"/>
        <w:ind w:firstLine="600" w:firstLineChars="200"/>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严格执行定额管理和林地用途管制。强化林地用途管制，实行林地分类管理、分级保护，严格保护重点生态区域林地，重点加强对各级各类自然保护地、国有林场、天然林、公益林的保护管理，建立科学的林地保护利用管理机制。严格按照林地保护利用规划管理林地，强化林地规划管控和使用计划约束，优先保障重大基础设施、民生项目使用林地需求，严格控制采石采矿、房地产等经营性项目使用林地，加大林地定额统筹力度。</w:t>
      </w:r>
    </w:p>
    <w:p w14:paraId="45FBBBD3">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0EB514BC">
      <w:pPr>
        <w:keepNext w:val="0"/>
        <w:keepLines w:val="0"/>
        <w:pageBreakBefore w:val="0"/>
        <w:widowControl/>
        <w:suppressLineNumbers w:val="0"/>
        <w:kinsoku/>
        <w:wordWrap/>
        <w:overflowPunct/>
        <w:topLinePunct w:val="0"/>
        <w:autoSpaceDE/>
        <w:autoSpaceDN/>
        <w:bidi w:val="0"/>
        <w:adjustRightInd/>
        <w:snapToGrid/>
        <w:spacing w:before="100" w:beforeAutospacing="1" w:after="100" w:afterAutospacing="1" w:line="360" w:lineRule="auto"/>
        <w:jc w:val="center"/>
        <w:textAlignment w:val="auto"/>
        <w:outlineLvl w:val="0"/>
        <w:rPr>
          <w:rFonts w:hint="default" w:ascii="黑体" w:hAnsi="黑体" w:eastAsia="黑体" w:cs="宋体"/>
          <w:kern w:val="0"/>
          <w:sz w:val="36"/>
          <w:szCs w:val="36"/>
          <w:highlight w:val="none"/>
          <w:lang w:val="en-US" w:eastAsia="zh-CN" w:bidi="ar-SA"/>
        </w:rPr>
      </w:pPr>
      <w:bookmarkStart w:id="47" w:name="_Toc31211"/>
      <w:r>
        <w:rPr>
          <w:rFonts w:hint="eastAsia" w:ascii="黑体" w:hAnsi="黑体" w:eastAsia="黑体" w:cs="宋体"/>
          <w:kern w:val="0"/>
          <w:sz w:val="36"/>
          <w:szCs w:val="36"/>
          <w:highlight w:val="none"/>
          <w:lang w:val="en-US" w:eastAsia="zh-CN" w:bidi="ar-SA"/>
        </w:rPr>
        <w:t>第九章  规划实施保障</w:t>
      </w:r>
      <w:bookmarkEnd w:id="47"/>
    </w:p>
    <w:p w14:paraId="37111A8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48" w:name="_Toc29690"/>
      <w:r>
        <w:rPr>
          <w:rFonts w:hint="default" w:ascii="Times New Roman" w:hAnsi="Times New Roman" w:eastAsia="楷体" w:cs="Times New Roman"/>
          <w:kern w:val="0"/>
          <w:sz w:val="32"/>
          <w:szCs w:val="32"/>
          <w:highlight w:val="none"/>
          <w:lang w:val="en-US" w:eastAsia="zh-CN" w:bidi="ar-SA"/>
        </w:rPr>
        <w:t>一、组织保障</w:t>
      </w:r>
      <w:bookmarkEnd w:id="48"/>
    </w:p>
    <w:p w14:paraId="3E5BDFED">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完善分级规划体系</w:t>
      </w:r>
    </w:p>
    <w:p w14:paraId="00CDCAF1">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1.分级落实林地保护利用规划</w:t>
      </w:r>
    </w:p>
    <w:p w14:paraId="7289D562">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根据省级规划编制，并与同级土地利用总体规划相衔接，落实省级林地保护利用各项目标、任务、措施和管理政策，划定林地范围，进行功能区划，突出空间性、结构性和操作性，将省级下达的约束性指标和预期性指标分解落实到各街道和具体的山头小班，并制定林地保护利用的具体措施。</w:t>
      </w:r>
    </w:p>
    <w:p w14:paraId="609975D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2.维护规划的严肃性和权威性</w:t>
      </w:r>
    </w:p>
    <w:p w14:paraId="03A23FCE">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林地保护利用规划由市人民政府组织编制、颁布实施和监督管理。充分发挥林地保护利用规划在地方的控制和引导作用，规划确定的主要目标和指标要纳入本地国民经济和社会发展计划，并作为全市各部门、各行业、各单位编制相关规划的重要依据。规划、自然资源、交通、水利、能源、旅游、工业、农业、环保和生态建设等相关规划应与林地保护利用规划相衔接，符合林地保护利用的方向和要求，切实落实各项林地保护利用制度和政策。</w:t>
      </w:r>
    </w:p>
    <w:p w14:paraId="2E7218A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3.规范林地保护利用规划修订</w:t>
      </w:r>
    </w:p>
    <w:p w14:paraId="57E95646">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严禁擅自修改批准实施的林地保护利用规划，对擅自修改林地保护利用规划的行为要严肃查处，追究责任。确需对规划进行修改和完善的，在实施评价的基础上进行修改，报原批准机关批准后颁布实施。</w:t>
      </w:r>
    </w:p>
    <w:p w14:paraId="30E4B942">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4.强化对规划实施的监管</w:t>
      </w:r>
    </w:p>
    <w:p w14:paraId="613CA045">
      <w:pPr>
        <w:pStyle w:val="4"/>
        <w:keepNext w:val="0"/>
        <w:keepLines w:val="0"/>
        <w:pageBreakBefore w:val="0"/>
        <w:widowControl w:val="0"/>
        <w:kinsoku/>
        <w:wordWrap/>
        <w:overflowPunct/>
        <w:topLinePunct w:val="0"/>
        <w:autoSpaceDE/>
        <w:autoSpaceDN/>
        <w:bidi w:val="0"/>
        <w:adjustRightInd/>
        <w:snapToGrid/>
        <w:spacing w:after="0" w:afterLines="0"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健全监督检查制度，实行专项检查与经常性检查相结合，及时发现、制止违反林地保护利用规划的行为，定期公布检查结果。加大执法力度，对擅自修改林地保护利用规划的行为要严肃查处，追究责任；对违反规划使用林地的行为，依法查处，限期整改。</w:t>
      </w:r>
    </w:p>
    <w:p w14:paraId="2E54B92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强化责任考核追究</w:t>
      </w:r>
    </w:p>
    <w:p w14:paraId="266BCF7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1.深化和完善目标考核责任制</w:t>
      </w:r>
    </w:p>
    <w:p w14:paraId="0C51461B">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各级领导要以高度的历史责任感，切实把林地保护利用工作纳入政府工作的重要议事日程，各级政府主要负责人要对本行政区域内的林地保护管理负总责。把规划确定的森林保有量、占用征收林地定额、造林绿化作为地方各级政府森林资源保护和发展目标责任制考核的重要内容，把全面保护林地、节约集约使用林地作为地方经济社会发展评价的重要因素，建立并落实考核体系和考核办法。</w:t>
      </w:r>
    </w:p>
    <w:p w14:paraId="539A6933">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2.建立林地保护利用责任追究制度</w:t>
      </w:r>
    </w:p>
    <w:p w14:paraId="5048C5ED">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具体处罚和奖励实施办法，完善激励机制，增强抓好林地保护利用工作的责任意识；建立林地保护利用责任追究制度，对因决策失误、未正确履行职责、监管工作不到位等问题，造成林地明显退化、资源破坏严重、人民群众利益受到侵害等严重后果的，依法追究有关领导和部门及有关人员的责任。</w:t>
      </w:r>
    </w:p>
    <w:p w14:paraId="76FC8273">
      <w:pPr>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br w:type="page"/>
      </w:r>
    </w:p>
    <w:p w14:paraId="723ABB9E">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3.林业部门认真履行职责</w:t>
      </w:r>
    </w:p>
    <w:p w14:paraId="6673466A">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林业行政主管部门要认真履行职责，及时向地方政府</w:t>
      </w:r>
      <w:r>
        <w:rPr>
          <w:rFonts w:hint="eastAsia" w:eastAsia="仿宋_GB2312" w:cs="Times New Roman"/>
          <w:kern w:val="0"/>
          <w:sz w:val="30"/>
          <w:szCs w:val="30"/>
          <w:highlight w:val="none"/>
          <w:lang w:val="en-US" w:eastAsia="zh-CN" w:bidi="ar-SA"/>
        </w:rPr>
        <w:t>作好</w:t>
      </w:r>
      <w:r>
        <w:rPr>
          <w:rFonts w:hint="default" w:ascii="Times New Roman" w:hAnsi="Times New Roman" w:eastAsia="仿宋_GB2312" w:cs="Times New Roman"/>
          <w:kern w:val="0"/>
          <w:sz w:val="30"/>
          <w:szCs w:val="30"/>
          <w:highlight w:val="none"/>
          <w:lang w:val="en-US" w:eastAsia="zh-CN" w:bidi="ar-SA"/>
        </w:rPr>
        <w:t>汇报，在当地政府领导下，协同有关部门，精心组织，各负其责，密切配合，有法可依做好林地保护利用工作和规划实施工作。</w:t>
      </w:r>
    </w:p>
    <w:p w14:paraId="1E768E51">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eastAsia" w:ascii="Times New Roman" w:hAnsi="Times New Roman" w:eastAsia="仿宋_GB2312" w:cs="Times New Roman"/>
          <w:kern w:val="0"/>
          <w:sz w:val="30"/>
          <w:szCs w:val="30"/>
          <w:highlight w:val="none"/>
          <w:lang w:eastAsia="zh-CN" w:bidi="ar-SA"/>
        </w:rPr>
        <w:t>加大</w:t>
      </w:r>
      <w:r>
        <w:rPr>
          <w:rFonts w:hint="default" w:ascii="Times New Roman" w:hAnsi="Times New Roman" w:eastAsia="仿宋_GB2312" w:cs="Times New Roman"/>
          <w:kern w:val="0"/>
          <w:sz w:val="30"/>
          <w:szCs w:val="30"/>
          <w:highlight w:val="none"/>
          <w:lang w:val="en-US" w:eastAsia="zh-CN" w:bidi="ar-SA"/>
        </w:rPr>
        <w:t>保护宣传力度</w:t>
      </w:r>
    </w:p>
    <w:p w14:paraId="4916917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充分利用各类媒体，开展多层次、多形式的知识宣传，树立生态文明理念，提高群众的爱林护林意识，增强植树造林热情，引导广大群众合理的生产生活，减少森林资源无序采伐，节约森林蓄积消耗。围绕城市森林建设等，加强宣传，提高全社会保护森林和林地的法律意识，调动群众参与社区绿化、美化、生态化的积极性和主动性，为规划的实施创造良好的社会氛围。</w:t>
      </w:r>
    </w:p>
    <w:p w14:paraId="7A335753">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49" w:name="_Toc22826"/>
      <w:r>
        <w:rPr>
          <w:rFonts w:hint="default" w:ascii="Times New Roman" w:hAnsi="Times New Roman" w:eastAsia="楷体" w:cs="Times New Roman"/>
          <w:kern w:val="0"/>
          <w:sz w:val="32"/>
          <w:szCs w:val="32"/>
          <w:highlight w:val="none"/>
          <w:lang w:val="en-US" w:eastAsia="zh-CN" w:bidi="ar-SA"/>
        </w:rPr>
        <w:t>二、政策保障</w:t>
      </w:r>
      <w:bookmarkEnd w:id="49"/>
    </w:p>
    <w:p w14:paraId="7D82841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配套落实法规政策</w:t>
      </w:r>
    </w:p>
    <w:p w14:paraId="3CC11B42">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切实落实全市林地保护利用差别化管理政策，加强区域林地保护利用的统筹协调，做好省级及市级林地保护利用的相互衔接；根据行政区内不同功能定位，实施差别管理，制定功能区与乡镇利益协调政策，把功能区的核心带动优势与街道的空间保障优势有机结合，促进功能区发展，并带动全面发展。</w:t>
      </w:r>
    </w:p>
    <w:p w14:paraId="509A52D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建立多元化投融资体系</w:t>
      </w:r>
    </w:p>
    <w:p w14:paraId="7D50D60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稳定的资金渠道，对生态地位极为重要和生态极为脆弱地区的林地，加大保护资金投入力度，防止毁林和森林退化。争取加大财政扶持力度，建立林业补贴制度，对造林育林、林木良种和木本粮油、生物质能源林、珍贵树种及大径材培育给予财政扶持，促进林种树种结构优化；积极争取财政加大对林业投入力度，加快发展碳汇造林，增加全市森林碳汇，为积极主动地应对气候变化和节能减排发挥林业的特殊作用。确保林地确权、定界、调查、监测、档案管理以及林地执法、管护、用地审核等资金投入。积极鼓励和引导社会资金用于补充森林及林地资源，通过政策引导和优惠措施，推进社会多元主体投资环境保护和生态建设。</w:t>
      </w:r>
    </w:p>
    <w:p w14:paraId="3FB161B9">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完善林木采伐管理</w:t>
      </w:r>
    </w:p>
    <w:p w14:paraId="4828D077">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改革和完善集体林采伐管理，建立便捷高效的森林采伐审批机制。严格控制生态公益林采伐，允许经审批进行抚育和更新性质的生态公益林采伐。实现采伐由指标管理向森林可持续经营管理转变；加强森林经营方案执行力，将森林经营方案作为确定采伐指标的依据；将森林采伐管理与分区施策以及森林经营方案相结合，实行不同的采伐管理模式。</w:t>
      </w:r>
    </w:p>
    <w:p w14:paraId="18AAE365">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50" w:name="_Toc11442"/>
      <w:r>
        <w:rPr>
          <w:rFonts w:hint="default" w:ascii="Times New Roman" w:hAnsi="Times New Roman" w:eastAsia="楷体" w:cs="Times New Roman"/>
          <w:kern w:val="0"/>
          <w:sz w:val="32"/>
          <w:szCs w:val="32"/>
          <w:highlight w:val="none"/>
          <w:lang w:val="en-US" w:eastAsia="zh-CN" w:bidi="ar-SA"/>
        </w:rPr>
        <w:t>三、制度保障</w:t>
      </w:r>
      <w:bookmarkEnd w:id="50"/>
    </w:p>
    <w:p w14:paraId="434F58BF">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执行林地管理制度</w:t>
      </w:r>
    </w:p>
    <w:p w14:paraId="6AD4CC8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1.加强林地占用征收管理</w:t>
      </w:r>
    </w:p>
    <w:p w14:paraId="6E1DA8E5">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按现有林地管理条例和林地占用征收管理办法，严格执行林地定额管理和用途管制，规范占用征收林地审核审批程序，依法征收森林植被恢复费，坚决制止毁林开垦和乱占滥用林地行为，有效保护林地资源。上级下达的占用征收林地定额，是各地受理和审核建设项目占用征收林地面积的上限，必须严格执行，不得突破。优先安排交通、能源、水利等重点工程项目建设使用林地指标，确保重点工程项目依法占用征收林地，严格控制房地产、采石采矿取土项目使用林地。</w:t>
      </w:r>
    </w:p>
    <w:p w14:paraId="0C736B58">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2.加强林地林木权属管理</w:t>
      </w:r>
    </w:p>
    <w:p w14:paraId="0B888209">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规划一经审批，对确认的林地，依据有关法律法规，由不动产登记中心统一确权发放林权证，做到图、文、表一致，人、地、证相符。对已发放林权证的，应按照《中华人民共和国森林法》《中华人民共和国森林法实施条例》的有关规定进行管理，稳定林权；对尚未发放林权证的，应由不动产登记中心认真组织林地林权的实地勘界和林权证核发，权属落实到主体。</w:t>
      </w:r>
    </w:p>
    <w:p w14:paraId="2E148330">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完善林地管理机制</w:t>
      </w:r>
    </w:p>
    <w:p w14:paraId="7C13D827">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1.理顺林地保护利用管理体制</w:t>
      </w:r>
    </w:p>
    <w:p w14:paraId="1A1E46C6">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统一监管和分工负责的管理机制，明确政府、林业部门和相关部门的森林保护职责；加强林业部门建设，健全林地林权管理机构、基层林业工作站、林业行政执法机构等机构和队伍建设，强化教育培训，提高队伍素质和能力，强化综合决策能力，创新林地保护利用执法机制。</w:t>
      </w:r>
    </w:p>
    <w:p w14:paraId="4584CBA4">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2.建立林地保护利用协作管理机制</w:t>
      </w:r>
    </w:p>
    <w:p w14:paraId="61EEB875">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城管、自然资源、规划和建设等部门要依据《中华人民共和国森林法》《中华人民共和国土地管理法》等法律法规，建立协作机制，组织制定重大林地保护与发展政策，协调解决重大林地保护问题，形成林地保护利用管理工作的合力。</w:t>
      </w:r>
    </w:p>
    <w:p w14:paraId="319929AD">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ind w:firstLine="600" w:firstLineChars="200"/>
        <w:textAlignment w:val="auto"/>
        <w:outlineLvl w:val="3"/>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3.建立林地保护利用咨询制度</w:t>
      </w:r>
    </w:p>
    <w:p w14:paraId="7BFA5095">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建立由多学科专家组成的林地保护利用咨询机制，对经济与社会发展的重大决策、规划实施以及重大开发建设活动对林地发展与生态建设可能带来的环境影响进行充分研讨和咨询，为林地管理决策提供科学依据。</w:t>
      </w:r>
    </w:p>
    <w:p w14:paraId="0E82C734">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三</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强化监督检查制度</w:t>
      </w:r>
    </w:p>
    <w:p w14:paraId="20328A40">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加强规划实施监管。通过多种途径向社会公布和宣传规划，鼓励公众参与监督，畅通群众监督渠道，完善林地违法举报制度；建立健全监督评估制度，实行专项检查与经常性检查相结合，定期公布检查结果；强化规划实施情况的监测力度，及时发现、制止违反林地保护利用规划的行为，确保规划的执行。</w:t>
      </w:r>
    </w:p>
    <w:p w14:paraId="69009405">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51" w:name="_Toc28996"/>
      <w:r>
        <w:rPr>
          <w:rFonts w:hint="default" w:ascii="Times New Roman" w:hAnsi="Times New Roman" w:eastAsia="楷体" w:cs="Times New Roman"/>
          <w:kern w:val="0"/>
          <w:sz w:val="32"/>
          <w:szCs w:val="32"/>
          <w:highlight w:val="none"/>
          <w:lang w:val="en-US" w:eastAsia="zh-CN" w:bidi="ar-SA"/>
        </w:rPr>
        <w:t>四、科技保障</w:t>
      </w:r>
      <w:bookmarkEnd w:id="51"/>
    </w:p>
    <w:p w14:paraId="4B69F37E">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一</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构建林业科技支撑体系</w:t>
      </w:r>
    </w:p>
    <w:p w14:paraId="796BF327">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加强重点林业科技攻关，重点推进林木育种新技术、林分改造技术、森林可持续利用技术、林业信息技术开发应用等关键技术。加强林业科技示范推广工作，促进林业科技成果转化。</w:t>
      </w:r>
    </w:p>
    <w:p w14:paraId="1CBF9D3C">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ind w:leftChars="200"/>
        <w:jc w:val="left"/>
        <w:textAlignment w:val="auto"/>
        <w:outlineLvl w:val="2"/>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二</w:t>
      </w:r>
      <w:r>
        <w:rPr>
          <w:rFonts w:hint="default" w:ascii="Times New Roman" w:hAnsi="Times New Roman" w:eastAsia="仿宋_GB2312" w:cs="Times New Roman"/>
          <w:kern w:val="0"/>
          <w:sz w:val="30"/>
          <w:szCs w:val="30"/>
          <w:highlight w:val="none"/>
          <w:lang w:eastAsia="zh-CN" w:bidi="ar-SA"/>
        </w:rPr>
        <w:t>）</w:t>
      </w:r>
      <w:r>
        <w:rPr>
          <w:rFonts w:hint="default" w:ascii="Times New Roman" w:hAnsi="Times New Roman" w:eastAsia="仿宋_GB2312" w:cs="Times New Roman"/>
          <w:kern w:val="0"/>
          <w:sz w:val="30"/>
          <w:szCs w:val="30"/>
          <w:highlight w:val="none"/>
          <w:lang w:val="en-US" w:eastAsia="zh-CN" w:bidi="ar-SA"/>
        </w:rPr>
        <w:t>完善林地资源监测体系</w:t>
      </w:r>
    </w:p>
    <w:p w14:paraId="4C8D0537">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pPr>
      <w:r>
        <w:rPr>
          <w:rFonts w:hint="default" w:ascii="Times New Roman" w:hAnsi="Times New Roman" w:eastAsia="仿宋_GB2312" w:cs="Times New Roman"/>
          <w:kern w:val="0"/>
          <w:sz w:val="30"/>
          <w:szCs w:val="30"/>
          <w:highlight w:val="none"/>
          <w:lang w:val="en-US" w:eastAsia="zh-CN" w:bidi="ar-SA"/>
        </w:rPr>
        <w:t>加强林地监测机构和队伍建设，完善现有森林林地资源监测体系，推进林地监测的信息化；组织开展林地年度调查和动态监测，及时、准确地掌握林地利用动态变化及规划实施情况，发现、纠正和处理违反规划的行为。</w:t>
      </w:r>
    </w:p>
    <w:p w14:paraId="1542478C">
      <w:pPr>
        <w:rPr>
          <w:rFonts w:hint="eastAsia" w:ascii="仿宋_GB2312" w:hAnsi="Times New Roman" w:eastAsia="仿宋_GB2312" w:cs="Times New Roman"/>
          <w:kern w:val="0"/>
          <w:sz w:val="30"/>
          <w:szCs w:val="30"/>
          <w:highlight w:val="none"/>
          <w:lang w:val="en-US" w:eastAsia="zh-CN" w:bidi="ar-SA"/>
        </w:rPr>
      </w:pPr>
      <w:r>
        <w:rPr>
          <w:rFonts w:hint="eastAsia" w:ascii="仿宋_GB2312" w:hAnsi="Times New Roman" w:eastAsia="仿宋_GB2312" w:cs="Times New Roman"/>
          <w:kern w:val="0"/>
          <w:sz w:val="30"/>
          <w:szCs w:val="30"/>
          <w:highlight w:val="none"/>
          <w:lang w:val="en-US" w:eastAsia="zh-CN" w:bidi="ar-SA"/>
        </w:rPr>
        <w:br w:type="page"/>
      </w:r>
    </w:p>
    <w:p w14:paraId="1184DD7A">
      <w:pPr>
        <w:pStyle w:val="4"/>
        <w:keepNext w:val="0"/>
        <w:keepLines w:val="0"/>
        <w:pageBreakBefore w:val="0"/>
        <w:widowControl w:val="0"/>
        <w:numPr>
          <w:ilvl w:val="0"/>
          <w:numId w:val="0"/>
        </w:numPr>
        <w:kinsoku/>
        <w:wordWrap/>
        <w:overflowPunct/>
        <w:topLinePunct w:val="0"/>
        <w:autoSpaceDE/>
        <w:autoSpaceDN/>
        <w:bidi w:val="0"/>
        <w:adjustRightInd/>
        <w:snapToGrid/>
        <w:spacing w:before="157" w:beforeLines="50" w:line="276" w:lineRule="auto"/>
        <w:ind w:leftChars="0"/>
        <w:jc w:val="left"/>
        <w:textAlignment w:val="auto"/>
        <w:outlineLvl w:val="1"/>
        <w:rPr>
          <w:rFonts w:hint="default" w:ascii="Times New Roman" w:hAnsi="Times New Roman" w:eastAsia="楷体" w:cs="Times New Roman"/>
          <w:kern w:val="0"/>
          <w:sz w:val="32"/>
          <w:szCs w:val="32"/>
          <w:highlight w:val="none"/>
          <w:lang w:val="en-US" w:eastAsia="zh-CN" w:bidi="ar-SA"/>
        </w:rPr>
      </w:pPr>
      <w:bookmarkStart w:id="52" w:name="_Toc19648"/>
      <w:r>
        <w:rPr>
          <w:rFonts w:hint="default" w:ascii="Times New Roman" w:hAnsi="Times New Roman" w:eastAsia="楷体" w:cs="Times New Roman"/>
          <w:kern w:val="0"/>
          <w:sz w:val="32"/>
          <w:szCs w:val="32"/>
          <w:highlight w:val="none"/>
          <w:lang w:val="en-US" w:eastAsia="zh-CN" w:bidi="ar-SA"/>
        </w:rPr>
        <w:t>五、资金保障</w:t>
      </w:r>
      <w:bookmarkEnd w:id="52"/>
    </w:p>
    <w:p w14:paraId="18A27C5D">
      <w:pPr>
        <w:keepNext w:val="0"/>
        <w:keepLines w:val="0"/>
        <w:pageBreakBefore w:val="0"/>
        <w:widowControl/>
        <w:suppressLineNumbers w:val="0"/>
        <w:kinsoku/>
        <w:wordWrap/>
        <w:overflowPunct/>
        <w:topLinePunct w:val="0"/>
        <w:autoSpaceDE/>
        <w:autoSpaceDN/>
        <w:bidi w:val="0"/>
        <w:adjustRightInd/>
        <w:snapToGrid/>
        <w:spacing w:line="560" w:lineRule="exact"/>
        <w:ind w:firstLine="600" w:firstLineChars="200"/>
        <w:jc w:val="both"/>
        <w:textAlignment w:val="auto"/>
        <w:rPr>
          <w:rFonts w:hint="default" w:ascii="Times New Roman" w:hAnsi="Times New Roman" w:eastAsia="仿宋_GB2312" w:cs="Times New Roman"/>
          <w:kern w:val="0"/>
          <w:sz w:val="30"/>
          <w:szCs w:val="30"/>
          <w:highlight w:val="none"/>
          <w:lang w:val="en-US"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hint="default" w:ascii="Times New Roman" w:hAnsi="Times New Roman" w:eastAsia="仿宋_GB2312" w:cs="Times New Roman"/>
          <w:kern w:val="0"/>
          <w:sz w:val="30"/>
          <w:szCs w:val="30"/>
          <w:highlight w:val="none"/>
          <w:lang w:val="en-US" w:eastAsia="zh-CN" w:bidi="ar-SA"/>
        </w:rPr>
        <w:t>建立财政投入为主体、社会投入为基础的资金保障机制，积极创新工程建设投融资机制，鼓励企业、社会团体、公民投资或捐资造林绿化，逐步建立政府主导、投资主体多元化、投资渠道和投资方式多样化的有效机制，保障各项规划建设资金投入，在积极争取国家和省重点林业项目支持、稳步增加现有城乡造林绿化投入的基础上，设立专项创建资金。乡镇（街道）和有关部门应按照分解下达的目标任务，确保创建资金落实到位。各部门和各单位应完善资金管理控制制度，规范重点工程资金的使用管理，切实提高资金的使用效益。财政和审计部门要加强监督、检查，严禁任何单位和个人以任何理由和形式挤占和挪用建设资金。</w:t>
      </w:r>
    </w:p>
    <w:p w14:paraId="639498B9">
      <w:pPr>
        <w:pStyle w:val="3"/>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textAlignment w:val="auto"/>
        <w:rPr>
          <w:rFonts w:hint="default" w:ascii="Times New Roman" w:hAnsi="Times New Roman" w:eastAsia="黑体" w:cs="Times New Roman"/>
          <w:b w:val="0"/>
          <w:bCs/>
          <w:sz w:val="28"/>
          <w:szCs w:val="28"/>
          <w:lang w:val="en-US" w:eastAsia="zh-CN"/>
        </w:rPr>
      </w:pPr>
      <w:bookmarkStart w:id="53" w:name="_Toc23628"/>
      <w:bookmarkStart w:id="54" w:name="_Toc6298"/>
      <w:bookmarkStart w:id="55" w:name="_Toc19107"/>
      <w:bookmarkStart w:id="56" w:name="_Toc8600"/>
      <w:bookmarkStart w:id="57" w:name="_Toc14496"/>
      <w:bookmarkStart w:id="58" w:name="_Toc18458"/>
      <w:bookmarkStart w:id="59" w:name="_Toc1959"/>
      <w:r>
        <w:rPr>
          <w:rFonts w:hint="default" w:ascii="Times New Roman" w:hAnsi="Times New Roman" w:eastAsia="黑体" w:cs="Times New Roman"/>
          <w:b w:val="0"/>
          <w:bCs/>
          <w:sz w:val="28"/>
          <w:szCs w:val="28"/>
          <w:lang w:val="en-US" w:eastAsia="zh-CN"/>
        </w:rPr>
        <w:t>附表</w:t>
      </w:r>
      <w:bookmarkEnd w:id="53"/>
      <w:bookmarkEnd w:id="54"/>
      <w:bookmarkEnd w:id="55"/>
      <w:bookmarkEnd w:id="56"/>
      <w:bookmarkEnd w:id="57"/>
      <w:bookmarkEnd w:id="58"/>
      <w:bookmarkEnd w:id="59"/>
      <w:r>
        <w:rPr>
          <w:rFonts w:hint="eastAsia" w:eastAsia="黑体" w:cs="Times New Roman"/>
          <w:b w:val="0"/>
          <w:bCs/>
          <w:sz w:val="28"/>
          <w:szCs w:val="28"/>
          <w:lang w:val="en-US" w:eastAsia="zh-CN"/>
        </w:rPr>
        <w:t>1</w:t>
      </w:r>
    </w:p>
    <w:p w14:paraId="063B67E7">
      <w:pPr>
        <w:pStyle w:val="2"/>
        <w:jc w:val="center"/>
        <w:rPr>
          <w:rFonts w:hint="eastAsia" w:eastAsia="黑体" w:cs="Times New Roman"/>
          <w:b w:val="0"/>
          <w:bCs/>
          <w:sz w:val="28"/>
          <w:szCs w:val="28"/>
          <w:lang w:val="en-US" w:eastAsia="zh-CN"/>
        </w:rPr>
      </w:pPr>
      <w:r>
        <w:rPr>
          <w:rFonts w:hint="eastAsia" w:eastAsia="黑体" w:cs="Times New Roman"/>
          <w:b w:val="0"/>
          <w:bCs/>
          <w:sz w:val="28"/>
          <w:szCs w:val="28"/>
          <w:lang w:val="en-US" w:eastAsia="zh-CN"/>
        </w:rPr>
        <w:t>林地现状面积统计表</w:t>
      </w:r>
    </w:p>
    <w:p w14:paraId="5DB3FD6B">
      <w:pPr>
        <w:pStyle w:val="2"/>
        <w:jc w:val="right"/>
        <w:rPr>
          <w:rFonts w:hint="default" w:ascii="黑体" w:hAnsi="黑体" w:eastAsia="黑体" w:cs="黑体"/>
          <w:i w:val="0"/>
          <w:color w:val="auto"/>
          <w:kern w:val="0"/>
          <w:sz w:val="21"/>
          <w:szCs w:val="21"/>
          <w:u w:val="none"/>
          <w:lang w:val="en-US" w:eastAsia="zh-CN" w:bidi="ar"/>
        </w:rPr>
      </w:pPr>
      <w:r>
        <w:rPr>
          <w:rFonts w:hint="eastAsia" w:ascii="黑体" w:hAnsi="黑体" w:eastAsia="黑体" w:cs="黑体"/>
          <w:i w:val="0"/>
          <w:color w:val="auto"/>
          <w:kern w:val="0"/>
          <w:sz w:val="21"/>
          <w:szCs w:val="21"/>
          <w:u w:val="none"/>
          <w:lang w:val="en-US" w:eastAsia="zh-CN" w:bidi="ar"/>
        </w:rPr>
        <w:t>单位：公顷</w:t>
      </w:r>
    </w:p>
    <w:tbl>
      <w:tblPr>
        <w:tblStyle w:val="10"/>
        <w:tblW w:w="5385" w:type="pct"/>
        <w:tblInd w:w="-85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220"/>
        <w:gridCol w:w="640"/>
        <w:gridCol w:w="840"/>
        <w:gridCol w:w="1240"/>
        <w:gridCol w:w="1380"/>
        <w:gridCol w:w="1240"/>
        <w:gridCol w:w="1040"/>
        <w:gridCol w:w="960"/>
        <w:gridCol w:w="1160"/>
        <w:gridCol w:w="1500"/>
        <w:gridCol w:w="1080"/>
        <w:gridCol w:w="1160"/>
        <w:gridCol w:w="1020"/>
        <w:gridCol w:w="1160"/>
        <w:gridCol w:w="1180"/>
        <w:gridCol w:w="1240"/>
        <w:gridCol w:w="1260"/>
        <w:gridCol w:w="1240"/>
        <w:gridCol w:w="1140"/>
        <w:gridCol w:w="1077"/>
      </w:tblGrid>
      <w:tr w14:paraId="0E4EC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blHeader/>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CCBD3">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统计单位</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89D6F">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权属</w:t>
            </w:r>
          </w:p>
        </w:tc>
        <w:tc>
          <w:tcPr>
            <w:tcW w:w="18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2E77">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起源</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C0E1E3">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土地总面积</w:t>
            </w:r>
          </w:p>
        </w:tc>
        <w:tc>
          <w:tcPr>
            <w:tcW w:w="3898" w:type="pct"/>
            <w:gridSpan w:val="15"/>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C1D8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林地</w:t>
            </w:r>
          </w:p>
        </w:tc>
        <w:tc>
          <w:tcPr>
            <w:tcW w:w="23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577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仿宋_GB2312" w:hAnsi="宋体" w:eastAsia="仿宋_GB2312" w:cs="仿宋_GB2312"/>
                <w:b/>
                <w:bCs/>
                <w:i w:val="0"/>
                <w:iCs w:val="0"/>
                <w:color w:val="000000"/>
                <w:kern w:val="0"/>
                <w:sz w:val="24"/>
                <w:szCs w:val="24"/>
                <w:u w:val="none"/>
                <w:lang w:val="en-US" w:eastAsia="zh-CN" w:bidi="ar"/>
              </w:rPr>
              <w:t>非林地</w:t>
            </w:r>
          </w:p>
        </w:tc>
      </w:tr>
      <w:tr w14:paraId="18ACC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CD33A">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C3F2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46080">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024AD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30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E40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合计</w:t>
            </w:r>
          </w:p>
        </w:tc>
        <w:tc>
          <w:tcPr>
            <w:tcW w:w="27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36E47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乔木林地</w:t>
            </w:r>
          </w:p>
        </w:tc>
        <w:tc>
          <w:tcPr>
            <w:tcW w:w="22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71767">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竹林地</w:t>
            </w:r>
          </w:p>
        </w:tc>
        <w:tc>
          <w:tcPr>
            <w:tcW w:w="21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CB66F">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红树林</w:t>
            </w:r>
          </w:p>
        </w:tc>
        <w:tc>
          <w:tcPr>
            <w:tcW w:w="821" w:type="pct"/>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AA9AC">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灌木林地</w:t>
            </w:r>
          </w:p>
        </w:tc>
        <w:tc>
          <w:tcPr>
            <w:tcW w:w="2063"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33E4D">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其他林地</w:t>
            </w: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7E465">
            <w:pPr>
              <w:jc w:val="center"/>
              <w:rPr>
                <w:rFonts w:hint="eastAsia" w:ascii="宋体" w:hAnsi="宋体" w:eastAsia="宋体" w:cs="宋体"/>
                <w:i w:val="0"/>
                <w:iCs w:val="0"/>
                <w:color w:val="000000"/>
                <w:sz w:val="20"/>
                <w:szCs w:val="20"/>
                <w:u w:val="none"/>
              </w:rPr>
            </w:pPr>
          </w:p>
        </w:tc>
      </w:tr>
      <w:tr w14:paraId="63E4A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AB9E">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8225">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18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CA0EF">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20D1C">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30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16C4">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27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05EB3">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22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1EAB9">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21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4EF7E">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2EF7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小计</w:t>
            </w: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71E1D">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国家特别规定灌木林地</w:t>
            </w: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83306">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其他灌木林地</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90A7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小计</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7AA3">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疏林地</w:t>
            </w: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EBF40">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未成林造林地</w:t>
            </w:r>
          </w:p>
        </w:tc>
        <w:tc>
          <w:tcPr>
            <w:tcW w:w="2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FD872">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苗圃地</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AE0B">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采伐迹地</w:t>
            </w:r>
          </w:p>
        </w:tc>
        <w:tc>
          <w:tcPr>
            <w:tcW w:w="27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0BDF">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火烧迹地</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6E48D">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其他迹地</w:t>
            </w:r>
          </w:p>
        </w:tc>
        <w:tc>
          <w:tcPr>
            <w:tcW w:w="25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DA02F">
            <w:pPr>
              <w:keepNext w:val="0"/>
              <w:keepLines w:val="0"/>
              <w:widowControl/>
              <w:suppressLineNumbers w:val="0"/>
              <w:spacing w:line="240" w:lineRule="auto"/>
              <w:ind w:firstLine="0" w:firstLineChars="0"/>
              <w:jc w:val="center"/>
              <w:textAlignment w:val="center"/>
              <w:rPr>
                <w:rFonts w:hint="eastAsia" w:ascii="仿宋_GB2312" w:hAnsi="宋体" w:eastAsia="仿宋_GB2312" w:cs="仿宋_GB2312"/>
                <w:b/>
                <w:bCs/>
                <w:i w:val="0"/>
                <w:iCs w:val="0"/>
                <w:color w:val="000000"/>
                <w:kern w:val="0"/>
                <w:sz w:val="24"/>
                <w:szCs w:val="24"/>
                <w:u w:val="none"/>
                <w:lang w:val="en-US" w:eastAsia="zh-CN" w:bidi="ar"/>
              </w:rPr>
            </w:pPr>
            <w:r>
              <w:rPr>
                <w:rFonts w:hint="eastAsia" w:ascii="仿宋_GB2312" w:hAnsi="宋体" w:eastAsia="仿宋_GB2312" w:cs="仿宋_GB2312"/>
                <w:b/>
                <w:bCs/>
                <w:i w:val="0"/>
                <w:iCs w:val="0"/>
                <w:color w:val="000000"/>
                <w:kern w:val="0"/>
                <w:sz w:val="24"/>
                <w:szCs w:val="24"/>
                <w:u w:val="none"/>
                <w:lang w:val="en-US" w:eastAsia="zh-CN" w:bidi="ar"/>
              </w:rPr>
              <w:t>其他</w:t>
            </w:r>
          </w:p>
        </w:tc>
        <w:tc>
          <w:tcPr>
            <w:tcW w:w="23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5BBB0">
            <w:pPr>
              <w:jc w:val="center"/>
              <w:rPr>
                <w:rFonts w:hint="eastAsia" w:ascii="宋体" w:hAnsi="宋体" w:eastAsia="宋体" w:cs="宋体"/>
                <w:i w:val="0"/>
                <w:iCs w:val="0"/>
                <w:color w:val="000000"/>
                <w:sz w:val="20"/>
                <w:szCs w:val="20"/>
                <w:u w:val="none"/>
              </w:rPr>
            </w:pPr>
          </w:p>
        </w:tc>
      </w:tr>
      <w:tr w14:paraId="761AB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restart"/>
            <w:tcBorders>
              <w:top w:val="single" w:color="000000" w:sz="4" w:space="0"/>
              <w:left w:val="single" w:color="000000" w:sz="4" w:space="0"/>
              <w:bottom w:val="nil"/>
              <w:right w:val="single" w:color="000000" w:sz="4" w:space="0"/>
            </w:tcBorders>
            <w:shd w:val="clear" w:color="auto" w:fill="auto"/>
            <w:noWrap/>
            <w:vAlign w:val="center"/>
          </w:tcPr>
          <w:p w14:paraId="5D4D3C0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琼海市</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51C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0B9C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D05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171587.76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FE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129362.95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6F92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115436.69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C679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585.97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6D8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18.50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799F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520.68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B80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520.68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70C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F4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12801.11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606CC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6CE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14.38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09A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233.09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20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330.60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C3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05F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274.03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C28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11947.68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BCC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42224.81 </w:t>
            </w:r>
          </w:p>
        </w:tc>
      </w:tr>
      <w:tr w14:paraId="0B4F3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327A0A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CC6F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2BE9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AB4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F5FB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1848.60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609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1848.60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CE48">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C1B4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F50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693F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40D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09D9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BE76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974F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A7375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7B53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A920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2AC4A">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E640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8DBE3">
            <w:pPr>
              <w:jc w:val="center"/>
              <w:rPr>
                <w:rFonts w:hint="default" w:ascii="Times New Roman" w:hAnsi="Times New Roman" w:eastAsia="宋体" w:cs="Times New Roman"/>
                <w:i w:val="0"/>
                <w:iCs w:val="0"/>
                <w:color w:val="000000"/>
                <w:sz w:val="22"/>
                <w:szCs w:val="22"/>
                <w:u w:val="none"/>
              </w:rPr>
            </w:pPr>
          </w:p>
        </w:tc>
      </w:tr>
      <w:tr w14:paraId="23D52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EBAE53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B860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D30B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EE9C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66B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114727.62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0EF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113588.09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448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585.97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8C8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18.50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718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520.68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0AC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520.68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FDA9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7F9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5F87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EE8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14.38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797B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076C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98D1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6A4E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DF01">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B09DD">
            <w:pPr>
              <w:jc w:val="center"/>
              <w:rPr>
                <w:rFonts w:hint="default" w:ascii="Times New Roman" w:hAnsi="Times New Roman" w:eastAsia="宋体" w:cs="Times New Roman"/>
                <w:i w:val="0"/>
                <w:iCs w:val="0"/>
                <w:color w:val="000000"/>
                <w:sz w:val="22"/>
                <w:szCs w:val="22"/>
                <w:u w:val="none"/>
              </w:rPr>
            </w:pPr>
          </w:p>
        </w:tc>
      </w:tr>
      <w:tr w14:paraId="256512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DC61C0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62E93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3B81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85DF5">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C64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12786.73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8A562">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0E842">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461C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5ADD3">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319D6">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68F7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F2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12786.73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C7E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26F08">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662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233.09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04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330.60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3A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0E1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274.03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742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11947.68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038F5">
            <w:pPr>
              <w:jc w:val="center"/>
              <w:rPr>
                <w:rFonts w:hint="default" w:ascii="Times New Roman" w:hAnsi="Times New Roman" w:eastAsia="宋体" w:cs="Times New Roman"/>
                <w:i w:val="0"/>
                <w:iCs w:val="0"/>
                <w:color w:val="000000"/>
                <w:sz w:val="22"/>
                <w:szCs w:val="22"/>
                <w:u w:val="none"/>
              </w:rPr>
            </w:pPr>
          </w:p>
        </w:tc>
      </w:tr>
      <w:tr w14:paraId="7D91EB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6A2857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361C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FA1E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18F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78848.04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A08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61095.84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C9B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55737.62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C30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285.53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E53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0.39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62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96E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EBC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DAC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4961.57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8B1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1FBA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8.71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809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58.97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C7E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125.97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ECF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C41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140.16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435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4627.04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BD0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17752.20 </w:t>
            </w:r>
          </w:p>
        </w:tc>
      </w:tr>
      <w:tr w14:paraId="2911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1F114C2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DF24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01C9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937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19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47.67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B29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47.67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630DD">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1290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B900D">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2905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759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43D7B">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A64B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BF7B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3FE5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F506">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3102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09A9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AE4C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CEFAE">
            <w:pPr>
              <w:jc w:val="center"/>
              <w:rPr>
                <w:rFonts w:hint="default" w:ascii="Times New Roman" w:hAnsi="Times New Roman" w:eastAsia="宋体" w:cs="Times New Roman"/>
                <w:i w:val="0"/>
                <w:iCs w:val="0"/>
                <w:color w:val="000000"/>
                <w:sz w:val="22"/>
                <w:szCs w:val="22"/>
                <w:u w:val="none"/>
              </w:rPr>
            </w:pPr>
          </w:p>
        </w:tc>
      </w:tr>
      <w:tr w14:paraId="01B37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AC4EE7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0477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E632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BF0D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25FE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56095.29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15D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55689.95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760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285.53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92B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0.39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077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110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B397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E2A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5185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896D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8.71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6CF6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7B3C4">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D7FE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A23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09006">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62E2A">
            <w:pPr>
              <w:jc w:val="center"/>
              <w:rPr>
                <w:rFonts w:hint="default" w:ascii="Times New Roman" w:hAnsi="Times New Roman" w:eastAsia="宋体" w:cs="Times New Roman"/>
                <w:i w:val="0"/>
                <w:iCs w:val="0"/>
                <w:color w:val="000000"/>
                <w:sz w:val="22"/>
                <w:szCs w:val="22"/>
                <w:u w:val="none"/>
              </w:rPr>
            </w:pPr>
          </w:p>
        </w:tc>
      </w:tr>
      <w:tr w14:paraId="68FF3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2BE6E05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B01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3F9A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D166F">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63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4952.86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427E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564E1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7F44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DAC8B">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6B145">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83A2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9CE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4952.86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03F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0835C">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A07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58.97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248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125.97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D6C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1C0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140.16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4E2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4627.04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5F8B9">
            <w:pPr>
              <w:jc w:val="center"/>
              <w:rPr>
                <w:rFonts w:hint="default" w:ascii="Times New Roman" w:hAnsi="Times New Roman" w:eastAsia="宋体" w:cs="Times New Roman"/>
                <w:i w:val="0"/>
                <w:iCs w:val="0"/>
                <w:color w:val="000000"/>
                <w:sz w:val="22"/>
                <w:szCs w:val="22"/>
                <w:u w:val="none"/>
              </w:rPr>
            </w:pPr>
          </w:p>
        </w:tc>
      </w:tr>
      <w:tr w14:paraId="78D613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56A5081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80C4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9EC9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E5B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92739.72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A1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68267.11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256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59699.08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806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300.44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1AE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18.11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6684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409.97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475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409.97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54E2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DF91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7839.53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9A75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8C78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5.66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1A2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174.12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52A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204.63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899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717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133.87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6A2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7320.64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43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24472.61 </w:t>
            </w:r>
          </w:p>
        </w:tc>
      </w:tr>
      <w:tr w14:paraId="3590E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3F3BD68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84D1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53F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873E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0CC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1800.93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0D9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1800.93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78A93">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2208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82F92">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3AC3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731E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64EF">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F6FD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25A44">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4739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1188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FE55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3E4BF">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6005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D13AF">
            <w:pPr>
              <w:jc w:val="center"/>
              <w:rPr>
                <w:rFonts w:hint="default" w:ascii="Times New Roman" w:hAnsi="Times New Roman" w:eastAsia="宋体" w:cs="Times New Roman"/>
                <w:i w:val="0"/>
                <w:iCs w:val="0"/>
                <w:color w:val="000000"/>
                <w:sz w:val="22"/>
                <w:szCs w:val="22"/>
                <w:u w:val="none"/>
              </w:rPr>
            </w:pPr>
          </w:p>
        </w:tc>
      </w:tr>
      <w:tr w14:paraId="1DE96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05CBD2D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0927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329F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BE5B2">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12CE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58632.32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F09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57898.14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04F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300.44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E6D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18.11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285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409.97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24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409.97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7168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10C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AF55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489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5.66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18DE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AAB0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B77C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3E58B">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052A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5AC07">
            <w:pPr>
              <w:jc w:val="center"/>
              <w:rPr>
                <w:rFonts w:hint="default" w:ascii="Times New Roman" w:hAnsi="Times New Roman" w:eastAsia="宋体" w:cs="Times New Roman"/>
                <w:i w:val="0"/>
                <w:iCs w:val="0"/>
                <w:color w:val="000000"/>
                <w:sz w:val="22"/>
                <w:szCs w:val="22"/>
                <w:u w:val="none"/>
              </w:rPr>
            </w:pPr>
          </w:p>
        </w:tc>
      </w:tr>
      <w:tr w14:paraId="6B1525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nil"/>
              <w:right w:val="single" w:color="000000" w:sz="4" w:space="0"/>
            </w:tcBorders>
            <w:shd w:val="clear" w:color="auto" w:fill="auto"/>
            <w:noWrap/>
            <w:vAlign w:val="center"/>
          </w:tcPr>
          <w:p w14:paraId="7634518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B399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1A4E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25F8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83B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7833.87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127E8D">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BAB4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21D9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FDFE2">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9C078">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4BC2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40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7833.87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AC9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91C8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A7C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174.12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28E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204.63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9375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2E6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133.87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5E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7320.64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F7C35">
            <w:pPr>
              <w:jc w:val="center"/>
              <w:rPr>
                <w:rFonts w:hint="default" w:ascii="Times New Roman" w:hAnsi="Times New Roman" w:eastAsia="宋体" w:cs="Times New Roman"/>
                <w:i w:val="0"/>
                <w:iCs w:val="0"/>
                <w:color w:val="000000"/>
                <w:sz w:val="22"/>
                <w:szCs w:val="22"/>
                <w:u w:val="none"/>
              </w:rPr>
            </w:pPr>
          </w:p>
        </w:tc>
      </w:tr>
      <w:tr w14:paraId="545D7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B17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嘉积镇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A29C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2D77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77A3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15519.03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F38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8201.09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19E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6914.78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F6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5826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6DE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A0C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7ABF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467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1154.06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0E07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72C5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685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1054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23.43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BCCF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3A6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749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1122.20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70A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7317.93 </w:t>
            </w:r>
          </w:p>
        </w:tc>
      </w:tr>
      <w:tr w14:paraId="7B377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C879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6061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D9F6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4E45">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E2C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25.77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C9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25.77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8CBF2">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3EB9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6C0B6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D7B62">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C7A2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00FB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A9F3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282E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73B2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A551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AFA0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2A5BA">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3B0A3">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752AD">
            <w:pPr>
              <w:jc w:val="center"/>
              <w:rPr>
                <w:rFonts w:hint="default" w:ascii="Times New Roman" w:hAnsi="Times New Roman" w:eastAsia="宋体" w:cs="Times New Roman"/>
                <w:i w:val="0"/>
                <w:iCs w:val="0"/>
                <w:color w:val="000000"/>
                <w:sz w:val="22"/>
                <w:szCs w:val="22"/>
                <w:u w:val="none"/>
              </w:rPr>
            </w:pPr>
          </w:p>
        </w:tc>
      </w:tr>
      <w:tr w14:paraId="084D5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AB2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0A43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FB8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79E56">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FBF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7021.25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DD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6889.01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D03F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9698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65E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DC6D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AA08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2369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F8B44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66ACC">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7C4B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0D72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AFFA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2A34F">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BB9AF">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DE443">
            <w:pPr>
              <w:jc w:val="center"/>
              <w:rPr>
                <w:rFonts w:hint="default" w:ascii="Times New Roman" w:hAnsi="Times New Roman" w:eastAsia="宋体" w:cs="Times New Roman"/>
                <w:i w:val="0"/>
                <w:iCs w:val="0"/>
                <w:color w:val="000000"/>
                <w:sz w:val="22"/>
                <w:szCs w:val="22"/>
                <w:u w:val="none"/>
              </w:rPr>
            </w:pPr>
          </w:p>
        </w:tc>
      </w:tr>
      <w:tr w14:paraId="7B4ED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C429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F24C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E6A8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5D86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2F5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0B5D2">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3393B">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A8D9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DB06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0D661">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A2A7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26F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1154.06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A21D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0A8B9">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FC8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85F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23.43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7BDA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F76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11EC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1122.20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BD62">
            <w:pPr>
              <w:jc w:val="center"/>
              <w:rPr>
                <w:rFonts w:hint="default" w:ascii="Times New Roman" w:hAnsi="Times New Roman" w:eastAsia="宋体" w:cs="Times New Roman"/>
                <w:i w:val="0"/>
                <w:iCs w:val="0"/>
                <w:color w:val="000000"/>
                <w:sz w:val="22"/>
                <w:szCs w:val="22"/>
                <w:u w:val="none"/>
              </w:rPr>
            </w:pPr>
          </w:p>
        </w:tc>
      </w:tr>
      <w:tr w14:paraId="070A4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3941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165B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8332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BD7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15515.69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B0B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8198.69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59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6912.38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1F5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D7A3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14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560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64CC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A809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1154.06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D05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F0830">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28E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F4D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23.43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C70C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DCA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27C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1122.20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7CD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7317.00 </w:t>
            </w:r>
          </w:p>
        </w:tc>
      </w:tr>
      <w:tr w14:paraId="62E50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E9FF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C93C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5BD8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A1B0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E13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25.77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536D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25.77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D3FF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DB73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14742">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0D82E">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793B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D5878">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A98F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5729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56B6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78E32">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ED6C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368B4">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B9B43">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68CA3">
            <w:pPr>
              <w:jc w:val="center"/>
              <w:rPr>
                <w:rFonts w:hint="default" w:ascii="Times New Roman" w:hAnsi="Times New Roman" w:eastAsia="宋体" w:cs="Times New Roman"/>
                <w:i w:val="0"/>
                <w:iCs w:val="0"/>
                <w:color w:val="000000"/>
                <w:sz w:val="22"/>
                <w:szCs w:val="22"/>
                <w:u w:val="none"/>
              </w:rPr>
            </w:pPr>
          </w:p>
        </w:tc>
      </w:tr>
      <w:tr w14:paraId="1DE97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37A3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D258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C911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5B9C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8F4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7018.84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278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6886.60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E90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110.74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99CC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98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27C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21.50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186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96B8E">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65B9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D40F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7836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4D4A8">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4860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54E72">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2C046">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03D50">
            <w:pPr>
              <w:jc w:val="center"/>
              <w:rPr>
                <w:rFonts w:hint="default" w:ascii="Times New Roman" w:hAnsi="Times New Roman" w:eastAsia="宋体" w:cs="Times New Roman"/>
                <w:i w:val="0"/>
                <w:iCs w:val="0"/>
                <w:color w:val="000000"/>
                <w:sz w:val="22"/>
                <w:szCs w:val="22"/>
                <w:u w:val="none"/>
              </w:rPr>
            </w:pPr>
          </w:p>
        </w:tc>
      </w:tr>
      <w:tr w14:paraId="37431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B4A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9340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955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513E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FEE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D16FF1">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53F0E5">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D2B4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9451D">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D547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398E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8CD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1154.06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DD22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33B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D03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65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23.43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25F1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AFA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A0E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1122.20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09750">
            <w:pPr>
              <w:jc w:val="center"/>
              <w:rPr>
                <w:rFonts w:hint="default" w:ascii="Times New Roman" w:hAnsi="Times New Roman" w:eastAsia="宋体" w:cs="Times New Roman"/>
                <w:i w:val="0"/>
                <w:iCs w:val="0"/>
                <w:color w:val="000000"/>
                <w:sz w:val="22"/>
                <w:szCs w:val="22"/>
                <w:u w:val="none"/>
              </w:rPr>
            </w:pPr>
          </w:p>
        </w:tc>
      </w:tr>
      <w:tr w14:paraId="0D3EF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2212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BA26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DCF2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48A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3.34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5E7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F18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7CF95">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6149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5181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B165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D34B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0633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C9F5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5F14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342D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EA41A">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E18B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739B2">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654D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B76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0.93 </w:t>
            </w:r>
          </w:p>
        </w:tc>
      </w:tr>
      <w:tr w14:paraId="2EBC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16A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0B4B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9AD9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9543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89A4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E75C8">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DD952">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F2F0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B125C">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371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61B8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9A1B">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6659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01D68">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8323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1A81">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4838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B3F2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D6F3F">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B6CE7">
            <w:pPr>
              <w:jc w:val="center"/>
              <w:rPr>
                <w:rFonts w:hint="default" w:ascii="Times New Roman" w:hAnsi="Times New Roman" w:eastAsia="宋体" w:cs="Times New Roman"/>
                <w:i w:val="0"/>
                <w:iCs w:val="0"/>
                <w:color w:val="000000"/>
                <w:sz w:val="22"/>
                <w:szCs w:val="22"/>
                <w:u w:val="none"/>
              </w:rPr>
            </w:pPr>
          </w:p>
        </w:tc>
      </w:tr>
      <w:tr w14:paraId="22559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7899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15A0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A6A2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C9E1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744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98A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CBF1B">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C98F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7D7BF">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807B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C1DD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7ACC8">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FD9B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B0BC4">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DAB4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DC96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D4EC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B341E">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1FA4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D6D39">
            <w:pPr>
              <w:jc w:val="center"/>
              <w:rPr>
                <w:rFonts w:hint="default" w:ascii="Times New Roman" w:hAnsi="Times New Roman" w:eastAsia="宋体" w:cs="Times New Roman"/>
                <w:i w:val="0"/>
                <w:iCs w:val="0"/>
                <w:color w:val="000000"/>
                <w:sz w:val="22"/>
                <w:szCs w:val="22"/>
                <w:u w:val="none"/>
              </w:rPr>
            </w:pPr>
          </w:p>
        </w:tc>
      </w:tr>
      <w:tr w14:paraId="1248A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3496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7ADB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ECCA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86F3C6">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08E1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0044C">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B8BBD">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FDFB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03C0">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3E34B">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DDF5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DF1A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562D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526E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709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BEF6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9542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D1D04">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7CD94">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AD3C6">
            <w:pPr>
              <w:jc w:val="center"/>
              <w:rPr>
                <w:rFonts w:hint="default" w:ascii="Times New Roman" w:hAnsi="Times New Roman" w:eastAsia="宋体" w:cs="Times New Roman"/>
                <w:i w:val="0"/>
                <w:iCs w:val="0"/>
                <w:color w:val="000000"/>
                <w:sz w:val="22"/>
                <w:szCs w:val="22"/>
                <w:u w:val="none"/>
              </w:rPr>
            </w:pPr>
          </w:p>
        </w:tc>
      </w:tr>
      <w:tr w14:paraId="3E06C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4ED6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万泉镇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CED0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95F8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2C8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15882.76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866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13629.80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831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12831.75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23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38.99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465D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A8A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E9E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4594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532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722.68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B24F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E3CB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9D47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6D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499C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86B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071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722.06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548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2252.96 </w:t>
            </w:r>
          </w:p>
        </w:tc>
      </w:tr>
      <w:tr w14:paraId="1531F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1346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431C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C8FC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E0F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A834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59DC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E721B">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0E38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A5F17">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D96F0">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6DB6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6B7B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EC6D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0BDD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53C8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4F2B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6E90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F02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7C12">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4F04A">
            <w:pPr>
              <w:jc w:val="center"/>
              <w:rPr>
                <w:rFonts w:hint="default" w:ascii="Times New Roman" w:hAnsi="Times New Roman" w:eastAsia="宋体" w:cs="Times New Roman"/>
                <w:i w:val="0"/>
                <w:iCs w:val="0"/>
                <w:color w:val="000000"/>
                <w:sz w:val="22"/>
                <w:szCs w:val="22"/>
                <w:u w:val="none"/>
              </w:rPr>
            </w:pPr>
          </w:p>
        </w:tc>
      </w:tr>
      <w:tr w14:paraId="58BA0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625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02C3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909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7B0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9E4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12907.13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C07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12831.75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B67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38.99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5FC2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F2F3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C3E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05DA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9EE66">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380F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3DC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7616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E6A8B">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21D5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21CE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F38B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2EA73">
            <w:pPr>
              <w:jc w:val="center"/>
              <w:rPr>
                <w:rFonts w:hint="default" w:ascii="Times New Roman" w:hAnsi="Times New Roman" w:eastAsia="宋体" w:cs="Times New Roman"/>
                <w:i w:val="0"/>
                <w:iCs w:val="0"/>
                <w:color w:val="000000"/>
                <w:sz w:val="22"/>
                <w:szCs w:val="22"/>
                <w:u w:val="none"/>
              </w:rPr>
            </w:pPr>
          </w:p>
        </w:tc>
      </w:tr>
      <w:tr w14:paraId="5430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4F11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D5E9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052B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334F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640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722.68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5C14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4313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B526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6E59B">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BF69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71B9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428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722.68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AA6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5B78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06B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C49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A31A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C8B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4E8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722.06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6B7A6">
            <w:pPr>
              <w:jc w:val="center"/>
              <w:rPr>
                <w:rFonts w:hint="default" w:ascii="Times New Roman" w:hAnsi="Times New Roman" w:eastAsia="宋体" w:cs="Times New Roman"/>
                <w:i w:val="0"/>
                <w:iCs w:val="0"/>
                <w:color w:val="000000"/>
                <w:sz w:val="22"/>
                <w:szCs w:val="22"/>
                <w:u w:val="none"/>
              </w:rPr>
            </w:pPr>
          </w:p>
        </w:tc>
      </w:tr>
      <w:tr w14:paraId="25788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904F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98B4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7CEF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4C5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15524.92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103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13277.67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6C5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12482.69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3A5C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38.99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34FC1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017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34BD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D23C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699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719.60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2DD9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04DA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5DB2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F15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3F48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524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A99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718.98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9ED9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2247.26 </w:t>
            </w:r>
          </w:p>
        </w:tc>
      </w:tr>
      <w:tr w14:paraId="2CCF0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01AA">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293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7B79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D109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86D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1A6B6">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D88B4">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58BA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05F23">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7DD1">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B855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708AC">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247C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39C0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D55C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A3E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91AD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32587">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EDDA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EF9DB">
            <w:pPr>
              <w:jc w:val="center"/>
              <w:rPr>
                <w:rFonts w:hint="default" w:ascii="Times New Roman" w:hAnsi="Times New Roman" w:eastAsia="宋体" w:cs="Times New Roman"/>
                <w:i w:val="0"/>
                <w:iCs w:val="0"/>
                <w:color w:val="000000"/>
                <w:sz w:val="22"/>
                <w:szCs w:val="22"/>
                <w:u w:val="none"/>
              </w:rPr>
            </w:pPr>
          </w:p>
        </w:tc>
      </w:tr>
      <w:tr w14:paraId="0AB99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140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F8AD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7FB0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FA27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FC9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12558.07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51E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12482.69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2B6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38.99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5479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AB9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EFA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36.39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F40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8FA94">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BC5B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9E3DC">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B3EB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D99F2">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3761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76B5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0F04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8A9C">
            <w:pPr>
              <w:jc w:val="center"/>
              <w:rPr>
                <w:rFonts w:hint="default" w:ascii="Times New Roman" w:hAnsi="Times New Roman" w:eastAsia="宋体" w:cs="Times New Roman"/>
                <w:i w:val="0"/>
                <w:iCs w:val="0"/>
                <w:color w:val="000000"/>
                <w:sz w:val="22"/>
                <w:szCs w:val="22"/>
                <w:u w:val="none"/>
              </w:rPr>
            </w:pPr>
          </w:p>
        </w:tc>
      </w:tr>
      <w:tr w14:paraId="3BAF3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8B3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ECD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368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DEC5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D1A3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719.60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9C5B9">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AD54E">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BDC3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50789">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443AC">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8EBBD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EC59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719.60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8C90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9BA4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5CE8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454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0.22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54C5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632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216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718.98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80374">
            <w:pPr>
              <w:jc w:val="center"/>
              <w:rPr>
                <w:rFonts w:hint="default" w:ascii="Times New Roman" w:hAnsi="Times New Roman" w:eastAsia="宋体" w:cs="Times New Roman"/>
                <w:i w:val="0"/>
                <w:iCs w:val="0"/>
                <w:color w:val="000000"/>
                <w:sz w:val="22"/>
                <w:szCs w:val="22"/>
                <w:u w:val="none"/>
              </w:rPr>
            </w:pPr>
          </w:p>
        </w:tc>
      </w:tr>
      <w:tr w14:paraId="64D3C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9513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BB0D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185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0BE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357.84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002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352.13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032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349.06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A3E5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A07C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84EC0">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CF0FE">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1DA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138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3DA2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CF7E0">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9327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FABA2">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5C57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43D0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01E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E33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5.70 </w:t>
            </w:r>
          </w:p>
        </w:tc>
      </w:tr>
      <w:tr w14:paraId="6D1BF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FA02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2710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B2D5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2775">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50D7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E1540">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9B43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81F9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500B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897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691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6854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046BC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82549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FFA0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1A28">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EF16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31E5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75AC5">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D8AB7">
            <w:pPr>
              <w:jc w:val="center"/>
              <w:rPr>
                <w:rFonts w:hint="default" w:ascii="Times New Roman" w:hAnsi="Times New Roman" w:eastAsia="宋体" w:cs="Times New Roman"/>
                <w:i w:val="0"/>
                <w:iCs w:val="0"/>
                <w:color w:val="000000"/>
                <w:sz w:val="22"/>
                <w:szCs w:val="22"/>
                <w:u w:val="none"/>
              </w:rPr>
            </w:pPr>
          </w:p>
        </w:tc>
      </w:tr>
      <w:tr w14:paraId="554FF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B4C6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A583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7167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8D5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0A4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349.06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337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349.06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242FC">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3FA9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5163E">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E077">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4F10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9A20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AEF1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5B40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A5AE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409B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AF18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12B5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9D012">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8D5E8">
            <w:pPr>
              <w:jc w:val="center"/>
              <w:rPr>
                <w:rFonts w:hint="default" w:ascii="Times New Roman" w:hAnsi="Times New Roman" w:eastAsia="宋体" w:cs="Times New Roman"/>
                <w:i w:val="0"/>
                <w:iCs w:val="0"/>
                <w:color w:val="000000"/>
                <w:sz w:val="22"/>
                <w:szCs w:val="22"/>
                <w:u w:val="none"/>
              </w:rPr>
            </w:pPr>
          </w:p>
        </w:tc>
      </w:tr>
      <w:tr w14:paraId="3220E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D8F2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E2D3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BBAE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286E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DF7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5ED4">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B605D">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1DD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C82A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54D68">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3A4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46E8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FF6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FAE6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FC936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1A9C5">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3D97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14D86">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A0A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9B9A4">
            <w:pPr>
              <w:jc w:val="center"/>
              <w:rPr>
                <w:rFonts w:hint="default" w:ascii="Times New Roman" w:hAnsi="Times New Roman" w:eastAsia="宋体" w:cs="Times New Roman"/>
                <w:i w:val="0"/>
                <w:iCs w:val="0"/>
                <w:color w:val="000000"/>
                <w:sz w:val="22"/>
                <w:szCs w:val="22"/>
                <w:u w:val="none"/>
              </w:rPr>
            </w:pPr>
          </w:p>
        </w:tc>
      </w:tr>
      <w:tr w14:paraId="7ADCA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7A3F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石壁镇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5143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78E3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B8A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17010.18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4E0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15686.07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C6D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14989.61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A80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35.14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0C14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A49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13.03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FB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13.03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198B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50E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648.28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D40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C45A9">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72D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E414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32.98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A40D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765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33.97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CF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581.27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7F9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1324.11 </w:t>
            </w:r>
          </w:p>
        </w:tc>
      </w:tr>
      <w:tr w14:paraId="5EF631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025B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3CE8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81F7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2F98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B0C1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503B0">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C67D3">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0DC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2F379">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47FA6">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6A9D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B83D0">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47A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2E6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5668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B2264">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C54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94AA9">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885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7AA17">
            <w:pPr>
              <w:jc w:val="center"/>
              <w:rPr>
                <w:rFonts w:hint="default" w:ascii="Times New Roman" w:hAnsi="Times New Roman" w:eastAsia="宋体" w:cs="Times New Roman"/>
                <w:i w:val="0"/>
                <w:iCs w:val="0"/>
                <w:color w:val="000000"/>
                <w:sz w:val="22"/>
                <w:szCs w:val="22"/>
                <w:u w:val="none"/>
              </w:rPr>
            </w:pPr>
          </w:p>
        </w:tc>
      </w:tr>
      <w:tr w14:paraId="05643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4A63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7DE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AED5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FAFB">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E9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15037.78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100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14989.61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FC9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35.14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BBBF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73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13.03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25C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13.03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32F2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77B7B">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11C0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18D7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24CC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8B68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6F284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69C6">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197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E1650">
            <w:pPr>
              <w:jc w:val="center"/>
              <w:rPr>
                <w:rFonts w:hint="default" w:ascii="Times New Roman" w:hAnsi="Times New Roman" w:eastAsia="宋体" w:cs="Times New Roman"/>
                <w:i w:val="0"/>
                <w:iCs w:val="0"/>
                <w:color w:val="000000"/>
                <w:sz w:val="22"/>
                <w:szCs w:val="22"/>
                <w:u w:val="none"/>
              </w:rPr>
            </w:pPr>
          </w:p>
        </w:tc>
      </w:tr>
      <w:tr w14:paraId="141F3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8BD6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8AD1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E808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ADD0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5B4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648.28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22280">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43DB3">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9C59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0442E">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2F05C">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EDC4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1E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648.28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04FEA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E82A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46E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D62F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32.98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3A47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A50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33.97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35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581.27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ED06D">
            <w:pPr>
              <w:jc w:val="center"/>
              <w:rPr>
                <w:rFonts w:hint="default" w:ascii="Times New Roman" w:hAnsi="Times New Roman" w:eastAsia="宋体" w:cs="Times New Roman"/>
                <w:i w:val="0"/>
                <w:iCs w:val="0"/>
                <w:color w:val="000000"/>
                <w:sz w:val="22"/>
                <w:szCs w:val="22"/>
                <w:u w:val="none"/>
              </w:rPr>
            </w:pPr>
          </w:p>
        </w:tc>
      </w:tr>
      <w:tr w14:paraId="274A6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CA8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57EF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FA7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D99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9955.92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0B30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8772.57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CEF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8200.49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C61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17.39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359E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579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1F2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90D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31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548.16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30C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5087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F00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139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30.81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1976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31D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17.04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C0C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500.25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41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1183.35 </w:t>
            </w:r>
          </w:p>
        </w:tc>
      </w:tr>
      <w:tr w14:paraId="33831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7FD2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78D04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AB01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8FD5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16D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A4A7">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0BA42">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2D23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5F224">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CFF6F">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63B2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3B753">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2D76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31E6F">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FF4F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876C2">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6E6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EA1A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D14AF">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07EA9">
            <w:pPr>
              <w:jc w:val="center"/>
              <w:rPr>
                <w:rFonts w:hint="default" w:ascii="Times New Roman" w:hAnsi="Times New Roman" w:eastAsia="宋体" w:cs="Times New Roman"/>
                <w:i w:val="0"/>
                <w:iCs w:val="0"/>
                <w:color w:val="000000"/>
                <w:sz w:val="22"/>
                <w:szCs w:val="22"/>
                <w:u w:val="none"/>
              </w:rPr>
            </w:pPr>
          </w:p>
        </w:tc>
      </w:tr>
      <w:tr w14:paraId="263B8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3E5B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038C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DD5B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E2636">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2B6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8224.41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2D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8200.49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F176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17.39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A831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3FF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8F7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40F3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F6C2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1125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ED8B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E416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0B937">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D6ED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6559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A4FF3">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D3791">
            <w:pPr>
              <w:jc w:val="center"/>
              <w:rPr>
                <w:rFonts w:hint="default" w:ascii="Times New Roman" w:hAnsi="Times New Roman" w:eastAsia="宋体" w:cs="Times New Roman"/>
                <w:i w:val="0"/>
                <w:iCs w:val="0"/>
                <w:color w:val="000000"/>
                <w:sz w:val="22"/>
                <w:szCs w:val="22"/>
                <w:u w:val="none"/>
              </w:rPr>
            </w:pPr>
          </w:p>
        </w:tc>
      </w:tr>
      <w:tr w14:paraId="073146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C56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E625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DE8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4209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AFF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548.16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A93C8">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80967">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96D2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44A9">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7FC7E">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EC50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307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548.16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438F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A45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F163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EFE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30.81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F965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005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17.04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F11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500.25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DFA24">
            <w:pPr>
              <w:jc w:val="center"/>
              <w:rPr>
                <w:rFonts w:hint="default" w:ascii="Times New Roman" w:hAnsi="Times New Roman" w:eastAsia="宋体" w:cs="Times New Roman"/>
                <w:i w:val="0"/>
                <w:iCs w:val="0"/>
                <w:color w:val="000000"/>
                <w:sz w:val="22"/>
                <w:szCs w:val="22"/>
                <w:u w:val="none"/>
              </w:rPr>
            </w:pPr>
          </w:p>
        </w:tc>
      </w:tr>
      <w:tr w14:paraId="4BD9B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351F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FDD6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2716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B870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7054.26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9BB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6913.50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ECC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6789.12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5E6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17.75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BFFE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11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0C7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1BA3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661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100.11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CEFB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AA3E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2B0A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98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5747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665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16.93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3B1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81.01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9E0B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140.76 </w:t>
            </w:r>
          </w:p>
        </w:tc>
      </w:tr>
      <w:tr w14:paraId="1A15F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366B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5F9C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9D92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B47B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7509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DD301">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59F41">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A6C6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39170">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22BFB">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1939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193F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9546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9930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344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88E6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523C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865B7">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1DED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72154">
            <w:pPr>
              <w:jc w:val="center"/>
              <w:rPr>
                <w:rFonts w:hint="default" w:ascii="Times New Roman" w:hAnsi="Times New Roman" w:eastAsia="宋体" w:cs="Times New Roman"/>
                <w:i w:val="0"/>
                <w:iCs w:val="0"/>
                <w:color w:val="000000"/>
                <w:sz w:val="22"/>
                <w:szCs w:val="22"/>
                <w:u w:val="none"/>
              </w:rPr>
            </w:pPr>
          </w:p>
        </w:tc>
      </w:tr>
      <w:tr w14:paraId="5B58E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0DD6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BAC3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2E9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CEAF4">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884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6813.38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137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6789.12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343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17.75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FC5D7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914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460C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9FBE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CD38B">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88B7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369A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6FDE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35956">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67FD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EC4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333DD">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FD690">
            <w:pPr>
              <w:jc w:val="center"/>
              <w:rPr>
                <w:rFonts w:hint="default" w:ascii="Times New Roman" w:hAnsi="Times New Roman" w:eastAsia="宋体" w:cs="Times New Roman"/>
                <w:i w:val="0"/>
                <w:iCs w:val="0"/>
                <w:color w:val="000000"/>
                <w:sz w:val="22"/>
                <w:szCs w:val="22"/>
                <w:u w:val="none"/>
              </w:rPr>
            </w:pPr>
          </w:p>
        </w:tc>
      </w:tr>
      <w:tr w14:paraId="538C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97E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9F58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813E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E544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259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100.11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BA93C">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A581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F92F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F0847">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48608">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F9D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A9D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100.11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341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4738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0103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848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82DE6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FBC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16.93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25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81.01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A601A">
            <w:pPr>
              <w:jc w:val="center"/>
              <w:rPr>
                <w:rFonts w:hint="default" w:ascii="Times New Roman" w:hAnsi="Times New Roman" w:eastAsia="宋体" w:cs="Times New Roman"/>
                <w:i w:val="0"/>
                <w:iCs w:val="0"/>
                <w:color w:val="000000"/>
                <w:sz w:val="22"/>
                <w:szCs w:val="22"/>
                <w:u w:val="none"/>
              </w:rPr>
            </w:pPr>
          </w:p>
        </w:tc>
      </w:tr>
      <w:tr w14:paraId="0089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08A6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中原镇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488E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182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5303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12322.99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C33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8270.62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6AF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6823.02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33C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55.05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993E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EB4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20.85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8D0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20.85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0F8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D4D9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1371.69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D917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1A0B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63D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3A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0BFE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B45E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ABF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1362.96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F95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4052.37 </w:t>
            </w:r>
          </w:p>
        </w:tc>
      </w:tr>
      <w:tr w14:paraId="0B7EB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6C84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DDB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A80A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0343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5950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15E56">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211F6">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5FDE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1062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EAB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A832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A56C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3D42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BCB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7A84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1A5D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9413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A82B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0FFDF6">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ED10A">
            <w:pPr>
              <w:jc w:val="center"/>
              <w:rPr>
                <w:rFonts w:hint="default" w:ascii="Times New Roman" w:hAnsi="Times New Roman" w:eastAsia="宋体" w:cs="Times New Roman"/>
                <w:i w:val="0"/>
                <w:iCs w:val="0"/>
                <w:color w:val="000000"/>
                <w:sz w:val="22"/>
                <w:szCs w:val="22"/>
                <w:u w:val="none"/>
              </w:rPr>
            </w:pPr>
          </w:p>
        </w:tc>
      </w:tr>
      <w:tr w14:paraId="2903C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1FED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E58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2C2B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55116">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61E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6898.92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900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6823.02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541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55.05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DEAE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A09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20.85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D5A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20.85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6CF7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0107C">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8422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AF69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B3E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013D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31BB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1CA0F">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814E7">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D358D">
            <w:pPr>
              <w:jc w:val="center"/>
              <w:rPr>
                <w:rFonts w:hint="default" w:ascii="Times New Roman" w:hAnsi="Times New Roman" w:eastAsia="宋体" w:cs="Times New Roman"/>
                <w:i w:val="0"/>
                <w:iCs w:val="0"/>
                <w:color w:val="000000"/>
                <w:sz w:val="22"/>
                <w:szCs w:val="22"/>
                <w:u w:val="none"/>
              </w:rPr>
            </w:pPr>
          </w:p>
        </w:tc>
      </w:tr>
      <w:tr w14:paraId="5F3C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2D55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EF9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240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0125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D12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1371.69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7FD2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CE448">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2BB1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3241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4BF1">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D7D6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2044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1371.69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8E5F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7410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DEE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7B2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0F98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8F3B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49A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1362.96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08BEA4">
            <w:pPr>
              <w:jc w:val="center"/>
              <w:rPr>
                <w:rFonts w:hint="default" w:ascii="Times New Roman" w:hAnsi="Times New Roman" w:eastAsia="宋体" w:cs="Times New Roman"/>
                <w:i w:val="0"/>
                <w:iCs w:val="0"/>
                <w:color w:val="000000"/>
                <w:sz w:val="22"/>
                <w:szCs w:val="22"/>
                <w:u w:val="none"/>
              </w:rPr>
            </w:pPr>
          </w:p>
        </w:tc>
      </w:tr>
      <w:tr w14:paraId="73ED0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6D5E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0BD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2C57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8F7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2176.91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B684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730.34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1CB53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476.55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B3A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E22C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BED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F1D9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A34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DC0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252.22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20FA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9519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F5B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EF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1.01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797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485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705B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249.54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39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1446.56 </w:t>
            </w:r>
          </w:p>
        </w:tc>
      </w:tr>
      <w:tr w14:paraId="6C334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1978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944A">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BAF6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1BA7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666D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B718">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E9D6C">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FD4F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EE8A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C471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9906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8624B">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8D8C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B6B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A3A5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CE2C4">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2607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5974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1A84B">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FEB0C9">
            <w:pPr>
              <w:jc w:val="center"/>
              <w:rPr>
                <w:rFonts w:hint="default" w:ascii="Times New Roman" w:hAnsi="Times New Roman" w:eastAsia="宋体" w:cs="Times New Roman"/>
                <w:i w:val="0"/>
                <w:iCs w:val="0"/>
                <w:color w:val="000000"/>
                <w:sz w:val="22"/>
                <w:szCs w:val="22"/>
                <w:u w:val="none"/>
              </w:rPr>
            </w:pPr>
          </w:p>
        </w:tc>
      </w:tr>
      <w:tr w14:paraId="5B5C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25BA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35A7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8FB1B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BA25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584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478.12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BAE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476.55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4C8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94AC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39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F82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05AA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BE7E3">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1946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41F1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5BDE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10853">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F358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C1F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4405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56D1B">
            <w:pPr>
              <w:jc w:val="center"/>
              <w:rPr>
                <w:rFonts w:hint="default" w:ascii="Times New Roman" w:hAnsi="Times New Roman" w:eastAsia="宋体" w:cs="Times New Roman"/>
                <w:i w:val="0"/>
                <w:iCs w:val="0"/>
                <w:color w:val="000000"/>
                <w:sz w:val="22"/>
                <w:szCs w:val="22"/>
                <w:u w:val="none"/>
              </w:rPr>
            </w:pPr>
          </w:p>
        </w:tc>
      </w:tr>
      <w:tr w14:paraId="3B93B0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36C7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36C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8C3E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E47F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D78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252.22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F8AD0">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9856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76AC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6CF3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DAC8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D785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C0F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252.22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19DA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D05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CE0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A5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1.01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EBC1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11D76">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187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249.54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29744">
            <w:pPr>
              <w:jc w:val="center"/>
              <w:rPr>
                <w:rFonts w:hint="default" w:ascii="Times New Roman" w:hAnsi="Times New Roman" w:eastAsia="宋体" w:cs="Times New Roman"/>
                <w:i w:val="0"/>
                <w:iCs w:val="0"/>
                <w:color w:val="000000"/>
                <w:sz w:val="22"/>
                <w:szCs w:val="22"/>
                <w:u w:val="none"/>
              </w:rPr>
            </w:pPr>
          </w:p>
        </w:tc>
      </w:tr>
      <w:tr w14:paraId="34D21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F996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1FB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7112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1B8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10146.09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11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7540.28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FCA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6346.47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C26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54.02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ED12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922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20.32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C3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20.32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0616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033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1119.47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9E11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265B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E97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FDF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0.85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324E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78A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6E6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1113.42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182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2605.81 </w:t>
            </w:r>
          </w:p>
        </w:tc>
      </w:tr>
      <w:tr w14:paraId="61762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21B0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D2B2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A07E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FF8D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06A1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471E8">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703E7">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9940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F71DB">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860B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E310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6262E">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9E71E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8897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9F68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2C9D3">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2FB47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B5882">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34AB2">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68617">
            <w:pPr>
              <w:jc w:val="center"/>
              <w:rPr>
                <w:rFonts w:hint="default" w:ascii="Times New Roman" w:hAnsi="Times New Roman" w:eastAsia="宋体" w:cs="Times New Roman"/>
                <w:i w:val="0"/>
                <w:iCs w:val="0"/>
                <w:color w:val="000000"/>
                <w:sz w:val="22"/>
                <w:szCs w:val="22"/>
                <w:u w:val="none"/>
              </w:rPr>
            </w:pPr>
          </w:p>
        </w:tc>
      </w:tr>
      <w:tr w14:paraId="5B926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CD87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032F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A9B7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E2F8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2B8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6420.81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6C3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6346.47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C86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54.02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DF46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944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20.32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3F96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20.32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391D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B9BE8">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43DC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EA5D9">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B3D9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23E6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BC8C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ABFC9">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9D5C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52404">
            <w:pPr>
              <w:jc w:val="center"/>
              <w:rPr>
                <w:rFonts w:hint="default" w:ascii="Times New Roman" w:hAnsi="Times New Roman" w:eastAsia="宋体" w:cs="Times New Roman"/>
                <w:i w:val="0"/>
                <w:iCs w:val="0"/>
                <w:color w:val="000000"/>
                <w:sz w:val="22"/>
                <w:szCs w:val="22"/>
                <w:u w:val="none"/>
              </w:rPr>
            </w:pPr>
          </w:p>
        </w:tc>
      </w:tr>
      <w:tr w14:paraId="372EE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3859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907F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A7C4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0E37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035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1119.47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BD4A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E687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C330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D2F5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EECA1">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897F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0FE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1119.47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4962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986A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F30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FF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0.85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1BDA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4F9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2C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1113.42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C0FE6">
            <w:pPr>
              <w:jc w:val="center"/>
              <w:rPr>
                <w:rFonts w:hint="default" w:ascii="Times New Roman" w:hAnsi="Times New Roman" w:eastAsia="宋体" w:cs="Times New Roman"/>
                <w:i w:val="0"/>
                <w:iCs w:val="0"/>
                <w:color w:val="000000"/>
                <w:sz w:val="22"/>
                <w:szCs w:val="22"/>
                <w:u w:val="none"/>
              </w:rPr>
            </w:pPr>
          </w:p>
        </w:tc>
      </w:tr>
      <w:tr w14:paraId="5537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6163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博鳌镇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ACD8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AEF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BD9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8700.89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D65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3820.43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941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2787.01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875D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CBF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17.46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CC3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19.62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21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19.62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6C37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BB6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981.26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A4DA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68CA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A418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977ED">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8901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2BF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C1E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960.02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2EF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4880.46 </w:t>
            </w:r>
          </w:p>
        </w:tc>
      </w:tr>
      <w:tr w14:paraId="3F7DD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D8F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847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B47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A80F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D3D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0D22A">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08C13">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5CE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FC3AD">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B0BB0">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F9AF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059D9">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1A4A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4AE1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67D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D965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D4F2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79E8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460C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496C1">
            <w:pPr>
              <w:jc w:val="center"/>
              <w:rPr>
                <w:rFonts w:hint="default" w:ascii="Times New Roman" w:hAnsi="Times New Roman" w:eastAsia="宋体" w:cs="Times New Roman"/>
                <w:i w:val="0"/>
                <w:iCs w:val="0"/>
                <w:color w:val="000000"/>
                <w:sz w:val="22"/>
                <w:szCs w:val="22"/>
                <w:u w:val="none"/>
              </w:rPr>
            </w:pPr>
          </w:p>
        </w:tc>
      </w:tr>
      <w:tr w14:paraId="6903A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923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B042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0906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20FD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E20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2839.18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55A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2787.01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AEB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7629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17.46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F2E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19.62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FEB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19.62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84E6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260E9">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7A0C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3901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C2823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ACF93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8ABB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D9D7E5">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29ACD">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E8E55">
            <w:pPr>
              <w:jc w:val="center"/>
              <w:rPr>
                <w:rFonts w:hint="default" w:ascii="Times New Roman" w:hAnsi="Times New Roman" w:eastAsia="宋体" w:cs="Times New Roman"/>
                <w:i w:val="0"/>
                <w:iCs w:val="0"/>
                <w:color w:val="000000"/>
                <w:sz w:val="22"/>
                <w:szCs w:val="22"/>
                <w:u w:val="none"/>
              </w:rPr>
            </w:pPr>
          </w:p>
        </w:tc>
      </w:tr>
      <w:tr w14:paraId="6221E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FFB6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EDBE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5625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5BD9B">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AB8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981.26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C482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996D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0930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7E1E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2F527">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0D8D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EB3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981.26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5367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C4AFD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EEF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557B3">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29B5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5A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673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960.02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57AD2">
            <w:pPr>
              <w:jc w:val="center"/>
              <w:rPr>
                <w:rFonts w:hint="default" w:ascii="Times New Roman" w:hAnsi="Times New Roman" w:eastAsia="宋体" w:cs="Times New Roman"/>
                <w:i w:val="0"/>
                <w:iCs w:val="0"/>
                <w:color w:val="000000"/>
                <w:sz w:val="22"/>
                <w:szCs w:val="22"/>
                <w:u w:val="none"/>
              </w:rPr>
            </w:pPr>
          </w:p>
        </w:tc>
      </w:tr>
      <w:tr w14:paraId="79BD23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857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FF8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3DC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91D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2603.36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6531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529.39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E5D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299.90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14735">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51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0.39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CE64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6B8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880C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226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228.99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4807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8FD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D9A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15.36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AD6D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CE43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074F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43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213.63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BCB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2073.97 </w:t>
            </w:r>
          </w:p>
        </w:tc>
      </w:tr>
      <w:tr w14:paraId="1053C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BE8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B51E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CCD0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B27B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DE12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13D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B833">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0CBA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A8544">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5C65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90EE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7E194">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B0C7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7F33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45F6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E5A2D">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F75F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B434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6B67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2F13C">
            <w:pPr>
              <w:jc w:val="center"/>
              <w:rPr>
                <w:rFonts w:hint="default" w:ascii="Times New Roman" w:hAnsi="Times New Roman" w:eastAsia="宋体" w:cs="Times New Roman"/>
                <w:i w:val="0"/>
                <w:iCs w:val="0"/>
                <w:color w:val="000000"/>
                <w:sz w:val="22"/>
                <w:szCs w:val="22"/>
                <w:u w:val="none"/>
              </w:rPr>
            </w:pPr>
          </w:p>
        </w:tc>
      </w:tr>
      <w:tr w14:paraId="6ACF2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70D1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37F5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6487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07A82">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E68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300.40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C6FC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299.90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C5B18">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73E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0.39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6E7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BF5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3EAE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7A4DE">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37F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A11B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9ED6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AB85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D102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2752">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B46BF">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C3FE6">
            <w:pPr>
              <w:jc w:val="center"/>
              <w:rPr>
                <w:rFonts w:hint="default" w:ascii="Times New Roman" w:hAnsi="Times New Roman" w:eastAsia="宋体" w:cs="Times New Roman"/>
                <w:i w:val="0"/>
                <w:iCs w:val="0"/>
                <w:color w:val="000000"/>
                <w:sz w:val="22"/>
                <w:szCs w:val="22"/>
                <w:u w:val="none"/>
              </w:rPr>
            </w:pPr>
          </w:p>
        </w:tc>
      </w:tr>
      <w:tr w14:paraId="13F1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4D7F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39B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ED123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88782">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71C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228.99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DC4D9">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11726">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8CB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55647">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C810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AD19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B1C1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228.99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B1E6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F92A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A02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15.36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B29A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9C82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B6645">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2F7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213.63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2E95C">
            <w:pPr>
              <w:jc w:val="center"/>
              <w:rPr>
                <w:rFonts w:hint="default" w:ascii="Times New Roman" w:hAnsi="Times New Roman" w:eastAsia="宋体" w:cs="Times New Roman"/>
                <w:i w:val="0"/>
                <w:iCs w:val="0"/>
                <w:color w:val="000000"/>
                <w:sz w:val="22"/>
                <w:szCs w:val="22"/>
                <w:u w:val="none"/>
              </w:rPr>
            </w:pPr>
          </w:p>
        </w:tc>
      </w:tr>
      <w:tr w14:paraId="229EE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7AB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484C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88D8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6B8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6097.53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4C3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3291.05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F5A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2487.11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AD7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205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17.06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0C5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19.51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9FB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19.51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9FF3B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EAB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752.28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76F1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F2AD0">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0C0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AD125">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15EA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2CEC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2E82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746.40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F63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2806.49 </w:t>
            </w:r>
          </w:p>
        </w:tc>
      </w:tr>
      <w:tr w14:paraId="07467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29BF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529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8468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53CE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E8FB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43F1A">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8E1FB">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BDF8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961BB">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25442">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8C95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D4ED3">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37E5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23C55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765C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69B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2B9C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9D51F">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44495">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4B8E02">
            <w:pPr>
              <w:jc w:val="center"/>
              <w:rPr>
                <w:rFonts w:hint="default" w:ascii="Times New Roman" w:hAnsi="Times New Roman" w:eastAsia="宋体" w:cs="Times New Roman"/>
                <w:i w:val="0"/>
                <w:iCs w:val="0"/>
                <w:color w:val="000000"/>
                <w:sz w:val="22"/>
                <w:szCs w:val="22"/>
                <w:u w:val="none"/>
              </w:rPr>
            </w:pPr>
          </w:p>
        </w:tc>
      </w:tr>
      <w:tr w14:paraId="3D4DE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0A0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4D71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4B5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C57A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6CA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2538.77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9E38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2487.11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EDA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15.09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F1AE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17.06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EE8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19.51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70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19.51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90E5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8273">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2DD3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F26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D665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37F1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5F15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1BC1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0B4C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4AA223">
            <w:pPr>
              <w:jc w:val="center"/>
              <w:rPr>
                <w:rFonts w:hint="default" w:ascii="Times New Roman" w:hAnsi="Times New Roman" w:eastAsia="宋体" w:cs="Times New Roman"/>
                <w:i w:val="0"/>
                <w:iCs w:val="0"/>
                <w:color w:val="000000"/>
                <w:sz w:val="22"/>
                <w:szCs w:val="22"/>
                <w:u w:val="none"/>
              </w:rPr>
            </w:pPr>
          </w:p>
        </w:tc>
      </w:tr>
      <w:tr w14:paraId="22181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D76C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BCB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D3A4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9A61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CA4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752.28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EBF65">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A6069">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909D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3EADB">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E9992">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2F6F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1C9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752.28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30AB7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BB9C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5A1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4528E">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503CA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5A03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0.16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53D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746.40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9019D">
            <w:pPr>
              <w:jc w:val="center"/>
              <w:rPr>
                <w:rFonts w:hint="default" w:ascii="Times New Roman" w:hAnsi="Times New Roman" w:eastAsia="宋体" w:cs="Times New Roman"/>
                <w:i w:val="0"/>
                <w:iCs w:val="0"/>
                <w:color w:val="000000"/>
                <w:sz w:val="22"/>
                <w:szCs w:val="22"/>
                <w:u w:val="none"/>
              </w:rPr>
            </w:pPr>
          </w:p>
        </w:tc>
      </w:tr>
      <w:tr w14:paraId="3E907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085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阳江镇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B850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FD2F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2C7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14516.03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511D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12682.05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56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11796.86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476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63.90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89BB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6CA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11.65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E1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11.65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395C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EA1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809.63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4BF2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DB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84F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10.71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0D4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17.54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2681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E4B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137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778.45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C594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1833.98 </w:t>
            </w:r>
          </w:p>
        </w:tc>
      </w:tr>
      <w:tr w14:paraId="556CFC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0493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1EE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D246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6841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29FE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7CE27">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B82E8">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99352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DEFE0">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23B88">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DDC6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10E65">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30E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1CAE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A8CD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9533D">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7A03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9933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E84BB">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C913">
            <w:pPr>
              <w:jc w:val="center"/>
              <w:rPr>
                <w:rFonts w:hint="default" w:ascii="Times New Roman" w:hAnsi="Times New Roman" w:eastAsia="宋体" w:cs="Times New Roman"/>
                <w:i w:val="0"/>
                <w:iCs w:val="0"/>
                <w:color w:val="000000"/>
                <w:sz w:val="22"/>
                <w:szCs w:val="22"/>
                <w:u w:val="none"/>
              </w:rPr>
            </w:pPr>
          </w:p>
        </w:tc>
      </w:tr>
      <w:tr w14:paraId="614D91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B0AD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E7A2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B01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082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552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11874.19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E4F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11796.86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808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63.90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F1CB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15D9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11.65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DE3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11.65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9039C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E24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19CD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426E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D632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07F1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53F4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9C7FA">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530E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C52B0">
            <w:pPr>
              <w:jc w:val="center"/>
              <w:rPr>
                <w:rFonts w:hint="default" w:ascii="Times New Roman" w:hAnsi="Times New Roman" w:eastAsia="宋体" w:cs="Times New Roman"/>
                <w:i w:val="0"/>
                <w:iCs w:val="0"/>
                <w:color w:val="000000"/>
                <w:sz w:val="22"/>
                <w:szCs w:val="22"/>
                <w:u w:val="none"/>
              </w:rPr>
            </w:pPr>
          </w:p>
        </w:tc>
      </w:tr>
      <w:tr w14:paraId="0766D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DCD2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707B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8BE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8CDA4">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5CB0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807.85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11CFC">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2B5F8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5029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9473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6B4F7">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E5D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BF7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807.85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0C103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B96A">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6F1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10.71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CB8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17.54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B1C2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387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B31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778.45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2EB90">
            <w:pPr>
              <w:jc w:val="center"/>
              <w:rPr>
                <w:rFonts w:hint="default" w:ascii="Times New Roman" w:hAnsi="Times New Roman" w:eastAsia="宋体" w:cs="Times New Roman"/>
                <w:i w:val="0"/>
                <w:iCs w:val="0"/>
                <w:color w:val="000000"/>
                <w:sz w:val="22"/>
                <w:szCs w:val="22"/>
                <w:u w:val="none"/>
              </w:rPr>
            </w:pPr>
          </w:p>
        </w:tc>
      </w:tr>
      <w:tr w14:paraId="0A9D0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1CB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9B0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676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22A9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3652.02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227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3201.65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0CD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2904.39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CEC9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0418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26E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60B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BAC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D45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295.62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5C7C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463A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0.81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A97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1DC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6.95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00A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8CF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E814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277.59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DB15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450.38 </w:t>
            </w:r>
          </w:p>
        </w:tc>
      </w:tr>
      <w:tr w14:paraId="3F6A5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0C47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1B26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FC1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281D4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CE37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40860">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AE9B5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C217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8FD7A">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4436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284E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7B6FA">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336C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6B3F9">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3B34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85DA7">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847F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C2DAA">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AD75">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0F1420">
            <w:pPr>
              <w:jc w:val="center"/>
              <w:rPr>
                <w:rFonts w:hint="default" w:ascii="Times New Roman" w:hAnsi="Times New Roman" w:eastAsia="宋体" w:cs="Times New Roman"/>
                <w:i w:val="0"/>
                <w:iCs w:val="0"/>
                <w:color w:val="000000"/>
                <w:sz w:val="22"/>
                <w:szCs w:val="22"/>
                <w:u w:val="none"/>
              </w:rPr>
            </w:pPr>
          </w:p>
        </w:tc>
      </w:tr>
      <w:tr w14:paraId="23BED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2F46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631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E0B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8A6B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5B6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2906.83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46CF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2904.39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4873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2998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E5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897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FE28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1F0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B68A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C96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0.81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FFB3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59A0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8522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7B567">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5A86">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28D5B">
            <w:pPr>
              <w:jc w:val="center"/>
              <w:rPr>
                <w:rFonts w:hint="default" w:ascii="Times New Roman" w:hAnsi="Times New Roman" w:eastAsia="宋体" w:cs="Times New Roman"/>
                <w:i w:val="0"/>
                <w:iCs w:val="0"/>
                <w:color w:val="000000"/>
                <w:sz w:val="22"/>
                <w:szCs w:val="22"/>
                <w:u w:val="none"/>
              </w:rPr>
            </w:pPr>
          </w:p>
        </w:tc>
      </w:tr>
      <w:tr w14:paraId="6EB37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F574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9055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3C7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E48DF">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5E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294.81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7F89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C0CFE">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748E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335BF">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0A3F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A0D9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E4F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294.81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0649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B5F7E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313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F80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6.95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B12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C70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0.66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D49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277.59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1B8E">
            <w:pPr>
              <w:jc w:val="center"/>
              <w:rPr>
                <w:rFonts w:hint="default" w:ascii="Times New Roman" w:hAnsi="Times New Roman" w:eastAsia="宋体" w:cs="Times New Roman"/>
                <w:i w:val="0"/>
                <w:iCs w:val="0"/>
                <w:color w:val="000000"/>
                <w:sz w:val="22"/>
                <w:szCs w:val="22"/>
                <w:u w:val="none"/>
              </w:rPr>
            </w:pPr>
          </w:p>
        </w:tc>
      </w:tr>
      <w:tr w14:paraId="654EA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42BC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6567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D97C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0C8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10864.01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E51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9480.40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D8C7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8892.47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F0A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62.75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A0AC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DB82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11.17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D36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11.17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2716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E4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514.00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AAC1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878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0.97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7278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597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10.59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B11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83DC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214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500.87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363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1383.60 </w:t>
            </w:r>
          </w:p>
        </w:tc>
      </w:tr>
      <w:tr w14:paraId="12F07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9001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58C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A329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4DF04">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3BFD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7496">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3DDC6">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893C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9B944">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21D3BE">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8BCB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C8E06">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86C6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524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19C49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D993D">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ED53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FBC9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0B5C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D9502">
            <w:pPr>
              <w:jc w:val="center"/>
              <w:rPr>
                <w:rFonts w:hint="default" w:ascii="Times New Roman" w:hAnsi="Times New Roman" w:eastAsia="宋体" w:cs="Times New Roman"/>
                <w:i w:val="0"/>
                <w:iCs w:val="0"/>
                <w:color w:val="000000"/>
                <w:sz w:val="22"/>
                <w:szCs w:val="22"/>
                <w:u w:val="none"/>
              </w:rPr>
            </w:pPr>
          </w:p>
        </w:tc>
      </w:tr>
      <w:tr w14:paraId="77668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966B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CBFA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7E4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BE23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EDD0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8967.36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C75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8892.47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72B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62.75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D842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98E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11.17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1D5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11.17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EF09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25C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BD0B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980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0.97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99C1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8A626">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A1CB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212A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10B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11A30">
            <w:pPr>
              <w:jc w:val="center"/>
              <w:rPr>
                <w:rFonts w:hint="default" w:ascii="Times New Roman" w:hAnsi="Times New Roman" w:eastAsia="宋体" w:cs="Times New Roman"/>
                <w:i w:val="0"/>
                <w:iCs w:val="0"/>
                <w:color w:val="000000"/>
                <w:sz w:val="22"/>
                <w:szCs w:val="22"/>
                <w:u w:val="none"/>
              </w:rPr>
            </w:pPr>
          </w:p>
        </w:tc>
      </w:tr>
      <w:tr w14:paraId="60393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7D6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ACAC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DF0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EF65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688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513.03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63119">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04F6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9FAD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A55D3">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960EE">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D925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B15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513.03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F1CF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2FD2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5B2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5DA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10.59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44DFE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643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0.48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363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500.87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EC8A6">
            <w:pPr>
              <w:jc w:val="center"/>
              <w:rPr>
                <w:rFonts w:hint="default" w:ascii="Times New Roman" w:hAnsi="Times New Roman" w:eastAsia="宋体" w:cs="Times New Roman"/>
                <w:i w:val="0"/>
                <w:iCs w:val="0"/>
                <w:color w:val="000000"/>
                <w:sz w:val="22"/>
                <w:szCs w:val="22"/>
                <w:u w:val="none"/>
              </w:rPr>
            </w:pPr>
          </w:p>
        </w:tc>
      </w:tr>
      <w:tr w14:paraId="0AD210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FF2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龙江镇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E4C7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AC1C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975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5105.45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42B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3902.71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43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3538.63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677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41.88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9187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810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9.16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9D5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9.16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285C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DD0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313.04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E8F6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4363C">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B2CB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797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EEB7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4815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2BF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287.72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1DA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1202.74 </w:t>
            </w:r>
          </w:p>
        </w:tc>
      </w:tr>
      <w:tr w14:paraId="19530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3B6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3F38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BB39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5107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82FA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815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21.89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11EDC">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0686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C515">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9DAF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90C1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D6C38">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361F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F090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1D08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CAD5E">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E055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547BF">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38A37">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43E1B">
            <w:pPr>
              <w:jc w:val="center"/>
              <w:rPr>
                <w:rFonts w:hint="default" w:ascii="Times New Roman" w:hAnsi="Times New Roman" w:eastAsia="宋体" w:cs="Times New Roman"/>
                <w:i w:val="0"/>
                <w:iCs w:val="0"/>
                <w:color w:val="000000"/>
                <w:sz w:val="22"/>
                <w:szCs w:val="22"/>
                <w:u w:val="none"/>
              </w:rPr>
            </w:pPr>
          </w:p>
        </w:tc>
      </w:tr>
      <w:tr w14:paraId="5587D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108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BE3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9398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C06AB">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1D7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3567.78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A4F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3516.74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0C3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41.88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B0C3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92D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9.16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E063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9.16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77EB5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7D3DA">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B32D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5A8F">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E66F7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B8A6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20F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3C850">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0AA8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7DEF0">
            <w:pPr>
              <w:jc w:val="center"/>
              <w:rPr>
                <w:rFonts w:hint="default" w:ascii="Times New Roman" w:hAnsi="Times New Roman" w:eastAsia="宋体" w:cs="Times New Roman"/>
                <w:i w:val="0"/>
                <w:iCs w:val="0"/>
                <w:color w:val="000000"/>
                <w:sz w:val="22"/>
                <w:szCs w:val="22"/>
                <w:u w:val="none"/>
              </w:rPr>
            </w:pPr>
          </w:p>
        </w:tc>
      </w:tr>
      <w:tr w14:paraId="639168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0DF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F6E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F2F1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FC80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C5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313.04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AACB7">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EE36F">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FE96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CB90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37EE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2590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6BF7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313.04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A2FB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9E23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422D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674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3E00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742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AAE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287.72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0F04B">
            <w:pPr>
              <w:jc w:val="center"/>
              <w:rPr>
                <w:rFonts w:hint="default" w:ascii="Times New Roman" w:hAnsi="Times New Roman" w:eastAsia="宋体" w:cs="Times New Roman"/>
                <w:i w:val="0"/>
                <w:iCs w:val="0"/>
                <w:color w:val="000000"/>
                <w:sz w:val="22"/>
                <w:szCs w:val="22"/>
                <w:u w:val="none"/>
              </w:rPr>
            </w:pPr>
          </w:p>
        </w:tc>
      </w:tr>
      <w:tr w14:paraId="6228F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A0E5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B4C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2D8D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62B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3978.92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9C9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2902.66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76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2617.04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DB8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34.36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6996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B72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8.31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AF1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8.31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EDD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011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242.95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5950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1E08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175D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442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DF43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177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BFB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234.35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3BB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1076.26 </w:t>
            </w:r>
          </w:p>
        </w:tc>
      </w:tr>
      <w:tr w14:paraId="3608D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F2F4A">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F3C4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3299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B481D">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E8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21.89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B78E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21.89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8AB8">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0619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69349">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3A02B3">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6EE9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CC84">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81F5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8F24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D3C4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E72E2">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B12A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5C96F">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1A372">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EF779">
            <w:pPr>
              <w:jc w:val="center"/>
              <w:rPr>
                <w:rFonts w:hint="default" w:ascii="Times New Roman" w:hAnsi="Times New Roman" w:eastAsia="宋体" w:cs="Times New Roman"/>
                <w:i w:val="0"/>
                <w:iCs w:val="0"/>
                <w:color w:val="000000"/>
                <w:sz w:val="22"/>
                <w:szCs w:val="22"/>
                <w:u w:val="none"/>
              </w:rPr>
            </w:pPr>
          </w:p>
        </w:tc>
      </w:tr>
      <w:tr w14:paraId="468A5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A7A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EA64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D168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08514">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358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2637.82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E75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2595.15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A52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34.36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626E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163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8.31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0A5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8.31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2C12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DE960">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1859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BA48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C7AE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E7ED3">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F5CB6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2115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13600">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DA0BD">
            <w:pPr>
              <w:jc w:val="center"/>
              <w:rPr>
                <w:rFonts w:hint="default" w:ascii="Times New Roman" w:hAnsi="Times New Roman" w:eastAsia="宋体" w:cs="Times New Roman"/>
                <w:i w:val="0"/>
                <w:iCs w:val="0"/>
                <w:color w:val="000000"/>
                <w:sz w:val="22"/>
                <w:szCs w:val="22"/>
                <w:u w:val="none"/>
              </w:rPr>
            </w:pPr>
          </w:p>
        </w:tc>
      </w:tr>
      <w:tr w14:paraId="32103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5727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053D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451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E3BA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74D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242.95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089E9">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62DF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BAAB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2F8F4">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7C209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6BE9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C73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242.95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5ACA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CC2A9">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0DF4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02D9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C981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BA0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7.40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7A78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234.35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3C1A6">
            <w:pPr>
              <w:jc w:val="center"/>
              <w:rPr>
                <w:rFonts w:hint="default" w:ascii="Times New Roman" w:hAnsi="Times New Roman" w:eastAsia="宋体" w:cs="Times New Roman"/>
                <w:i w:val="0"/>
                <w:iCs w:val="0"/>
                <w:color w:val="000000"/>
                <w:sz w:val="22"/>
                <w:szCs w:val="22"/>
                <w:u w:val="none"/>
              </w:rPr>
            </w:pPr>
          </w:p>
        </w:tc>
      </w:tr>
      <w:tr w14:paraId="6F4BB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F4DF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91B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CE4B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D06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1126.53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1E0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1000.06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ACE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921.59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094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7.52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F559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CF4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86F4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8858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685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0F63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63748">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DC050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847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0990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B9C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16.00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638E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53.36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B04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126.48 </w:t>
            </w:r>
          </w:p>
        </w:tc>
      </w:tr>
      <w:tr w14:paraId="7EECB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9903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0185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C743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8D1F9">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C974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4FABC">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497B6">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2196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D6E7E">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1CC3F">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43F7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42410">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178E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CD8F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C24B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A28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EFAB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99089">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D2C55">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6A2BF">
            <w:pPr>
              <w:jc w:val="center"/>
              <w:rPr>
                <w:rFonts w:hint="default" w:ascii="Times New Roman" w:hAnsi="Times New Roman" w:eastAsia="宋体" w:cs="Times New Roman"/>
                <w:i w:val="0"/>
                <w:iCs w:val="0"/>
                <w:color w:val="000000"/>
                <w:sz w:val="22"/>
                <w:szCs w:val="22"/>
                <w:u w:val="none"/>
              </w:rPr>
            </w:pPr>
          </w:p>
        </w:tc>
      </w:tr>
      <w:tr w14:paraId="2F8D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3632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0101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C617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69023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74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929.96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C037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921.59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A10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7.52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839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0E3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B31D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0.85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581D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0EA59E">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724F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6C7E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6A39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4D1B4">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F2D63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97AB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54A10">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5BBB0">
            <w:pPr>
              <w:jc w:val="center"/>
              <w:rPr>
                <w:rFonts w:hint="default" w:ascii="Times New Roman" w:hAnsi="Times New Roman" w:eastAsia="宋体" w:cs="Times New Roman"/>
                <w:i w:val="0"/>
                <w:iCs w:val="0"/>
                <w:color w:val="000000"/>
                <w:sz w:val="22"/>
                <w:szCs w:val="22"/>
                <w:u w:val="none"/>
              </w:rPr>
            </w:pPr>
          </w:p>
        </w:tc>
      </w:tr>
      <w:tr w14:paraId="03ED70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12E5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3886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1BCD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9226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595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03B27">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3260E">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DDD79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8AF25">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FC3B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5967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94E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70.08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7E77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C39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B7A9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49B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3E33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1C4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16.00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203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53.36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3EDE6">
            <w:pPr>
              <w:jc w:val="center"/>
              <w:rPr>
                <w:rFonts w:hint="default" w:ascii="Times New Roman" w:hAnsi="Times New Roman" w:eastAsia="宋体" w:cs="Times New Roman"/>
                <w:i w:val="0"/>
                <w:iCs w:val="0"/>
                <w:color w:val="000000"/>
                <w:sz w:val="22"/>
                <w:szCs w:val="22"/>
                <w:u w:val="none"/>
              </w:rPr>
            </w:pPr>
          </w:p>
        </w:tc>
      </w:tr>
      <w:tr w14:paraId="5A075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3F48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潭门镇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A6C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38E2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F71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9899.51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31D4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4208.77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E9C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2718.23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076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47.90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F4E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518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5.94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595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5.94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C2D2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C0E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1435.65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DFF1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EDB3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DCC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19.29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24C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8.52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19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08B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C790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1401.78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F6C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5690.74 </w:t>
            </w:r>
          </w:p>
        </w:tc>
      </w:tr>
      <w:tr w14:paraId="4F096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2EAD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BEAD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D221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89476">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99BC6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70E07">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EFE38F">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91E4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2E1B">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B1D52C">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B9DF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3FA01">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51E8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72C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43FB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51418">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1157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6EBA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D6435">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31B1C">
            <w:pPr>
              <w:jc w:val="center"/>
              <w:rPr>
                <w:rFonts w:hint="default" w:ascii="Times New Roman" w:hAnsi="Times New Roman" w:eastAsia="宋体" w:cs="Times New Roman"/>
                <w:i w:val="0"/>
                <w:iCs w:val="0"/>
                <w:color w:val="000000"/>
                <w:sz w:val="22"/>
                <w:szCs w:val="22"/>
                <w:u w:val="none"/>
              </w:rPr>
            </w:pPr>
          </w:p>
        </w:tc>
      </w:tr>
      <w:tr w14:paraId="6267F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5572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E725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3BC7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A9F2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A3A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2774.35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E012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2718.23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5B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47.90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0E1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B2C1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5.94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1A0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5.94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03C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A64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A0D7F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ADF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4820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66A53">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44E5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F35C1">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7C685">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95458">
            <w:pPr>
              <w:jc w:val="center"/>
              <w:rPr>
                <w:rFonts w:hint="default" w:ascii="Times New Roman" w:hAnsi="Times New Roman" w:eastAsia="宋体" w:cs="Times New Roman"/>
                <w:i w:val="0"/>
                <w:iCs w:val="0"/>
                <w:color w:val="000000"/>
                <w:sz w:val="22"/>
                <w:szCs w:val="22"/>
                <w:u w:val="none"/>
              </w:rPr>
            </w:pPr>
          </w:p>
        </w:tc>
      </w:tr>
      <w:tr w14:paraId="2E55B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5D2A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776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B08D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0A1E9">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8DB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1434.41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BA891">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F8D7C">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3CC7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9B03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C5F6B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AFE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0EB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1434.41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73AD7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1A8BF">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9C14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19.29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2A1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8.52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E2FF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7B39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8E3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1401.78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12816">
            <w:pPr>
              <w:jc w:val="center"/>
              <w:rPr>
                <w:rFonts w:hint="default" w:ascii="Times New Roman" w:hAnsi="Times New Roman" w:eastAsia="宋体" w:cs="Times New Roman"/>
                <w:i w:val="0"/>
                <w:iCs w:val="0"/>
                <w:color w:val="000000"/>
                <w:sz w:val="22"/>
                <w:szCs w:val="22"/>
                <w:u w:val="none"/>
              </w:rPr>
            </w:pPr>
          </w:p>
        </w:tc>
      </w:tr>
      <w:tr w14:paraId="6C4B7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4A19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DFD0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77D2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2905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334.18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2A4D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322.10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8B2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210.03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A4B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B7C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AC2F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286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58C02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D26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111.37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4195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62A73">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50F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AF1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1.90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CFB5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EDD38">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A29C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105.90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4D7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12.08 </w:t>
            </w:r>
          </w:p>
        </w:tc>
      </w:tr>
      <w:tr w14:paraId="7727E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258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1FE4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8AC4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ED41B">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655F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B369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0B6BB">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A6D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F9D69">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D1B7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48DF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C6E6">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24FBD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A0D1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AB18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08593">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4159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31078">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16103">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EBDC9">
            <w:pPr>
              <w:jc w:val="center"/>
              <w:rPr>
                <w:rFonts w:hint="default" w:ascii="Times New Roman" w:hAnsi="Times New Roman" w:eastAsia="宋体" w:cs="Times New Roman"/>
                <w:i w:val="0"/>
                <w:iCs w:val="0"/>
                <w:color w:val="000000"/>
                <w:sz w:val="22"/>
                <w:szCs w:val="22"/>
                <w:u w:val="none"/>
              </w:rPr>
            </w:pPr>
          </w:p>
        </w:tc>
      </w:tr>
      <w:tr w14:paraId="664D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B9E7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405A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8EBC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97EE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EC0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A965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210.03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431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0.64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85E0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D83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395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5B01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2832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A604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45919">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3B18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BF171">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2A0E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BFF4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E789D">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1CF99">
            <w:pPr>
              <w:jc w:val="center"/>
              <w:rPr>
                <w:rFonts w:hint="default" w:ascii="Times New Roman" w:hAnsi="Times New Roman" w:eastAsia="宋体" w:cs="Times New Roman"/>
                <w:i w:val="0"/>
                <w:iCs w:val="0"/>
                <w:color w:val="000000"/>
                <w:sz w:val="22"/>
                <w:szCs w:val="22"/>
                <w:u w:val="none"/>
              </w:rPr>
            </w:pPr>
          </w:p>
        </w:tc>
      </w:tr>
      <w:tr w14:paraId="53F1B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5D1F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BC37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8041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E9009">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0FC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111.37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577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809A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8D7D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C2D160">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A0246">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F889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6FE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111.37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C47A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8A62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74A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791C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1.90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16C6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23A4">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144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105.90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F61E7">
            <w:pPr>
              <w:jc w:val="center"/>
              <w:rPr>
                <w:rFonts w:hint="default" w:ascii="Times New Roman" w:hAnsi="Times New Roman" w:eastAsia="宋体" w:cs="Times New Roman"/>
                <w:i w:val="0"/>
                <w:iCs w:val="0"/>
                <w:color w:val="000000"/>
                <w:sz w:val="22"/>
                <w:szCs w:val="22"/>
                <w:u w:val="none"/>
              </w:rPr>
            </w:pPr>
          </w:p>
        </w:tc>
      </w:tr>
      <w:tr w14:paraId="7ABB3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4AC4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67D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6799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00A0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9565.32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C4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3886.67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33A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2508.20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BC8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47.25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B12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BD6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5.89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E84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5.89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85D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659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1324.28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8E49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31A5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64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2A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6.62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4AA6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F7F5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4FAC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1295.88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7293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5678.65 </w:t>
            </w:r>
          </w:p>
        </w:tc>
      </w:tr>
      <w:tr w14:paraId="3461F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45DF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5FDB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13E0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3E0DF">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DDA4B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3E995">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D405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DA8BB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9065A">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C2231">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BDB9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9A34C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D81A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B7CD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CEA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15A61">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0218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92C1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4E632D">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C7CB1">
            <w:pPr>
              <w:jc w:val="center"/>
              <w:rPr>
                <w:rFonts w:hint="default" w:ascii="Times New Roman" w:hAnsi="Times New Roman" w:eastAsia="宋体" w:cs="Times New Roman"/>
                <w:i w:val="0"/>
                <w:iCs w:val="0"/>
                <w:color w:val="000000"/>
                <w:sz w:val="22"/>
                <w:szCs w:val="22"/>
                <w:u w:val="none"/>
              </w:rPr>
            </w:pPr>
          </w:p>
        </w:tc>
      </w:tr>
      <w:tr w14:paraId="080B7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5B0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AD35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801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D0D5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B58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2563.62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4FCA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2508.20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710B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47.25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500E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 </w:t>
            </w: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C6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5.89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5E69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5.89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602B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59C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855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2A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1.24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B232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1895">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FDAB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1326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4FFE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F2B57">
            <w:pPr>
              <w:jc w:val="center"/>
              <w:rPr>
                <w:rFonts w:hint="default" w:ascii="Times New Roman" w:hAnsi="Times New Roman" w:eastAsia="宋体" w:cs="Times New Roman"/>
                <w:i w:val="0"/>
                <w:iCs w:val="0"/>
                <w:color w:val="000000"/>
                <w:sz w:val="22"/>
                <w:szCs w:val="22"/>
                <w:u w:val="none"/>
              </w:rPr>
            </w:pPr>
          </w:p>
        </w:tc>
      </w:tr>
      <w:tr w14:paraId="6BA05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B074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5AA4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1BF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6BB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D5BF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1323.04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9ABC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7CF11">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648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39DEB3">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0D527">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D32E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4781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1323.04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C6DF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55325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0D5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15.72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2D83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6.62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81A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0.61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D8F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4.21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C73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1295.88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DFCEA">
            <w:pPr>
              <w:jc w:val="center"/>
              <w:rPr>
                <w:rFonts w:hint="default" w:ascii="Times New Roman" w:hAnsi="Times New Roman" w:eastAsia="宋体" w:cs="Times New Roman"/>
                <w:i w:val="0"/>
                <w:iCs w:val="0"/>
                <w:color w:val="000000"/>
                <w:sz w:val="22"/>
                <w:szCs w:val="22"/>
                <w:u w:val="none"/>
              </w:rPr>
            </w:pPr>
          </w:p>
        </w:tc>
      </w:tr>
      <w:tr w14:paraId="400C8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ADA8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塔洋镇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E048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3359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36368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7011.85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FD09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4687.94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808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3833.27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EC7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45.48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70EE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18F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148.66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07E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148.66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D7BF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9AA4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660.53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ED96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C92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FDF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24.56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ABA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4.82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31D4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684B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2389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626.69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39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2323.91 </w:t>
            </w:r>
          </w:p>
        </w:tc>
      </w:tr>
      <w:tr w14:paraId="3609F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2CA0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3E14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0190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0427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3FFEC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D658E">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A3E48">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40A3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D9113">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17B6">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C231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175D6">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A62D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3C18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F674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9716D">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E626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AEB07">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E9666">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A6728">
            <w:pPr>
              <w:jc w:val="center"/>
              <w:rPr>
                <w:rFonts w:hint="default" w:ascii="Times New Roman" w:hAnsi="Times New Roman" w:eastAsia="宋体" w:cs="Times New Roman"/>
                <w:i w:val="0"/>
                <w:iCs w:val="0"/>
                <w:color w:val="000000"/>
                <w:sz w:val="22"/>
                <w:szCs w:val="22"/>
                <w:u w:val="none"/>
              </w:rPr>
            </w:pPr>
          </w:p>
        </w:tc>
      </w:tr>
      <w:tr w14:paraId="75434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C6BD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3FEF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EBEF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7648F">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448A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4030.07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1C57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3833.27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2823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45.48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B76D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9F52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148.66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A8B7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148.66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8D82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4AE6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CDC7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BB8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D12B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2A93A">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FADE3">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7A8DE">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A34D2">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F2346">
            <w:pPr>
              <w:jc w:val="center"/>
              <w:rPr>
                <w:rFonts w:hint="default" w:ascii="Times New Roman" w:hAnsi="Times New Roman" w:eastAsia="宋体" w:cs="Times New Roman"/>
                <w:i w:val="0"/>
                <w:iCs w:val="0"/>
                <w:color w:val="000000"/>
                <w:sz w:val="22"/>
                <w:szCs w:val="22"/>
                <w:u w:val="none"/>
              </w:rPr>
            </w:pPr>
          </w:p>
        </w:tc>
      </w:tr>
      <w:tr w14:paraId="36CE6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2795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128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3966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DF2A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629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657.87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B5C51">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335E10">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F3FD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F8060E">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267C59">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B73A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A53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657.87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9DF6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907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3EB5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24.56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04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4.82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FB9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D5DD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CA8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626.69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BB430">
            <w:pPr>
              <w:jc w:val="center"/>
              <w:rPr>
                <w:rFonts w:hint="default" w:ascii="Times New Roman" w:hAnsi="Times New Roman" w:eastAsia="宋体" w:cs="Times New Roman"/>
                <w:i w:val="0"/>
                <w:iCs w:val="0"/>
                <w:color w:val="000000"/>
                <w:sz w:val="22"/>
                <w:szCs w:val="22"/>
                <w:u w:val="none"/>
              </w:rPr>
            </w:pPr>
          </w:p>
        </w:tc>
      </w:tr>
      <w:tr w14:paraId="1FCE4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F95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3680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5F11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437F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193.23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761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183.98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B1CC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140.43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F459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53BB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511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EB94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E848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9F38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42.75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21EE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4C8A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41D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3A60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BFFF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AB95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0.77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3AA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39.00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097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9.25 </w:t>
            </w:r>
          </w:p>
        </w:tc>
      </w:tr>
      <w:tr w14:paraId="64850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E1D9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9D67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67AC9">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82D4B">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CD06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DB126">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8941">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F209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3065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E0754">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A620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11748">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29F7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61C4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5A59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7AD4C">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CF529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E487E">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38C2">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6EA756">
            <w:pPr>
              <w:jc w:val="center"/>
              <w:rPr>
                <w:rFonts w:hint="default" w:ascii="Times New Roman" w:hAnsi="Times New Roman" w:eastAsia="宋体" w:cs="Times New Roman"/>
                <w:i w:val="0"/>
                <w:iCs w:val="0"/>
                <w:color w:val="000000"/>
                <w:sz w:val="22"/>
                <w:szCs w:val="22"/>
                <w:u w:val="none"/>
              </w:rPr>
            </w:pPr>
          </w:p>
        </w:tc>
      </w:tr>
      <w:tr w14:paraId="6573C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5A7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06C6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350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1B49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92F9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141.23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48D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140.43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E5B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0.08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B84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513E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44B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0.72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2D71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4B1AD">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ECBA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465DF">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E6F4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8AB58">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8BEC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9F9BE">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1EB6D">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F034E">
            <w:pPr>
              <w:jc w:val="center"/>
              <w:rPr>
                <w:rFonts w:hint="default" w:ascii="Times New Roman" w:hAnsi="Times New Roman" w:eastAsia="宋体" w:cs="Times New Roman"/>
                <w:i w:val="0"/>
                <w:iCs w:val="0"/>
                <w:color w:val="000000"/>
                <w:sz w:val="22"/>
                <w:szCs w:val="22"/>
                <w:u w:val="none"/>
              </w:rPr>
            </w:pPr>
          </w:p>
        </w:tc>
      </w:tr>
      <w:tr w14:paraId="4CEFA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F740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7E2E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5028">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121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D52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42.75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252AB">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97259">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0860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D2A9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F761F">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ADF8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512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42.75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63BF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C6B8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88E7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1824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A932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3691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0.77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596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39.00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E520A">
            <w:pPr>
              <w:jc w:val="center"/>
              <w:rPr>
                <w:rFonts w:hint="default" w:ascii="Times New Roman" w:hAnsi="Times New Roman" w:eastAsia="宋体" w:cs="Times New Roman"/>
                <w:i w:val="0"/>
                <w:iCs w:val="0"/>
                <w:color w:val="000000"/>
                <w:sz w:val="22"/>
                <w:szCs w:val="22"/>
                <w:u w:val="none"/>
              </w:rPr>
            </w:pPr>
          </w:p>
        </w:tc>
      </w:tr>
      <w:tr w14:paraId="1CE83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9A91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CCC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3E7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6715D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6818.62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B64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4503.97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379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3692.85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947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45.40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B42F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2D7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147.93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F9B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147.93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FD2A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534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617.78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FBFC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D20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692F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58B0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4.82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E704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347B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F8F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587.69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A551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2314.65 </w:t>
            </w:r>
          </w:p>
        </w:tc>
      </w:tr>
      <w:tr w14:paraId="201BB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8F1E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6E5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358C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D12EC">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8967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42C51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E6F9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3994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F8957">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219B5">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1CFD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FE86">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041E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EC5E8">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37FC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A0187">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6C7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7A90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84AB8">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22366">
            <w:pPr>
              <w:jc w:val="center"/>
              <w:rPr>
                <w:rFonts w:hint="default" w:ascii="Times New Roman" w:hAnsi="Times New Roman" w:eastAsia="宋体" w:cs="Times New Roman"/>
                <w:i w:val="0"/>
                <w:iCs w:val="0"/>
                <w:color w:val="000000"/>
                <w:sz w:val="22"/>
                <w:szCs w:val="22"/>
                <w:u w:val="none"/>
              </w:rPr>
            </w:pPr>
          </w:p>
        </w:tc>
      </w:tr>
      <w:tr w14:paraId="6394F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F1AA">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78A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1399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ED446">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A1E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3888.84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F5D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3692.85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D8D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45.40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FFDB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D2B8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147.93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2699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147.93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9D45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9B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3169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9973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2.66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985D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2CB67">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11B47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2FBBEB">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16AB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E70E0">
            <w:pPr>
              <w:jc w:val="center"/>
              <w:rPr>
                <w:rFonts w:hint="default" w:ascii="Times New Roman" w:hAnsi="Times New Roman" w:eastAsia="宋体" w:cs="Times New Roman"/>
                <w:i w:val="0"/>
                <w:iCs w:val="0"/>
                <w:color w:val="000000"/>
                <w:sz w:val="22"/>
                <w:szCs w:val="22"/>
                <w:u w:val="none"/>
              </w:rPr>
            </w:pPr>
          </w:p>
        </w:tc>
      </w:tr>
      <w:tr w14:paraId="7285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26C5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B70E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B25B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7BFF7">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CE6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615.12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6C95">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F5FD3">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F33F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2874A">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0C035">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CB38B">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07F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615.12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4D5E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2CEB0">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AD29E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21.58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E2B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4.82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F5E2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D70B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24CE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587.69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4A4F6">
            <w:pPr>
              <w:jc w:val="center"/>
              <w:rPr>
                <w:rFonts w:hint="default" w:ascii="Times New Roman" w:hAnsi="Times New Roman" w:eastAsia="宋体" w:cs="Times New Roman"/>
                <w:i w:val="0"/>
                <w:iCs w:val="0"/>
                <w:color w:val="000000"/>
                <w:sz w:val="22"/>
                <w:szCs w:val="22"/>
                <w:u w:val="none"/>
              </w:rPr>
            </w:pPr>
          </w:p>
        </w:tc>
      </w:tr>
      <w:tr w14:paraId="37C432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136C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大路镇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9C50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1B06">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078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13815.20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2CBB4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10409.10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9FD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9213.57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AD2D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16.88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9A57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ADB8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138.67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9BE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138.67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4A9C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E180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1039.97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EFDE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7C7F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7B5E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864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104.04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391A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12DE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7.08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97A7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896.79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3A397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3406.10 </w:t>
            </w:r>
          </w:p>
        </w:tc>
      </w:tr>
      <w:tr w14:paraId="3935A4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D474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993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A18F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C2CA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7BE7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70E23">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123DE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E4EF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BD8E">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9F5B3">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C2C8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E672C">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7E04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928D8">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0350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58441">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186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794E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564A3B">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377B7">
            <w:pPr>
              <w:jc w:val="center"/>
              <w:rPr>
                <w:rFonts w:hint="default" w:ascii="Times New Roman" w:hAnsi="Times New Roman" w:eastAsia="宋体" w:cs="Times New Roman"/>
                <w:i w:val="0"/>
                <w:iCs w:val="0"/>
                <w:color w:val="000000"/>
                <w:sz w:val="22"/>
                <w:szCs w:val="22"/>
                <w:u w:val="none"/>
              </w:rPr>
            </w:pPr>
          </w:p>
        </w:tc>
      </w:tr>
      <w:tr w14:paraId="21027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FCC7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03C5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34D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D4169">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B00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9369.12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8DD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9213.57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81AB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16.88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18AC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372A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138.67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B7E8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138.67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828D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BD17">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83B8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52E10">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116A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E0B34">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8639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6B03E">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29EDD">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C6DB4">
            <w:pPr>
              <w:jc w:val="center"/>
              <w:rPr>
                <w:rFonts w:hint="default" w:ascii="Times New Roman" w:hAnsi="Times New Roman" w:eastAsia="宋体" w:cs="Times New Roman"/>
                <w:i w:val="0"/>
                <w:iCs w:val="0"/>
                <w:color w:val="000000"/>
                <w:sz w:val="22"/>
                <w:szCs w:val="22"/>
                <w:u w:val="none"/>
              </w:rPr>
            </w:pPr>
          </w:p>
        </w:tc>
      </w:tr>
      <w:tr w14:paraId="395091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9970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5866A">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5EF0">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CF23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A9DF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1039.97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B7884">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AE904">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980E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36C5">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D35A2">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F7C6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8385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1039.97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7EF9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3BF34">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4176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32.06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F66E6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104.04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4B55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F778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7.08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FC1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896.79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8E20">
            <w:pPr>
              <w:jc w:val="center"/>
              <w:rPr>
                <w:rFonts w:hint="default" w:ascii="Times New Roman" w:hAnsi="Times New Roman" w:eastAsia="宋体" w:cs="Times New Roman"/>
                <w:i w:val="0"/>
                <w:iCs w:val="0"/>
                <w:color w:val="000000"/>
                <w:sz w:val="22"/>
                <w:szCs w:val="22"/>
                <w:u w:val="none"/>
              </w:rPr>
            </w:pPr>
          </w:p>
        </w:tc>
      </w:tr>
      <w:tr w14:paraId="502AD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CE3A">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62E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9023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2738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2775.12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361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2743.28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82C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2550.42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2E71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5.71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6C95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FAD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21.06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0F9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21.06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2C1B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7510F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166.09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D38F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A754F">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F0AC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560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45.87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0E95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3201B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4.65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A77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112.15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05D2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31.83 </w:t>
            </w:r>
          </w:p>
        </w:tc>
      </w:tr>
      <w:tr w14:paraId="780EB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A00F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3C99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00F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96BFF">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917E">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E5038">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40E52">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E332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C4F3F">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D496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2839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95B38">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8C14D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B740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D117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EBCAB">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4522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41B94">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B2D7B">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E66D4">
            <w:pPr>
              <w:jc w:val="center"/>
              <w:rPr>
                <w:rFonts w:hint="default" w:ascii="Times New Roman" w:hAnsi="Times New Roman" w:eastAsia="宋体" w:cs="Times New Roman"/>
                <w:i w:val="0"/>
                <w:iCs w:val="0"/>
                <w:color w:val="000000"/>
                <w:sz w:val="22"/>
                <w:szCs w:val="22"/>
                <w:u w:val="none"/>
              </w:rPr>
            </w:pPr>
          </w:p>
        </w:tc>
      </w:tr>
      <w:tr w14:paraId="6C950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A363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06E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41CDC">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6F93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2BB5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2577.19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1F70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2550.42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14C4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5.71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31F1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909D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21.06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C34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21.06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7C0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78D2E">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EFB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7DE20C">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DA4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E3111">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54796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D1037">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3FB49">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D0E79">
            <w:pPr>
              <w:jc w:val="center"/>
              <w:rPr>
                <w:rFonts w:hint="default" w:ascii="Times New Roman" w:hAnsi="Times New Roman" w:eastAsia="宋体" w:cs="Times New Roman"/>
                <w:i w:val="0"/>
                <w:iCs w:val="0"/>
                <w:color w:val="000000"/>
                <w:sz w:val="22"/>
                <w:szCs w:val="22"/>
                <w:u w:val="none"/>
              </w:rPr>
            </w:pPr>
          </w:p>
        </w:tc>
      </w:tr>
      <w:tr w14:paraId="73837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8B230">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C221">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566D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81B4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6A3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166.09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0273D">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BA50B">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6318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B738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1EB03">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3239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A77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166.09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6889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03AD5">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490B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3.42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CE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45.87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5461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A1C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4.65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5667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112.15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98596">
            <w:pPr>
              <w:jc w:val="center"/>
              <w:rPr>
                <w:rFonts w:hint="default" w:ascii="Times New Roman" w:hAnsi="Times New Roman" w:eastAsia="宋体" w:cs="Times New Roman"/>
                <w:i w:val="0"/>
                <w:iCs w:val="0"/>
                <w:color w:val="000000"/>
                <w:sz w:val="22"/>
                <w:szCs w:val="22"/>
                <w:u w:val="none"/>
              </w:rPr>
            </w:pPr>
          </w:p>
        </w:tc>
      </w:tr>
      <w:tr w14:paraId="59B90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ED48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0FB7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2A28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024D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11040.08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7C56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7665.81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7AA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6663.15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4F01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11.17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9192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35E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117.61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B27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117.61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7564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7F2F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873.88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33D7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52C46">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6D6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28.64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13A1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58.17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5932F">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8E01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D30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784.64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37B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3374.27 </w:t>
            </w:r>
          </w:p>
        </w:tc>
      </w:tr>
      <w:tr w14:paraId="5E7BF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27139">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7E9B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FB71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1B0DA">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DE34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5C106">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A08739">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2B96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F12B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744CD">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110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DB22B0">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1808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F748B">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74B2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44F1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2220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A54C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ABFE0">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9786D">
            <w:pPr>
              <w:jc w:val="center"/>
              <w:rPr>
                <w:rFonts w:hint="default" w:ascii="Times New Roman" w:hAnsi="Times New Roman" w:eastAsia="宋体" w:cs="Times New Roman"/>
                <w:i w:val="0"/>
                <w:iCs w:val="0"/>
                <w:color w:val="000000"/>
                <w:sz w:val="22"/>
                <w:szCs w:val="22"/>
                <w:u w:val="none"/>
              </w:rPr>
            </w:pPr>
          </w:p>
        </w:tc>
      </w:tr>
      <w:tr w14:paraId="63828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980F">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894F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ECC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AA6B2">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D456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6791.93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A5B2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6663.15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25C0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11.17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A565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9D4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117.61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ED57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117.61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BB54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3418B">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D05A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D62C2">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A03E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DDA69">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79D1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71608">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D0D453">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D207B">
            <w:pPr>
              <w:jc w:val="center"/>
              <w:rPr>
                <w:rFonts w:hint="default" w:ascii="Times New Roman" w:hAnsi="Times New Roman" w:eastAsia="宋体" w:cs="Times New Roman"/>
                <w:i w:val="0"/>
                <w:iCs w:val="0"/>
                <w:color w:val="000000"/>
                <w:sz w:val="22"/>
                <w:szCs w:val="22"/>
                <w:u w:val="none"/>
              </w:rPr>
            </w:pPr>
          </w:p>
        </w:tc>
      </w:tr>
      <w:tr w14:paraId="4B165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9FD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63C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B310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0EDA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0AED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873.88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83CEC">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8EE86">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DAFF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75E98">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DF6C1">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D574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E1C62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873.88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1DAF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33FF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881D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28.64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47B76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58.17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B215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1EE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2.43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6C82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784.64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E56966">
            <w:pPr>
              <w:jc w:val="center"/>
              <w:rPr>
                <w:rFonts w:hint="default" w:ascii="Times New Roman" w:hAnsi="Times New Roman" w:eastAsia="宋体" w:cs="Times New Roman"/>
                <w:i w:val="0"/>
                <w:iCs w:val="0"/>
                <w:color w:val="000000"/>
                <w:sz w:val="22"/>
                <w:szCs w:val="22"/>
                <w:u w:val="none"/>
              </w:rPr>
            </w:pPr>
          </w:p>
        </w:tc>
      </w:tr>
      <w:tr w14:paraId="6F28C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11CA">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会山镇</w:t>
            </w: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B9802">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合计</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7F53">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9E7D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29231.36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C6A9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26950.00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CDEA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25444.86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68FB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49.91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0B60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17FC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17.80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F61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17.80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3DE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4F2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1437.43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C982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4FC75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8.70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8E4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FA7F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41.64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2320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9E3F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182.08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DC72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1204.04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69A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2281.36 </w:t>
            </w:r>
          </w:p>
        </w:tc>
      </w:tr>
      <w:tr w14:paraId="6E8E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15243">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009B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0A241">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8B7B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A1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1800.93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464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1800.93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0CA3D">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BB3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F0D44">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82308">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485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FFF2D">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A71F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867057">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86D0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F3F02">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C5CAC">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FC79D">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7681E">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8443C">
            <w:pPr>
              <w:jc w:val="center"/>
              <w:rPr>
                <w:rFonts w:hint="default" w:ascii="Times New Roman" w:hAnsi="Times New Roman" w:eastAsia="宋体" w:cs="Times New Roman"/>
                <w:i w:val="0"/>
                <w:iCs w:val="0"/>
                <w:color w:val="000000"/>
                <w:sz w:val="22"/>
                <w:szCs w:val="22"/>
                <w:u w:val="none"/>
              </w:rPr>
            </w:pPr>
          </w:p>
        </w:tc>
      </w:tr>
      <w:tr w14:paraId="05759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4594">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5B495">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3F8E">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262F0">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9C02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23720.34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D98E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23643.93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F898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49.91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707E">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B234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17.80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F3F1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17.80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8714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FF51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8.70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FE6F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2180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8.70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C3823B">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EA52F">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B733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C8BBC">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C5219">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64A2C">
            <w:pPr>
              <w:jc w:val="center"/>
              <w:rPr>
                <w:rFonts w:hint="default" w:ascii="Times New Roman" w:hAnsi="Times New Roman" w:eastAsia="宋体" w:cs="Times New Roman"/>
                <w:i w:val="0"/>
                <w:iCs w:val="0"/>
                <w:color w:val="000000"/>
                <w:sz w:val="22"/>
                <w:szCs w:val="22"/>
                <w:u w:val="none"/>
              </w:rPr>
            </w:pPr>
          </w:p>
        </w:tc>
      </w:tr>
      <w:tr w14:paraId="2A572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2D2DE">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0389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29F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E51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C63F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1428.73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5BF05">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8C6F">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7745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BDCF1">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68B0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5A57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8479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1428.73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6D0D8">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B4F3D">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09B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0.97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095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41.64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7258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981A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182.08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AE51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1204.04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A1D77">
            <w:pPr>
              <w:jc w:val="center"/>
              <w:rPr>
                <w:rFonts w:hint="default" w:ascii="Times New Roman" w:hAnsi="Times New Roman" w:eastAsia="宋体" w:cs="Times New Roman"/>
                <w:i w:val="0"/>
                <w:iCs w:val="0"/>
                <w:color w:val="000000"/>
                <w:sz w:val="22"/>
                <w:szCs w:val="22"/>
                <w:u w:val="none"/>
              </w:rPr>
            </w:pPr>
          </w:p>
        </w:tc>
      </w:tr>
      <w:tr w14:paraId="6F101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B4582">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275D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国有</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46A9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CC90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18850.10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0228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17036.56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F759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16063.65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040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29.33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7416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0A83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4A26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414DB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07CB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936.82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DAA4">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822A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6F84E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AF76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CE9585">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A527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94.44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BB9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828.31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95D77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1813.54 </w:t>
            </w:r>
          </w:p>
        </w:tc>
      </w:tr>
      <w:tr w14:paraId="285C90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7F7F8">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A6AC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B855">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7F8B5F">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CA6D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5731F">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1499">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393E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1809E">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84ED63">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B0C0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192B9">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244A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972CE">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5DDA2">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5B31E">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EF800">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91D93">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CF29A">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0BAE1">
            <w:pPr>
              <w:jc w:val="center"/>
              <w:rPr>
                <w:rFonts w:hint="default" w:ascii="Times New Roman" w:hAnsi="Times New Roman" w:eastAsia="宋体" w:cs="Times New Roman"/>
                <w:i w:val="0"/>
                <w:iCs w:val="0"/>
                <w:color w:val="000000"/>
                <w:sz w:val="22"/>
                <w:szCs w:val="22"/>
                <w:u w:val="none"/>
              </w:rPr>
            </w:pPr>
          </w:p>
        </w:tc>
      </w:tr>
      <w:tr w14:paraId="4E24D8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910AD">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DE6C">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FF2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3CB8">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3515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16107.63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BFB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16063.65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340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29.33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4DCD">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25B3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AC65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6.75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3C56C">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A5F1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F51B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1884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7.90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E013D">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7C63D">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9C0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FDE18">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0D011">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70C79B">
            <w:pPr>
              <w:jc w:val="center"/>
              <w:rPr>
                <w:rFonts w:hint="default" w:ascii="Times New Roman" w:hAnsi="Times New Roman" w:eastAsia="宋体" w:cs="Times New Roman"/>
                <w:i w:val="0"/>
                <w:iCs w:val="0"/>
                <w:color w:val="000000"/>
                <w:sz w:val="22"/>
                <w:szCs w:val="22"/>
                <w:u w:val="none"/>
              </w:rPr>
            </w:pPr>
          </w:p>
        </w:tc>
      </w:tr>
      <w:tr w14:paraId="1F0A5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228A7">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95BB">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2A69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72A41">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4B6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928.92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644E9">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CC945">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FD137">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5F8ED">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C07A2">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4FA76">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249DE3">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928.92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8013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F96E1">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5A9C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0.40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880A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5.77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B24238">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8B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94.44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6540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828.31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3DE00">
            <w:pPr>
              <w:jc w:val="center"/>
              <w:rPr>
                <w:rFonts w:hint="default" w:ascii="Times New Roman" w:hAnsi="Times New Roman" w:eastAsia="宋体" w:cs="Times New Roman"/>
                <w:i w:val="0"/>
                <w:iCs w:val="0"/>
                <w:color w:val="000000"/>
                <w:sz w:val="22"/>
                <w:szCs w:val="22"/>
                <w:u w:val="none"/>
              </w:rPr>
            </w:pPr>
          </w:p>
        </w:tc>
      </w:tr>
      <w:tr w14:paraId="5CEAD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1ACB6">
            <w:pPr>
              <w:jc w:val="center"/>
              <w:rPr>
                <w:rFonts w:hint="eastAsia" w:ascii="Times New Roman" w:hAnsi="Times New Roman" w:eastAsia="仿宋_GB2312" w:cs="Times New Roman"/>
                <w:i w:val="0"/>
                <w:iCs w:val="0"/>
                <w:color w:val="000000"/>
                <w:kern w:val="0"/>
                <w:sz w:val="24"/>
                <w:szCs w:val="24"/>
                <w:u w:val="none"/>
                <w:lang w:val="en-US" w:eastAsia="zh-CN" w:bidi="ar"/>
              </w:rPr>
            </w:pPr>
          </w:p>
        </w:tc>
        <w:tc>
          <w:tcPr>
            <w:tcW w:w="1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00A7D">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集体</w:t>
            </w: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7CACF">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小计</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F781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10381.26 </w:t>
            </w: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FE8E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9913.44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4611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9381.21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616A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20.59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E53D00">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6A17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300A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891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BC24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500.59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D3B4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329C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0.79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4D50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3B3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35.87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F161">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0FB2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87.64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C3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375.72 </w:t>
            </w: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7333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467.82 </w:t>
            </w:r>
          </w:p>
        </w:tc>
      </w:tr>
      <w:tr w14:paraId="102D6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C803D">
            <w:pPr>
              <w:jc w:val="center"/>
              <w:rPr>
                <w:rFonts w:hint="eastAsia" w:ascii="宋体" w:hAnsi="宋体" w:eastAsia="宋体" w:cs="宋体"/>
                <w:i w:val="0"/>
                <w:iCs w:val="0"/>
                <w:color w:val="000000"/>
                <w:sz w:val="20"/>
                <w:szCs w:val="20"/>
                <w:u w:val="none"/>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D085">
            <w:pPr>
              <w:jc w:val="center"/>
              <w:rPr>
                <w:rFonts w:hint="eastAsia" w:ascii="宋体" w:hAnsi="宋体" w:eastAsia="宋体" w:cs="宋体"/>
                <w:i w:val="0"/>
                <w:iCs w:val="0"/>
                <w:color w:val="000000"/>
                <w:sz w:val="20"/>
                <w:szCs w:val="20"/>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33394">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天然</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3D16E">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092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1800.93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620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1800.93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10C3F">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EC711">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ED47C">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19C9">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1FB3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59D3F">
            <w:pPr>
              <w:jc w:val="center"/>
              <w:rPr>
                <w:rFonts w:hint="default" w:ascii="Times New Roman" w:hAnsi="Times New Roman" w:eastAsia="宋体" w:cs="Times New Roman"/>
                <w:i w:val="0"/>
                <w:iCs w:val="0"/>
                <w:color w:val="000000"/>
                <w:sz w:val="22"/>
                <w:szCs w:val="22"/>
                <w:u w:val="none"/>
              </w:rPr>
            </w:pP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25639">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00DB4">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5B67">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00A00">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03DDA">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CAF06">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98769">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30CD3">
            <w:pPr>
              <w:jc w:val="center"/>
              <w:rPr>
                <w:rFonts w:hint="default" w:ascii="Times New Roman" w:hAnsi="Times New Roman" w:eastAsia="宋体" w:cs="Times New Roman"/>
                <w:i w:val="0"/>
                <w:iCs w:val="0"/>
                <w:color w:val="000000"/>
                <w:sz w:val="22"/>
                <w:szCs w:val="22"/>
                <w:u w:val="none"/>
              </w:rPr>
            </w:pPr>
          </w:p>
        </w:tc>
      </w:tr>
      <w:tr w14:paraId="4164C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59F5E">
            <w:pPr>
              <w:jc w:val="center"/>
              <w:rPr>
                <w:rFonts w:hint="eastAsia" w:ascii="宋体" w:hAnsi="宋体" w:eastAsia="宋体" w:cs="宋体"/>
                <w:i w:val="0"/>
                <w:iCs w:val="0"/>
                <w:color w:val="000000"/>
                <w:sz w:val="20"/>
                <w:szCs w:val="20"/>
                <w:u w:val="none"/>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EB6B6">
            <w:pPr>
              <w:jc w:val="center"/>
              <w:rPr>
                <w:rFonts w:hint="eastAsia" w:ascii="宋体" w:hAnsi="宋体" w:eastAsia="宋体" w:cs="宋体"/>
                <w:i w:val="0"/>
                <w:iCs w:val="0"/>
                <w:color w:val="000000"/>
                <w:sz w:val="20"/>
                <w:szCs w:val="20"/>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D157">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人工</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EFA73">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CEDB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7612.71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0CC4EC">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7580.28 </w:t>
            </w:r>
          </w:p>
        </w:tc>
        <w:tc>
          <w:tcPr>
            <w:tcW w:w="2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1227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20.59 </w:t>
            </w:r>
          </w:p>
        </w:tc>
        <w:tc>
          <w:tcPr>
            <w:tcW w:w="2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4D383">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5FA5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11.05 </w:t>
            </w:r>
          </w:p>
        </w:tc>
        <w:tc>
          <w:tcPr>
            <w:tcW w:w="3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1564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11.05 </w:t>
            </w:r>
          </w:p>
        </w:tc>
        <w:tc>
          <w:tcPr>
            <w:tcW w:w="23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6FDDF">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F28C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0.79 </w:t>
            </w:r>
          </w:p>
        </w:tc>
        <w:tc>
          <w:tcPr>
            <w:tcW w:w="22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A5F0A">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237D">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0.79 </w:t>
            </w: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80656">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69F44">
            <w:pPr>
              <w:jc w:val="center"/>
              <w:rPr>
                <w:rFonts w:hint="default" w:ascii="Times New Roman" w:hAnsi="Times New Roman" w:eastAsia="宋体" w:cs="Times New Roman"/>
                <w:i w:val="0"/>
                <w:iCs w:val="0"/>
                <w:color w:val="000000"/>
                <w:sz w:val="22"/>
                <w:szCs w:val="22"/>
                <w:u w:val="none"/>
              </w:rPr>
            </w:pP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E1324">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78222">
            <w:pPr>
              <w:jc w:val="center"/>
              <w:rPr>
                <w:rFonts w:hint="default" w:ascii="Times New Roman" w:hAnsi="Times New Roman" w:eastAsia="宋体" w:cs="Times New Roman"/>
                <w:i w:val="0"/>
                <w:iCs w:val="0"/>
                <w:color w:val="000000"/>
                <w:sz w:val="22"/>
                <w:szCs w:val="22"/>
                <w:u w:val="none"/>
              </w:rPr>
            </w:pP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CDFA1">
            <w:pPr>
              <w:jc w:val="center"/>
              <w:rPr>
                <w:rFonts w:hint="default" w:ascii="Times New Roman" w:hAnsi="Times New Roman" w:eastAsia="宋体" w:cs="Times New Roman"/>
                <w:i w:val="0"/>
                <w:iCs w:val="0"/>
                <w:color w:val="000000"/>
                <w:sz w:val="22"/>
                <w:szCs w:val="22"/>
                <w:u w:val="none"/>
              </w:rPr>
            </w:pPr>
          </w:p>
        </w:tc>
        <w:tc>
          <w:tcPr>
            <w:tcW w:w="2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18D3F">
            <w:pPr>
              <w:jc w:val="center"/>
              <w:rPr>
                <w:rFonts w:hint="default" w:ascii="Times New Roman" w:hAnsi="Times New Roman" w:eastAsia="宋体" w:cs="Times New Roman"/>
                <w:i w:val="0"/>
                <w:iCs w:val="0"/>
                <w:color w:val="000000"/>
                <w:sz w:val="22"/>
                <w:szCs w:val="22"/>
                <w:u w:val="none"/>
              </w:rPr>
            </w:pPr>
          </w:p>
        </w:tc>
      </w:tr>
      <w:tr w14:paraId="12C6C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26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673B4">
            <w:pPr>
              <w:jc w:val="center"/>
              <w:rPr>
                <w:rFonts w:hint="eastAsia" w:ascii="宋体" w:hAnsi="宋体" w:eastAsia="宋体" w:cs="宋体"/>
                <w:i w:val="0"/>
                <w:iCs w:val="0"/>
                <w:color w:val="000000"/>
                <w:sz w:val="20"/>
                <w:szCs w:val="20"/>
                <w:u w:val="none"/>
              </w:rPr>
            </w:pPr>
          </w:p>
        </w:tc>
        <w:tc>
          <w:tcPr>
            <w:tcW w:w="1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EACD">
            <w:pPr>
              <w:jc w:val="center"/>
              <w:rPr>
                <w:rFonts w:hint="eastAsia" w:ascii="宋体" w:hAnsi="宋体" w:eastAsia="宋体" w:cs="宋体"/>
                <w:i w:val="0"/>
                <w:iCs w:val="0"/>
                <w:color w:val="000000"/>
                <w:sz w:val="20"/>
                <w:szCs w:val="20"/>
                <w:u w:val="none"/>
              </w:rPr>
            </w:pPr>
          </w:p>
        </w:tc>
        <w:tc>
          <w:tcPr>
            <w:tcW w:w="1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1168B">
            <w:pPr>
              <w:jc w:val="center"/>
              <w:rPr>
                <w:rFonts w:hint="eastAsia"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无</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FDA95">
            <w:pPr>
              <w:jc w:val="center"/>
              <w:rPr>
                <w:rFonts w:hint="default" w:ascii="Times New Roman" w:hAnsi="Times New Roman" w:eastAsia="宋体" w:cs="Times New Roman"/>
                <w:i w:val="0"/>
                <w:iCs w:val="0"/>
                <w:color w:val="000000"/>
                <w:sz w:val="22"/>
                <w:szCs w:val="22"/>
                <w:u w:val="none"/>
              </w:rPr>
            </w:pPr>
          </w:p>
        </w:tc>
        <w:tc>
          <w:tcPr>
            <w:tcW w:w="3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5B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499.80 </w:t>
            </w:r>
          </w:p>
        </w:tc>
        <w:tc>
          <w:tcPr>
            <w:tcW w:w="27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4255">
            <w:pPr>
              <w:jc w:val="center"/>
              <w:rPr>
                <w:rFonts w:hint="default" w:ascii="Times New Roman" w:hAnsi="Times New Roman" w:eastAsia="宋体" w:cs="Times New Roman"/>
                <w:i w:val="0"/>
                <w:iCs w:val="0"/>
                <w:color w:val="000000"/>
                <w:sz w:val="22"/>
                <w:szCs w:val="22"/>
                <w:u w:val="none"/>
              </w:rPr>
            </w:pPr>
          </w:p>
        </w:tc>
        <w:tc>
          <w:tcPr>
            <w:tcW w:w="2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2035A">
            <w:pPr>
              <w:jc w:val="center"/>
              <w:rPr>
                <w:rFonts w:hint="default" w:ascii="Times New Roman" w:hAnsi="Times New Roman" w:eastAsia="宋体" w:cs="Times New Roman"/>
                <w:i w:val="0"/>
                <w:iCs w:val="0"/>
                <w:color w:val="000000"/>
                <w:sz w:val="22"/>
                <w:szCs w:val="22"/>
                <w:u w:val="none"/>
              </w:rPr>
            </w:pPr>
          </w:p>
        </w:tc>
        <w:tc>
          <w:tcPr>
            <w:tcW w:w="2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8078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07736">
            <w:pPr>
              <w:jc w:val="center"/>
              <w:rPr>
                <w:rFonts w:hint="default" w:ascii="Times New Roman" w:hAnsi="Times New Roman" w:eastAsia="宋体" w:cs="Times New Roman"/>
                <w:i w:val="0"/>
                <w:iCs w:val="0"/>
                <w:color w:val="000000"/>
                <w:sz w:val="22"/>
                <w:szCs w:val="22"/>
                <w:u w:val="none"/>
              </w:rPr>
            </w:pPr>
          </w:p>
        </w:tc>
        <w:tc>
          <w:tcPr>
            <w:tcW w:w="32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CA5A">
            <w:pPr>
              <w:jc w:val="center"/>
              <w:rPr>
                <w:rFonts w:hint="default" w:ascii="Times New Roman" w:hAnsi="Times New Roman" w:eastAsia="宋体" w:cs="Times New Roman"/>
                <w:i w:val="0"/>
                <w:iCs w:val="0"/>
                <w:color w:val="000000"/>
                <w:sz w:val="22"/>
                <w:szCs w:val="22"/>
                <w:u w:val="none"/>
              </w:rPr>
            </w:pPr>
          </w:p>
        </w:tc>
        <w:tc>
          <w:tcPr>
            <w:tcW w:w="2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5625">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4EE8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499.80 </w:t>
            </w:r>
          </w:p>
        </w:tc>
        <w:tc>
          <w:tcPr>
            <w:tcW w:w="22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F35E2">
            <w:pPr>
              <w:jc w:val="center"/>
              <w:rPr>
                <w:rFonts w:hint="default" w:ascii="Times New Roman" w:hAnsi="Times New Roman" w:eastAsia="宋体" w:cs="Times New Roman"/>
                <w:i w:val="0"/>
                <w:iCs w:val="0"/>
                <w:color w:val="000000"/>
                <w:sz w:val="22"/>
                <w:szCs w:val="22"/>
                <w:u w:val="none"/>
              </w:rPr>
            </w:pPr>
          </w:p>
        </w:tc>
        <w:tc>
          <w:tcPr>
            <w:tcW w:w="2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EC85F">
            <w:pPr>
              <w:jc w:val="center"/>
              <w:rPr>
                <w:rFonts w:hint="default" w:ascii="Times New Roman" w:hAnsi="Times New Roman" w:eastAsia="宋体" w:cs="Times New Roman"/>
                <w:i w:val="0"/>
                <w:iCs w:val="0"/>
                <w:color w:val="000000"/>
                <w:sz w:val="22"/>
                <w:szCs w:val="22"/>
                <w:u w:val="none"/>
              </w:rPr>
            </w:pPr>
          </w:p>
        </w:tc>
        <w:tc>
          <w:tcPr>
            <w:tcW w:w="25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1DFD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0.57 </w:t>
            </w: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4EB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35.87 </w:t>
            </w:r>
          </w:p>
        </w:tc>
        <w:tc>
          <w:tcPr>
            <w:tcW w:w="27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965C9">
            <w:pPr>
              <w:jc w:val="center"/>
              <w:rPr>
                <w:rFonts w:hint="default" w:ascii="Times New Roman" w:hAnsi="Times New Roman" w:eastAsia="宋体" w:cs="Times New Roman"/>
                <w:i w:val="0"/>
                <w:iCs w:val="0"/>
                <w:color w:val="000000"/>
                <w:sz w:val="22"/>
                <w:szCs w:val="22"/>
                <w:u w:val="none"/>
              </w:rPr>
            </w:pPr>
          </w:p>
        </w:tc>
        <w:tc>
          <w:tcPr>
            <w:tcW w:w="2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715F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87.64 </w:t>
            </w:r>
          </w:p>
        </w:tc>
        <w:tc>
          <w:tcPr>
            <w:tcW w:w="25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AA15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 xml:space="preserve">375.72 </w:t>
            </w:r>
          </w:p>
        </w:tc>
        <w:tc>
          <w:tcPr>
            <w:tcW w:w="23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BFA8">
            <w:pPr>
              <w:jc w:val="center"/>
              <w:rPr>
                <w:rFonts w:hint="default" w:ascii="Times New Roman" w:hAnsi="Times New Roman" w:eastAsia="宋体" w:cs="Times New Roman"/>
                <w:i w:val="0"/>
                <w:iCs w:val="0"/>
                <w:color w:val="000000"/>
                <w:sz w:val="22"/>
                <w:szCs w:val="22"/>
                <w:u w:val="none"/>
              </w:rPr>
            </w:pPr>
          </w:p>
        </w:tc>
      </w:tr>
    </w:tbl>
    <w:p w14:paraId="1EF60BDA">
      <w:pPr>
        <w:pStyle w:val="2"/>
        <w:jc w:val="both"/>
        <w:rPr>
          <w:rFonts w:hint="default" w:ascii="黑体" w:hAnsi="黑体" w:eastAsia="黑体" w:cs="黑体"/>
          <w:i w:val="0"/>
          <w:color w:val="auto"/>
          <w:kern w:val="0"/>
          <w:sz w:val="21"/>
          <w:szCs w:val="21"/>
          <w:u w:val="none"/>
          <w:lang w:val="en-US" w:eastAsia="zh-CN" w:bidi="ar"/>
        </w:rPr>
      </w:pPr>
    </w:p>
    <w:p w14:paraId="24B8F419">
      <w:pPr>
        <w:pStyle w:val="2"/>
        <w:jc w:val="center"/>
        <w:rPr>
          <w:rFonts w:hint="default" w:eastAsia="黑体" w:cs="Times New Roman"/>
          <w:b w:val="0"/>
          <w:bCs/>
          <w:sz w:val="28"/>
          <w:szCs w:val="28"/>
          <w:lang w:val="en-US" w:eastAsia="zh-CN"/>
        </w:rPr>
        <w:sectPr>
          <w:footerReference r:id="rId5" w:type="default"/>
          <w:pgSz w:w="23811" w:h="16838" w:orient="landscape"/>
          <w:pgMar w:top="1800" w:right="1440" w:bottom="1800" w:left="1440" w:header="851" w:footer="992" w:gutter="0"/>
          <w:pgNumType w:fmt="decimal"/>
          <w:cols w:space="425" w:num="1"/>
          <w:docGrid w:type="lines" w:linePitch="312" w:charSpace="0"/>
        </w:sectPr>
      </w:pPr>
    </w:p>
    <w:p w14:paraId="350E6CE4">
      <w:pPr>
        <w:pStyle w:val="2"/>
        <w:rPr>
          <w:rFonts w:hint="eastAsia"/>
          <w:highlight w:val="none"/>
          <w:lang w:val="en-US" w:eastAsia="zh-CN"/>
        </w:rPr>
      </w:pPr>
      <w:r>
        <w:rPr>
          <w:rFonts w:hint="eastAsia"/>
          <w:highlight w:val="none"/>
          <w:lang w:val="en-US" w:eastAsia="zh-CN"/>
        </w:rPr>
        <w:drawing>
          <wp:anchor distT="0" distB="0" distL="114300" distR="114300" simplePos="0" relativeHeight="251662336" behindDoc="0" locked="0" layoutInCell="1" allowOverlap="1">
            <wp:simplePos x="0" y="0"/>
            <wp:positionH relativeFrom="column">
              <wp:posOffset>-1143000</wp:posOffset>
            </wp:positionH>
            <wp:positionV relativeFrom="paragraph">
              <wp:posOffset>-914400</wp:posOffset>
            </wp:positionV>
            <wp:extent cx="10693400" cy="15123160"/>
            <wp:effectExtent l="0" t="0" r="12700" b="2540"/>
            <wp:wrapSquare wrapText="bothSides"/>
            <wp:docPr id="4" name="图片 4" descr="F:\1琼海市林地保护利用规划\1阶段性成果\琼海市20230714下发图层\琼海市林地保护利用规划（征求意见稿0826修改）\琼海市林地保护利用等级图.jpg琼海市林地保护利用等级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1琼海市林地保护利用规划\1阶段性成果\琼海市20230714下发图层\琼海市林地保护利用规划（征求意见稿0826修改）\琼海市林地保护利用等级图.jpg琼海市林地保护利用等级图"/>
                    <pic:cNvPicPr>
                      <a:picLocks noChangeAspect="1"/>
                    </pic:cNvPicPr>
                  </pic:nvPicPr>
                  <pic:blipFill>
                    <a:blip r:embed="rId9"/>
                    <a:srcRect t="9" b="9"/>
                    <a:stretch>
                      <a:fillRect/>
                    </a:stretch>
                  </pic:blipFill>
                  <pic:spPr>
                    <a:xfrm>
                      <a:off x="0" y="0"/>
                      <a:ext cx="10693400" cy="15123160"/>
                    </a:xfrm>
                    <a:prstGeom prst="rect">
                      <a:avLst/>
                    </a:prstGeom>
                  </pic:spPr>
                </pic:pic>
              </a:graphicData>
            </a:graphic>
          </wp:anchor>
        </w:drawing>
      </w:r>
    </w:p>
    <w:sectPr>
      <w:pgSz w:w="16838" w:h="23811"/>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4F1DF765-E784-4893-A713-8C34663EA99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16166696-621D-4AC3-8AF6-E85E682EEDD1}"/>
  </w:font>
  <w:font w:name="方正小标宋简体">
    <w:altName w:val="黑体"/>
    <w:panose1 w:val="02000000000000000000"/>
    <w:charset w:val="86"/>
    <w:family w:val="script"/>
    <w:pitch w:val="default"/>
    <w:sig w:usb0="00000000" w:usb1="00000000" w:usb2="00000012" w:usb3="00000000" w:csb0="00040001" w:csb1="00000000"/>
    <w:embedRegular r:id="rId3" w:fontKey="{EA6A1CD3-2273-4787-827E-F0CA9E39F43B}"/>
  </w:font>
  <w:font w:name="楷体">
    <w:panose1 w:val="02010609060101010101"/>
    <w:charset w:val="86"/>
    <w:family w:val="auto"/>
    <w:pitch w:val="default"/>
    <w:sig w:usb0="800002BF" w:usb1="38CF7CFA" w:usb2="00000016" w:usb3="00000000" w:csb0="00040001" w:csb1="00000000"/>
    <w:embedRegular r:id="rId4" w:fontKey="{9AE19683-222F-4E58-86F6-0F68C78707E3}"/>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8704B7">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11757F">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5311757F">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9262D4">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5A891">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5405A891">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FFA62C">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9E1688"/>
    <w:multiLevelType w:val="singleLevel"/>
    <w:tmpl w:val="829E1688"/>
    <w:lvl w:ilvl="0" w:tentative="0">
      <w:start w:val="3"/>
      <w:numFmt w:val="decimal"/>
      <w:lvlText w:val="%1."/>
      <w:lvlJc w:val="left"/>
      <w:pPr>
        <w:tabs>
          <w:tab w:val="left" w:pos="312"/>
        </w:tabs>
      </w:pPr>
    </w:lvl>
  </w:abstractNum>
  <w:abstractNum w:abstractNumId="1">
    <w:nsid w:val="9B3CAFAC"/>
    <w:multiLevelType w:val="singleLevel"/>
    <w:tmpl w:val="9B3CAFAC"/>
    <w:lvl w:ilvl="0" w:tentative="0">
      <w:start w:val="2"/>
      <w:numFmt w:val="decimal"/>
      <w:suff w:val="nothing"/>
      <w:lvlText w:val="（%1）"/>
      <w:lvlJc w:val="left"/>
    </w:lvl>
  </w:abstractNum>
  <w:abstractNum w:abstractNumId="2">
    <w:nsid w:val="A2BA753F"/>
    <w:multiLevelType w:val="singleLevel"/>
    <w:tmpl w:val="A2BA753F"/>
    <w:lvl w:ilvl="0" w:tentative="0">
      <w:start w:val="1"/>
      <w:numFmt w:val="decimal"/>
      <w:lvlText w:val="%1."/>
      <w:lvlJc w:val="left"/>
      <w:pPr>
        <w:tabs>
          <w:tab w:val="left" w:pos="312"/>
        </w:tabs>
      </w:pPr>
    </w:lvl>
  </w:abstractNum>
  <w:abstractNum w:abstractNumId="3">
    <w:nsid w:val="C2D51C38"/>
    <w:multiLevelType w:val="singleLevel"/>
    <w:tmpl w:val="C2D51C38"/>
    <w:lvl w:ilvl="0" w:tentative="0">
      <w:start w:val="1"/>
      <w:numFmt w:val="chineseCounting"/>
      <w:suff w:val="nothing"/>
      <w:lvlText w:val="（%1）"/>
      <w:lvlJc w:val="left"/>
      <w:rPr>
        <w:rFonts w:hint="eastAsia"/>
      </w:rPr>
    </w:lvl>
  </w:abstractNum>
  <w:abstractNum w:abstractNumId="4">
    <w:nsid w:val="C612EB9B"/>
    <w:multiLevelType w:val="singleLevel"/>
    <w:tmpl w:val="C612EB9B"/>
    <w:lvl w:ilvl="0" w:tentative="0">
      <w:start w:val="1"/>
      <w:numFmt w:val="chineseCounting"/>
      <w:suff w:val="nothing"/>
      <w:lvlText w:val="（%1）"/>
      <w:lvlJc w:val="left"/>
      <w:rPr>
        <w:rFonts w:hint="eastAsia"/>
      </w:rPr>
    </w:lvl>
  </w:abstractNum>
  <w:abstractNum w:abstractNumId="5">
    <w:nsid w:val="CEECC046"/>
    <w:multiLevelType w:val="singleLevel"/>
    <w:tmpl w:val="CEECC046"/>
    <w:lvl w:ilvl="0" w:tentative="0">
      <w:start w:val="2"/>
      <w:numFmt w:val="chineseCounting"/>
      <w:suff w:val="nothing"/>
      <w:lvlText w:val="（%1）"/>
      <w:lvlJc w:val="left"/>
      <w:rPr>
        <w:rFonts w:hint="eastAsia"/>
      </w:rPr>
    </w:lvl>
  </w:abstractNum>
  <w:abstractNum w:abstractNumId="6">
    <w:nsid w:val="EAF01CEE"/>
    <w:multiLevelType w:val="singleLevel"/>
    <w:tmpl w:val="EAF01CEE"/>
    <w:lvl w:ilvl="0" w:tentative="0">
      <w:start w:val="7"/>
      <w:numFmt w:val="chineseCounting"/>
      <w:suff w:val="nothing"/>
      <w:lvlText w:val="（%1）"/>
      <w:lvlJc w:val="left"/>
      <w:rPr>
        <w:rFonts w:hint="eastAsia"/>
      </w:rPr>
    </w:lvl>
  </w:abstractNum>
  <w:abstractNum w:abstractNumId="7">
    <w:nsid w:val="013E9135"/>
    <w:multiLevelType w:val="singleLevel"/>
    <w:tmpl w:val="013E9135"/>
    <w:lvl w:ilvl="0" w:tentative="0">
      <w:start w:val="1"/>
      <w:numFmt w:val="decimal"/>
      <w:suff w:val="nothing"/>
      <w:lvlText w:val="（%1）"/>
      <w:lvlJc w:val="left"/>
    </w:lvl>
  </w:abstractNum>
  <w:abstractNum w:abstractNumId="8">
    <w:nsid w:val="19EF6366"/>
    <w:multiLevelType w:val="singleLevel"/>
    <w:tmpl w:val="19EF6366"/>
    <w:lvl w:ilvl="0" w:tentative="0">
      <w:start w:val="2"/>
      <w:numFmt w:val="chineseCounting"/>
      <w:suff w:val="nothing"/>
      <w:lvlText w:val="（%1）"/>
      <w:lvlJc w:val="left"/>
      <w:rPr>
        <w:rFonts w:hint="eastAsia"/>
      </w:rPr>
    </w:lvl>
  </w:abstractNum>
  <w:abstractNum w:abstractNumId="9">
    <w:nsid w:val="484608B9"/>
    <w:multiLevelType w:val="singleLevel"/>
    <w:tmpl w:val="484608B9"/>
    <w:lvl w:ilvl="0" w:tentative="0">
      <w:start w:val="1"/>
      <w:numFmt w:val="decimal"/>
      <w:lvlText w:val="%1."/>
      <w:lvlJc w:val="left"/>
      <w:pPr>
        <w:tabs>
          <w:tab w:val="left" w:pos="312"/>
        </w:tabs>
      </w:pPr>
    </w:lvl>
  </w:abstractNum>
  <w:abstractNum w:abstractNumId="10">
    <w:nsid w:val="4B0BAD54"/>
    <w:multiLevelType w:val="singleLevel"/>
    <w:tmpl w:val="4B0BAD54"/>
    <w:lvl w:ilvl="0" w:tentative="0">
      <w:start w:val="1"/>
      <w:numFmt w:val="chineseCounting"/>
      <w:suff w:val="nothing"/>
      <w:lvlText w:val="（%1）"/>
      <w:lvlJc w:val="left"/>
      <w:rPr>
        <w:rFonts w:hint="eastAsia"/>
      </w:rPr>
    </w:lvl>
  </w:abstractNum>
  <w:num w:numId="1">
    <w:abstractNumId w:val="3"/>
  </w:num>
  <w:num w:numId="2">
    <w:abstractNumId w:val="6"/>
  </w:num>
  <w:num w:numId="3">
    <w:abstractNumId w:val="8"/>
  </w:num>
  <w:num w:numId="4">
    <w:abstractNumId w:val="1"/>
  </w:num>
  <w:num w:numId="5">
    <w:abstractNumId w:val="5"/>
  </w:num>
  <w:num w:numId="6">
    <w:abstractNumId w:val="10"/>
  </w:num>
  <w:num w:numId="7">
    <w:abstractNumId w:val="2"/>
  </w:num>
  <w:num w:numId="8">
    <w:abstractNumId w:val="0"/>
  </w:num>
  <w:num w:numId="9">
    <w:abstractNumId w:val="7"/>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wOWY1OThjOTBmY2I1M2U5OGEyOWE4OWU3MTI0MDIifQ=="/>
  </w:docVars>
  <w:rsids>
    <w:rsidRoot w:val="119951AA"/>
    <w:rsid w:val="000C0B92"/>
    <w:rsid w:val="008205B6"/>
    <w:rsid w:val="00850528"/>
    <w:rsid w:val="00C50B26"/>
    <w:rsid w:val="00D03026"/>
    <w:rsid w:val="0179546C"/>
    <w:rsid w:val="020923C5"/>
    <w:rsid w:val="02AD361F"/>
    <w:rsid w:val="030642A2"/>
    <w:rsid w:val="04E4772E"/>
    <w:rsid w:val="0555121D"/>
    <w:rsid w:val="06043E9E"/>
    <w:rsid w:val="065853BA"/>
    <w:rsid w:val="069A035E"/>
    <w:rsid w:val="07AF3996"/>
    <w:rsid w:val="07E5385B"/>
    <w:rsid w:val="089D62F6"/>
    <w:rsid w:val="08BB45BC"/>
    <w:rsid w:val="091B565A"/>
    <w:rsid w:val="0969226A"/>
    <w:rsid w:val="09891534"/>
    <w:rsid w:val="09C851E3"/>
    <w:rsid w:val="09EA6F07"/>
    <w:rsid w:val="0A283ED3"/>
    <w:rsid w:val="0B471443"/>
    <w:rsid w:val="0BEC1442"/>
    <w:rsid w:val="0C0F4B26"/>
    <w:rsid w:val="0C8A49D1"/>
    <w:rsid w:val="0C915D60"/>
    <w:rsid w:val="0C931AD8"/>
    <w:rsid w:val="0D3037CB"/>
    <w:rsid w:val="0D553231"/>
    <w:rsid w:val="0D816B7B"/>
    <w:rsid w:val="0E1704E7"/>
    <w:rsid w:val="0E4B2B29"/>
    <w:rsid w:val="0E7D2A40"/>
    <w:rsid w:val="0F351F78"/>
    <w:rsid w:val="0FCB18D6"/>
    <w:rsid w:val="0FF3288D"/>
    <w:rsid w:val="10D97CD5"/>
    <w:rsid w:val="119951AA"/>
    <w:rsid w:val="11A36191"/>
    <w:rsid w:val="11D156BD"/>
    <w:rsid w:val="132316DC"/>
    <w:rsid w:val="134945B8"/>
    <w:rsid w:val="138E4DA7"/>
    <w:rsid w:val="14546DA5"/>
    <w:rsid w:val="14956A04"/>
    <w:rsid w:val="15AE1730"/>
    <w:rsid w:val="15E16C1D"/>
    <w:rsid w:val="161D0664"/>
    <w:rsid w:val="167D1623"/>
    <w:rsid w:val="17936E30"/>
    <w:rsid w:val="18251A52"/>
    <w:rsid w:val="18D92F68"/>
    <w:rsid w:val="18F57676"/>
    <w:rsid w:val="19193365"/>
    <w:rsid w:val="19BE3F0C"/>
    <w:rsid w:val="1A6B5E42"/>
    <w:rsid w:val="1AD35795"/>
    <w:rsid w:val="1AD4E16A"/>
    <w:rsid w:val="1ADF05F7"/>
    <w:rsid w:val="1C346708"/>
    <w:rsid w:val="1C4032FE"/>
    <w:rsid w:val="1D3D339A"/>
    <w:rsid w:val="1D532878"/>
    <w:rsid w:val="1DF779ED"/>
    <w:rsid w:val="1E2555C3"/>
    <w:rsid w:val="1E2D1660"/>
    <w:rsid w:val="1EC017A6"/>
    <w:rsid w:val="1ED473AF"/>
    <w:rsid w:val="1EE461C3"/>
    <w:rsid w:val="1F486215"/>
    <w:rsid w:val="1F6F6266"/>
    <w:rsid w:val="1FC87893"/>
    <w:rsid w:val="20B95B5F"/>
    <w:rsid w:val="20FF5536"/>
    <w:rsid w:val="21265B23"/>
    <w:rsid w:val="2146308C"/>
    <w:rsid w:val="214B3305"/>
    <w:rsid w:val="21686819"/>
    <w:rsid w:val="2175515A"/>
    <w:rsid w:val="21CC1518"/>
    <w:rsid w:val="2222430F"/>
    <w:rsid w:val="22AC5F50"/>
    <w:rsid w:val="22DB04C2"/>
    <w:rsid w:val="23955CDE"/>
    <w:rsid w:val="239A7798"/>
    <w:rsid w:val="239D2DE4"/>
    <w:rsid w:val="23D26F32"/>
    <w:rsid w:val="24412F15"/>
    <w:rsid w:val="24F22633"/>
    <w:rsid w:val="25275AEB"/>
    <w:rsid w:val="266C21C7"/>
    <w:rsid w:val="26B4291F"/>
    <w:rsid w:val="270F575C"/>
    <w:rsid w:val="277F2F2D"/>
    <w:rsid w:val="27E2526A"/>
    <w:rsid w:val="28620749"/>
    <w:rsid w:val="28AF339E"/>
    <w:rsid w:val="28F72F97"/>
    <w:rsid w:val="2984139B"/>
    <w:rsid w:val="2A77613D"/>
    <w:rsid w:val="2AEC6B2B"/>
    <w:rsid w:val="2AF62BB7"/>
    <w:rsid w:val="2B110340"/>
    <w:rsid w:val="2B165956"/>
    <w:rsid w:val="2B2652E6"/>
    <w:rsid w:val="2C1856FE"/>
    <w:rsid w:val="2C3C027B"/>
    <w:rsid w:val="2C6E531E"/>
    <w:rsid w:val="2CAE1FF8"/>
    <w:rsid w:val="2CC17B44"/>
    <w:rsid w:val="2CC82C80"/>
    <w:rsid w:val="2D962D7E"/>
    <w:rsid w:val="2E33681F"/>
    <w:rsid w:val="2E4E58E6"/>
    <w:rsid w:val="2E900C76"/>
    <w:rsid w:val="2F1A1856"/>
    <w:rsid w:val="2F6D7B0F"/>
    <w:rsid w:val="300541EB"/>
    <w:rsid w:val="317260BB"/>
    <w:rsid w:val="31BA7980"/>
    <w:rsid w:val="31F43BC1"/>
    <w:rsid w:val="32146B93"/>
    <w:rsid w:val="32270D84"/>
    <w:rsid w:val="32AB72CC"/>
    <w:rsid w:val="32B36180"/>
    <w:rsid w:val="32E419C5"/>
    <w:rsid w:val="33257D92"/>
    <w:rsid w:val="33632076"/>
    <w:rsid w:val="339A2E9C"/>
    <w:rsid w:val="33AE06F6"/>
    <w:rsid w:val="34291213"/>
    <w:rsid w:val="353F3CFB"/>
    <w:rsid w:val="355D23D3"/>
    <w:rsid w:val="35837098"/>
    <w:rsid w:val="35F1149A"/>
    <w:rsid w:val="36004966"/>
    <w:rsid w:val="366472A7"/>
    <w:rsid w:val="36A4650C"/>
    <w:rsid w:val="36C22E36"/>
    <w:rsid w:val="379E11AD"/>
    <w:rsid w:val="38404012"/>
    <w:rsid w:val="386913C1"/>
    <w:rsid w:val="38C34C43"/>
    <w:rsid w:val="39A77D2A"/>
    <w:rsid w:val="39BB6D87"/>
    <w:rsid w:val="39FE4185"/>
    <w:rsid w:val="3A086DB2"/>
    <w:rsid w:val="3A09019B"/>
    <w:rsid w:val="3A177193"/>
    <w:rsid w:val="3A3D4044"/>
    <w:rsid w:val="3AF87FD8"/>
    <w:rsid w:val="3B450930"/>
    <w:rsid w:val="3B5B73B5"/>
    <w:rsid w:val="3B6C511E"/>
    <w:rsid w:val="3BAC7C11"/>
    <w:rsid w:val="3BBF16F2"/>
    <w:rsid w:val="3BEE1FD7"/>
    <w:rsid w:val="3C293F4F"/>
    <w:rsid w:val="3C7050E2"/>
    <w:rsid w:val="3C771FCD"/>
    <w:rsid w:val="3C7C5C4C"/>
    <w:rsid w:val="3CED6692"/>
    <w:rsid w:val="3D791D75"/>
    <w:rsid w:val="3DD221B7"/>
    <w:rsid w:val="3E4E3201"/>
    <w:rsid w:val="3F381B75"/>
    <w:rsid w:val="3FAA4467"/>
    <w:rsid w:val="405014B2"/>
    <w:rsid w:val="40F57964"/>
    <w:rsid w:val="41686388"/>
    <w:rsid w:val="427F7E2D"/>
    <w:rsid w:val="42F36125"/>
    <w:rsid w:val="43432581"/>
    <w:rsid w:val="43FD02CF"/>
    <w:rsid w:val="444362E1"/>
    <w:rsid w:val="444E2500"/>
    <w:rsid w:val="44C51411"/>
    <w:rsid w:val="45350C77"/>
    <w:rsid w:val="462A00B0"/>
    <w:rsid w:val="47086643"/>
    <w:rsid w:val="475573AE"/>
    <w:rsid w:val="47655843"/>
    <w:rsid w:val="476870E2"/>
    <w:rsid w:val="480D1A37"/>
    <w:rsid w:val="48196F34"/>
    <w:rsid w:val="48D013E2"/>
    <w:rsid w:val="49647D7D"/>
    <w:rsid w:val="4A864B96"/>
    <w:rsid w:val="4B3642EA"/>
    <w:rsid w:val="4BA426B2"/>
    <w:rsid w:val="4BAD5A0B"/>
    <w:rsid w:val="4C61055B"/>
    <w:rsid w:val="4C912C37"/>
    <w:rsid w:val="4CAC0DF4"/>
    <w:rsid w:val="4CE0771A"/>
    <w:rsid w:val="4DBE1334"/>
    <w:rsid w:val="4DD05EA4"/>
    <w:rsid w:val="4E08517B"/>
    <w:rsid w:val="4E102281"/>
    <w:rsid w:val="4E500F98"/>
    <w:rsid w:val="4ECA0682"/>
    <w:rsid w:val="4ED91387"/>
    <w:rsid w:val="4EF97862"/>
    <w:rsid w:val="4F87654F"/>
    <w:rsid w:val="506B3A1F"/>
    <w:rsid w:val="50AA565F"/>
    <w:rsid w:val="50B74C36"/>
    <w:rsid w:val="50EA6DB9"/>
    <w:rsid w:val="510D13E1"/>
    <w:rsid w:val="51677198"/>
    <w:rsid w:val="51711289"/>
    <w:rsid w:val="523F0BE8"/>
    <w:rsid w:val="53B86CFB"/>
    <w:rsid w:val="542220D6"/>
    <w:rsid w:val="54FC355F"/>
    <w:rsid w:val="553E46D9"/>
    <w:rsid w:val="555205FF"/>
    <w:rsid w:val="56286E64"/>
    <w:rsid w:val="562E7748"/>
    <w:rsid w:val="56650393"/>
    <w:rsid w:val="56666EE2"/>
    <w:rsid w:val="56847368"/>
    <w:rsid w:val="56BE5B81"/>
    <w:rsid w:val="577473DD"/>
    <w:rsid w:val="578D66F1"/>
    <w:rsid w:val="57D909D8"/>
    <w:rsid w:val="59CC3764"/>
    <w:rsid w:val="5A094754"/>
    <w:rsid w:val="5A1804F3"/>
    <w:rsid w:val="5A84202D"/>
    <w:rsid w:val="5A963B0E"/>
    <w:rsid w:val="5B596DFB"/>
    <w:rsid w:val="5B9061D2"/>
    <w:rsid w:val="5BD3501A"/>
    <w:rsid w:val="5C4744CD"/>
    <w:rsid w:val="5C9B7FDF"/>
    <w:rsid w:val="5C9F4EFC"/>
    <w:rsid w:val="5CD15771"/>
    <w:rsid w:val="5D007917"/>
    <w:rsid w:val="5D1C27D5"/>
    <w:rsid w:val="5D325D70"/>
    <w:rsid w:val="5D6972B8"/>
    <w:rsid w:val="5D765ED7"/>
    <w:rsid w:val="5DA54794"/>
    <w:rsid w:val="5DD040EF"/>
    <w:rsid w:val="5EF62DCD"/>
    <w:rsid w:val="5F325FA9"/>
    <w:rsid w:val="5F773F0E"/>
    <w:rsid w:val="5F8A4894"/>
    <w:rsid w:val="5FA51323"/>
    <w:rsid w:val="5FA82319"/>
    <w:rsid w:val="5FEB66AA"/>
    <w:rsid w:val="6042451C"/>
    <w:rsid w:val="609B3C2C"/>
    <w:rsid w:val="60EB05C6"/>
    <w:rsid w:val="615F2EAC"/>
    <w:rsid w:val="616E7593"/>
    <w:rsid w:val="61B72AF5"/>
    <w:rsid w:val="61F37E6F"/>
    <w:rsid w:val="61F548B2"/>
    <w:rsid w:val="62BF1597"/>
    <w:rsid w:val="63147CC6"/>
    <w:rsid w:val="636B1FDC"/>
    <w:rsid w:val="63E65F09"/>
    <w:rsid w:val="64085A7D"/>
    <w:rsid w:val="646507D9"/>
    <w:rsid w:val="647C08D2"/>
    <w:rsid w:val="64924C93"/>
    <w:rsid w:val="64CD45D0"/>
    <w:rsid w:val="65750EF0"/>
    <w:rsid w:val="662F5543"/>
    <w:rsid w:val="665625FC"/>
    <w:rsid w:val="66B23AB7"/>
    <w:rsid w:val="670A1B0C"/>
    <w:rsid w:val="67615BE6"/>
    <w:rsid w:val="67A45ABC"/>
    <w:rsid w:val="67C873B9"/>
    <w:rsid w:val="68701E42"/>
    <w:rsid w:val="687A681D"/>
    <w:rsid w:val="687D2537"/>
    <w:rsid w:val="694766FF"/>
    <w:rsid w:val="6A1862EE"/>
    <w:rsid w:val="6A2E3D63"/>
    <w:rsid w:val="6A6652AB"/>
    <w:rsid w:val="6AA3205B"/>
    <w:rsid w:val="6ABA73A5"/>
    <w:rsid w:val="6BEE7306"/>
    <w:rsid w:val="6C6B55DB"/>
    <w:rsid w:val="6C9D0D2C"/>
    <w:rsid w:val="6CDA788A"/>
    <w:rsid w:val="6CE852D0"/>
    <w:rsid w:val="6D6F091A"/>
    <w:rsid w:val="6DCE0896"/>
    <w:rsid w:val="6E0E3C8F"/>
    <w:rsid w:val="6E11552E"/>
    <w:rsid w:val="6E274D51"/>
    <w:rsid w:val="6E744A7F"/>
    <w:rsid w:val="6E761835"/>
    <w:rsid w:val="6E900B48"/>
    <w:rsid w:val="6F1352D6"/>
    <w:rsid w:val="6F174DC6"/>
    <w:rsid w:val="6F20011E"/>
    <w:rsid w:val="6F7601CB"/>
    <w:rsid w:val="6FCD1928"/>
    <w:rsid w:val="70141305"/>
    <w:rsid w:val="70B825D8"/>
    <w:rsid w:val="70F058CE"/>
    <w:rsid w:val="71FE226D"/>
    <w:rsid w:val="722A6BF8"/>
    <w:rsid w:val="724F0D1A"/>
    <w:rsid w:val="72A746B3"/>
    <w:rsid w:val="72E46095"/>
    <w:rsid w:val="72F64F1A"/>
    <w:rsid w:val="73351CBE"/>
    <w:rsid w:val="73B3482B"/>
    <w:rsid w:val="742A559B"/>
    <w:rsid w:val="74962C31"/>
    <w:rsid w:val="74AC4202"/>
    <w:rsid w:val="74EC2851"/>
    <w:rsid w:val="755564CD"/>
    <w:rsid w:val="7557416E"/>
    <w:rsid w:val="75D42830"/>
    <w:rsid w:val="75E369A2"/>
    <w:rsid w:val="766B57B6"/>
    <w:rsid w:val="770976EA"/>
    <w:rsid w:val="776E39F1"/>
    <w:rsid w:val="77D65768"/>
    <w:rsid w:val="7863107C"/>
    <w:rsid w:val="78F87A16"/>
    <w:rsid w:val="7958545D"/>
    <w:rsid w:val="79B06543"/>
    <w:rsid w:val="7A6B246A"/>
    <w:rsid w:val="7A9C2623"/>
    <w:rsid w:val="7B243EBA"/>
    <w:rsid w:val="7B25086A"/>
    <w:rsid w:val="7B4F1DB8"/>
    <w:rsid w:val="7BCD7273"/>
    <w:rsid w:val="7BD76009"/>
    <w:rsid w:val="7BD84A85"/>
    <w:rsid w:val="7C2761AC"/>
    <w:rsid w:val="7C7A4BE6"/>
    <w:rsid w:val="7C7B3317"/>
    <w:rsid w:val="7C85197A"/>
    <w:rsid w:val="7CC21ACB"/>
    <w:rsid w:val="7CFE2805"/>
    <w:rsid w:val="7D2B10D4"/>
    <w:rsid w:val="7D342FE7"/>
    <w:rsid w:val="7D3905FD"/>
    <w:rsid w:val="7E5751DF"/>
    <w:rsid w:val="7E665422"/>
    <w:rsid w:val="7EF42A2E"/>
    <w:rsid w:val="7F2F3A66"/>
    <w:rsid w:val="7F9D1317"/>
    <w:rsid w:val="7FE77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keepLines/>
      <w:spacing w:line="576" w:lineRule="auto"/>
      <w:outlineLvl w:val="0"/>
    </w:pPr>
    <w:rPr>
      <w:b/>
      <w:bCs/>
      <w:kern w:val="44"/>
      <w:sz w:val="44"/>
      <w:szCs w:val="4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样式 宋体 四号 首行缩进:  2 字符"/>
    <w:basedOn w:val="1"/>
    <w:qFormat/>
    <w:uiPriority w:val="99"/>
    <w:pPr>
      <w:widowControl/>
      <w:spacing w:line="360" w:lineRule="auto"/>
    </w:pPr>
    <w:rPr>
      <w:rFonts w:ascii="Times New Roman" w:hAnsi="Times New Roman" w:cs="宋体"/>
      <w:color w:val="000000"/>
      <w:szCs w:val="20"/>
    </w:rPr>
  </w:style>
  <w:style w:type="paragraph" w:styleId="4">
    <w:name w:val="toa heading"/>
    <w:basedOn w:val="1"/>
    <w:next w:val="1"/>
    <w:qFormat/>
    <w:uiPriority w:val="99"/>
    <w:pPr>
      <w:spacing w:after="50" w:afterLines="50"/>
      <w:jc w:val="center"/>
    </w:pPr>
    <w:rPr>
      <w:rFonts w:ascii="Arial" w:hAnsi="Arial"/>
    </w:rPr>
  </w:style>
  <w:style w:type="paragraph" w:styleId="5">
    <w:name w:val="Body Text"/>
    <w:basedOn w:val="1"/>
    <w:qFormat/>
    <w:uiPriority w:val="0"/>
    <w:pPr>
      <w:adjustRightInd w:val="0"/>
      <w:snapToGrid w:val="0"/>
      <w:spacing w:after="120" w:line="360" w:lineRule="auto"/>
      <w:ind w:firstLine="200" w:firstLineChars="200"/>
    </w:pPr>
    <w:rPr>
      <w:rFonts w:eastAsia="仿宋_GB2312"/>
      <w:sz w:val="28"/>
      <w:szCs w:val="2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 w:type="paragraph" w:customStyle="1" w:styleId="14">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5">
    <w:name w:val="WPSOffice手动目录 1"/>
    <w:qFormat/>
    <w:uiPriority w:val="0"/>
    <w:pPr>
      <w:ind w:leftChars="0"/>
    </w:pPr>
    <w:rPr>
      <w:rFonts w:ascii="Times New Roman" w:hAnsi="Times New Roman" w:eastAsia="宋体" w:cs="Times New Roman"/>
      <w:sz w:val="20"/>
      <w:szCs w:val="20"/>
    </w:rPr>
  </w:style>
  <w:style w:type="paragraph" w:customStyle="1" w:styleId="16">
    <w:name w:val="reader-word-layer"/>
    <w:basedOn w:val="1"/>
    <w:qFormat/>
    <w:uiPriority w:val="0"/>
    <w:pPr>
      <w:widowControl/>
      <w:numPr>
        <w:ilvl w:val="0"/>
        <w:numId w:val="0"/>
      </w:numPr>
      <w:spacing w:before="100" w:beforeAutospacing="1" w:after="100" w:afterAutospacing="1"/>
      <w:jc w:val="left"/>
    </w:pPr>
    <w:rPr>
      <w:rFonts w:ascii="宋体" w:hAnsi="宋体" w:cs="宋体"/>
      <w:kern w:val="0"/>
      <w:sz w:val="24"/>
    </w:rPr>
  </w:style>
  <w:style w:type="paragraph" w:customStyle="1" w:styleId="17">
    <w:name w:val="WPSOffice手动目录 2"/>
    <w:qFormat/>
    <w:uiPriority w:val="0"/>
    <w:pPr>
      <w:ind w:leftChars="200"/>
    </w:pPr>
    <w:rPr>
      <w:rFonts w:ascii="Times New Roman" w:hAnsi="Times New Roman" w:eastAsia="宋体" w:cs="Times New Roman"/>
      <w:sz w:val="20"/>
      <w:szCs w:val="20"/>
    </w:rPr>
  </w:style>
  <w:style w:type="character" w:customStyle="1" w:styleId="18">
    <w:name w:val="font21"/>
    <w:basedOn w:val="12"/>
    <w:qFormat/>
    <w:uiPriority w:val="0"/>
    <w:rPr>
      <w:rFonts w:ascii="仿宋_GB2312" w:eastAsia="仿宋_GB2312" w:cs="仿宋_GB2312"/>
      <w:color w:val="000000"/>
      <w:sz w:val="24"/>
      <w:szCs w:val="24"/>
      <w:u w:val="none"/>
    </w:rPr>
  </w:style>
  <w:style w:type="character" w:customStyle="1" w:styleId="19">
    <w:name w:val="font11"/>
    <w:basedOn w:val="12"/>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90</Pages>
  <Words>36582</Words>
  <Characters>39529</Characters>
  <Lines>0</Lines>
  <Paragraphs>0</Paragraphs>
  <TotalTime>18</TotalTime>
  <ScaleCrop>false</ScaleCrop>
  <LinksUpToDate>false</LinksUpToDate>
  <CharactersWithSpaces>40022</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2022-06-30T10:24:00Z</dcterms:created>
  <dc:creator>user6</dc:creator>
  <cp:lastModifiedBy>政府办收发员</cp:lastModifiedBy>
  <dcterms:modified xsi:type="dcterms:W3CDTF">2026-05-25T09:25:23Z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A7EA09C722A642F7BAB9A14ABB1DF4CA_13</vt:lpwstr>
  </property>
</Properties>
</file>