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328B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关于</w:t>
      </w:r>
      <w:r>
        <w:rPr>
          <w:rFonts w:hint="eastAsia" w:ascii="方正小标宋简体" w:hAnsi="方正小标宋简体" w:eastAsia="方正小标宋简体" w:cs="方正小标宋简体"/>
          <w:color w:val="000000"/>
          <w:sz w:val="44"/>
          <w:szCs w:val="44"/>
        </w:rPr>
        <w:t>琼海市2024年度法治政府建设</w:t>
      </w:r>
      <w:r>
        <w:rPr>
          <w:rFonts w:hint="eastAsia" w:ascii="方正小标宋简体" w:hAnsi="方正小标宋简体" w:eastAsia="方正小标宋简体" w:cs="方正小标宋简体"/>
          <w:color w:val="000000"/>
          <w:sz w:val="44"/>
          <w:szCs w:val="44"/>
          <w:lang w:eastAsia="zh-CN"/>
        </w:rPr>
        <w:t>情况</w:t>
      </w:r>
    </w:p>
    <w:p w14:paraId="37D8A22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的报告</w:t>
      </w:r>
    </w:p>
    <w:p w14:paraId="7D6E3D7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000000"/>
          <w:sz w:val="32"/>
          <w:szCs w:val="32"/>
        </w:rPr>
      </w:pPr>
    </w:p>
    <w:p w14:paraId="4A1D162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市人大常委会：</w:t>
      </w:r>
    </w:p>
    <w:p w14:paraId="2DCE9053">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lang w:eastAsia="zh-CN"/>
        </w:rPr>
      </w:pPr>
      <w:r>
        <w:rPr>
          <w:rFonts w:hint="default" w:ascii="仿宋_GB2312" w:hAnsi="仿宋_GB2312" w:eastAsia="仿宋_GB2312" w:cs="仿宋_GB2312"/>
          <w:color w:val="000000"/>
          <w:sz w:val="32"/>
          <w:szCs w:val="32"/>
          <w:lang w:val="en-US" w:eastAsia="zh-CN"/>
        </w:rPr>
        <w:t>根据市人大常委会2025年监督工作计划安排，</w:t>
      </w:r>
      <w:r>
        <w:rPr>
          <w:rFonts w:hint="default" w:ascii="仿宋_GB2312" w:hAnsi="仿宋_GB2312" w:cs="仿宋_GB2312"/>
          <w:color w:val="000000"/>
          <w:sz w:val="32"/>
          <w:szCs w:val="32"/>
          <w:lang w:val="en-US" w:eastAsia="zh-CN"/>
        </w:rPr>
        <w:t>现</w:t>
      </w:r>
      <w:r>
        <w:rPr>
          <w:rFonts w:hint="eastAsia" w:ascii="仿宋_GB2312" w:hAnsi="仿宋_GB2312" w:eastAsia="仿宋_GB2312" w:cs="仿宋_GB2312"/>
          <w:color w:val="000000"/>
          <w:sz w:val="32"/>
          <w:szCs w:val="32"/>
          <w:lang w:val="en-US" w:eastAsia="zh-CN"/>
        </w:rPr>
        <w:t>向市人大常委会报告琼海市2024年度法治政府建设情况，请予审议。</w:t>
      </w:r>
    </w:p>
    <w:p w14:paraId="4002C8C8">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2024年，我市坚定不移以习近平新时代中国特色社会主义思想为指引，全面贯彻党的二十大和二十届</w:t>
      </w:r>
      <w:bookmarkStart w:id="3" w:name="_GoBack"/>
      <w:bookmarkEnd w:id="3"/>
      <w:r>
        <w:rPr>
          <w:rFonts w:hint="eastAsia" w:ascii="仿宋_GB2312" w:hAnsi="仿宋_GB2312" w:eastAsia="仿宋_GB2312" w:cs="仿宋_GB2312"/>
          <w:color w:val="000000"/>
          <w:sz w:val="32"/>
          <w:szCs w:val="32"/>
        </w:rPr>
        <w:t>二中、三中全会精神，深入践行习近平法治思想，认真落实习近平总书记对海南工作的重要指示要求，坚决贯彻中央、省关于法治政府建设的决策部署，在市委的坚强领导和市人大常委会的依法监督下，</w:t>
      </w:r>
      <w:r>
        <w:rPr>
          <w:rFonts w:hint="eastAsia" w:ascii="仿宋_GB2312" w:hAnsi="仿宋_GB2312" w:eastAsia="仿宋_GB2312" w:cs="仿宋_GB2312"/>
          <w:color w:val="000000"/>
          <w:sz w:val="32"/>
          <w:szCs w:val="32"/>
          <w:lang w:val="en-US" w:eastAsia="zh-CN"/>
        </w:rPr>
        <w:t>扎实推进</w:t>
      </w:r>
      <w:bookmarkStart w:id="0" w:name="OLE_LINK6"/>
      <w:r>
        <w:rPr>
          <w:rFonts w:hint="eastAsia" w:ascii="仿宋_GB2312" w:hAnsi="仿宋_GB2312" w:eastAsia="仿宋_GB2312" w:cs="仿宋_GB2312"/>
          <w:color w:val="000000"/>
          <w:sz w:val="32"/>
          <w:szCs w:val="32"/>
          <w:lang w:val="en-US" w:eastAsia="zh-CN"/>
        </w:rPr>
        <w:t>《琼海市法治政府建设实施方案（2021-2025年）》</w:t>
      </w:r>
      <w:bookmarkEnd w:id="0"/>
      <w:r>
        <w:rPr>
          <w:rFonts w:hint="eastAsia" w:ascii="仿宋_GB2312" w:hAnsi="仿宋_GB2312" w:eastAsia="仿宋_GB2312" w:cs="仿宋_GB2312"/>
          <w:color w:val="000000"/>
          <w:sz w:val="32"/>
          <w:szCs w:val="32"/>
          <w:lang w:val="en-US" w:eastAsia="zh-CN"/>
        </w:rPr>
        <w:t>各项工作任务</w:t>
      </w:r>
      <w:r>
        <w:rPr>
          <w:rFonts w:hint="eastAsia" w:ascii="仿宋_GB2312" w:hAnsi="仿宋_GB2312" w:eastAsia="仿宋_GB2312" w:cs="仿宋_GB2312"/>
          <w:color w:val="000000"/>
          <w:sz w:val="32"/>
          <w:szCs w:val="32"/>
        </w:rPr>
        <w:t>，取得了积极成效。</w:t>
      </w:r>
    </w:p>
    <w:p w14:paraId="4BE5CD2E">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一、主要工作开展情况</w:t>
      </w:r>
    </w:p>
    <w:p w14:paraId="1A1E7D2E">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（一）全面统筹法治政府建设布局</w:t>
      </w:r>
    </w:p>
    <w:p w14:paraId="121868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市政府认真听取法治政府建设季度及半年报告，明确 2024年法治政府建设新目标与要求，针对关键环节，如法治建设问题整改、重大决策水平提升、行政应诉强化等展开系统部署，确保工作有序推进。积极开展第三批全国法治政府建设示范市创建，组织各部门、镇（区）对标 100 项指标，按时上传 1000 余份佐证材料。召开 2023 年度党政主要负责人集中述法大会，聚焦行政机关负责人出庭率与败诉率问题，开展行政应诉专题述法，压实法治建设第一责任人职责。</w:t>
      </w:r>
    </w:p>
    <w:p w14:paraId="523DB04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lang w:eastAsia="zh-CN"/>
        </w:rPr>
        <w:t>（二）持续</w:t>
      </w:r>
      <w:r>
        <w:rPr>
          <w:rFonts w:hint="eastAsia" w:ascii="楷体" w:hAnsi="楷体" w:eastAsia="楷体" w:cs="楷体"/>
          <w:color w:val="000000"/>
          <w:sz w:val="32"/>
          <w:szCs w:val="32"/>
        </w:rPr>
        <w:t>优化法治化营商环境</w:t>
      </w:r>
    </w:p>
    <w:p w14:paraId="011A165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创新实行“1+4+6+9”营商环境建设体系模式，召开32次营商环境专题会议，全力推进优化营商环境工作。创新推行“12345+网格化+直通联办”，网格办件直派清单事项共91项，2024年全年受理工单118683件，其中直通联办工单6861件，办结率100%，满意率9</w:t>
      </w:r>
      <w:r>
        <w:rPr>
          <w:rFonts w:hint="eastAsia" w:ascii="仿宋_GB2312" w:hAnsi="仿宋_GB2312" w:eastAsia="仿宋_GB2312" w:cs="仿宋_GB2312"/>
          <w:color w:val="000000"/>
          <w:sz w:val="32"/>
          <w:szCs w:val="32"/>
          <w:lang w:val="en-US" w:eastAsia="zh-CN"/>
        </w:rPr>
        <w:t>6.51</w:t>
      </w:r>
      <w:r>
        <w:rPr>
          <w:rFonts w:hint="eastAsia" w:ascii="仿宋_GB2312" w:hAnsi="仿宋_GB2312" w:eastAsia="仿宋_GB2312" w:cs="仿宋_GB2312"/>
          <w:color w:val="000000"/>
          <w:sz w:val="32"/>
          <w:szCs w:val="32"/>
        </w:rPr>
        <w:t>%。我市县级城市总体信用排名已连续11期稳居全国前一百</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年8月跃居全国第39名，首次跻身前50，创历史最佳成绩。</w:t>
      </w:r>
    </w:p>
    <w:p w14:paraId="4AB9A81B">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（三）推进重大行政决策法治化</w:t>
      </w:r>
    </w:p>
    <w:p w14:paraId="5FEFA020">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对市政府重大行政行为、部门及项目报批等涉法事项，严谨出具517份法律意见书，完成10件规范性文件的审查与备案登记。</w:t>
      </w:r>
      <w:r>
        <w:rPr>
          <w:rFonts w:hint="eastAsia" w:ascii="仿宋_GB2312" w:hAnsi="仿宋_GB2312" w:cs="仿宋_GB2312"/>
          <w:color w:val="000000"/>
          <w:sz w:val="32"/>
          <w:szCs w:val="32"/>
          <w:lang w:eastAsia="zh-CN"/>
        </w:rPr>
        <w:t>召开</w:t>
      </w:r>
      <w:r>
        <w:rPr>
          <w:rFonts w:hint="eastAsia" w:ascii="仿宋_GB2312" w:hAnsi="仿宋_GB2312" w:eastAsia="仿宋_GB2312" w:cs="仿宋_GB2312"/>
          <w:color w:val="000000"/>
          <w:sz w:val="32"/>
          <w:szCs w:val="32"/>
        </w:rPr>
        <w:t>市政府常务会议25次、专题会议223次，为决策筑牢法律根基</w:t>
      </w:r>
      <w:r>
        <w:rPr>
          <w:rFonts w:hint="eastAsia" w:ascii="仿宋_GB2312" w:hAnsi="仿宋_GB2312" w:eastAsia="仿宋_GB2312" w:cs="仿宋_GB2312"/>
          <w:color w:val="000000"/>
          <w:sz w:val="32"/>
          <w:szCs w:val="32"/>
          <w:lang w:eastAsia="zh-CN"/>
        </w:rPr>
        <w:t>。选聘7家律师事务所共计40名法律顾问，为市政府、市政府工作部门及各镇（区）等共45个单位提供专业、全面的法律顾问服务。</w:t>
      </w:r>
      <w:r>
        <w:rPr>
          <w:rFonts w:hint="eastAsia" w:ascii="仿宋_GB2312" w:hAnsi="仿宋_GB2312" w:eastAsia="仿宋_GB2312" w:cs="仿宋_GB2312"/>
          <w:color w:val="000000"/>
          <w:sz w:val="32"/>
          <w:szCs w:val="32"/>
        </w:rPr>
        <w:t>深入开展重大行政决策及规范性文件后评估工作，全面剖析实施效果，为市政府决策优化、文件调整提供科学依据，有力推动决策质量与行政效能稳步提升。</w:t>
      </w:r>
    </w:p>
    <w:p w14:paraId="4E20F34A">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（四）强化行政执法规范与效能建设</w:t>
      </w:r>
    </w:p>
    <w:p w14:paraId="5C1B62C4">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在市司法局加挂“琼海市人民政府行政执法协调监督办公室”牌子</w:t>
      </w:r>
      <w:r>
        <w:rPr>
          <w:rFonts w:hint="eastAsia" w:ascii="仿宋_GB2312" w:hAnsi="仿宋_GB2312" w:eastAsia="仿宋_GB2312" w:cs="仿宋_GB2312"/>
          <w:color w:val="000000"/>
          <w:sz w:val="32"/>
          <w:szCs w:val="32"/>
          <w:lang w:eastAsia="zh-CN"/>
        </w:rPr>
        <w:t>，推动行政执法协调监督行为规范化、工作常态化、监督实效化，强化对行政执法活动的全方位监督。</w:t>
      </w:r>
      <w:r>
        <w:rPr>
          <w:rFonts w:hint="eastAsia" w:ascii="仿宋_GB2312" w:hAnsi="仿宋_GB2312" w:eastAsia="仿宋_GB2312" w:cs="仿宋_GB2312"/>
          <w:color w:val="000000"/>
          <w:sz w:val="32"/>
          <w:szCs w:val="32"/>
        </w:rPr>
        <w:t>持续深化综合行政执法体制改革</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市场监管领域调出特种设备、计量等关键执法事项，结合省目录清单，编制《琼海市综合行政执法事项清单（2024年版）》，让执法权责更清晰。针对综合行政执法机构“空编率高”问题，公开招聘27名事业单位工作人员，有效充实执法力量。创新执法模式，成立派驻乐城综合行政执法大队专门负责乐城国际医疗旅游先行区的综合执法，提升区域执法效率。大力推行包容审慎执法，已作出112宗不予处罚、46宗减轻处罚案件。开展超20次特色培训，全面提升综合执法队伍的业务水平，推动行政执法工作高效、规范开展。</w:t>
      </w:r>
    </w:p>
    <w:p w14:paraId="2E9D67C8">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(五)依法有效化解社会矛盾</w:t>
      </w:r>
    </w:p>
    <w:p w14:paraId="581BD647">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2024年我市社会矛盾化解成果突出，信访总量1024件次、同比降6.1%，受理、答复率均达100%，一次性化解率94.59%。人民网“领导留言板”172件群众留言，均100%回复且群众满意率100%。</w:t>
      </w:r>
      <w:bookmarkStart w:id="1" w:name="OLE_LINK1"/>
      <w:bookmarkStart w:id="2" w:name="OLE_LINK2"/>
      <w:r>
        <w:rPr>
          <w:rFonts w:hint="eastAsia" w:ascii="仿宋_GB2312" w:hAnsi="仿宋_GB2312" w:eastAsia="仿宋_GB2312" w:cs="仿宋_GB2312"/>
          <w:color w:val="000000"/>
          <w:sz w:val="32"/>
          <w:szCs w:val="32"/>
        </w:rPr>
        <w:t>行政应诉方面共收到一审案件176件，机关负责人出庭应诉率100%，已审结141件，败诉10件，败诉率7.09%，同比下降8.8个百分点、全省排名第9。省政府通报显示，我市行政机关上诉案件仅2件，占全省2.41%，无申请再审案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府院联动机制运行成效显著，</w:t>
      </w:r>
      <w:r>
        <w:rPr>
          <w:rFonts w:hint="eastAsia" w:ascii="仿宋_GB2312" w:hAnsi="仿宋_GB2312" w:eastAsia="仿宋_GB2312" w:cs="仿宋_GB2312"/>
          <w:color w:val="000000"/>
          <w:sz w:val="32"/>
          <w:szCs w:val="32"/>
          <w:lang w:eastAsia="zh-CN"/>
        </w:rPr>
        <w:t>共</w:t>
      </w:r>
      <w:r>
        <w:rPr>
          <w:rFonts w:hint="eastAsia" w:ascii="仿宋_GB2312" w:hAnsi="仿宋_GB2312" w:eastAsia="仿宋_GB2312" w:cs="仿宋_GB2312"/>
          <w:color w:val="000000"/>
          <w:sz w:val="32"/>
          <w:szCs w:val="32"/>
        </w:rPr>
        <w:t>召开2次联席会议、42次专项会商，促使24件行政案件当事人主动撤诉，调撤率39%</w:t>
      </w:r>
      <w:r>
        <w:rPr>
          <w:rFonts w:hint="eastAsia" w:ascii="仿宋_GB2312" w:hAnsi="仿宋_GB2312" w:eastAsia="仿宋_GB2312" w:cs="仿宋_GB2312"/>
          <w:color w:val="000000"/>
          <w:sz w:val="32"/>
          <w:szCs w:val="32"/>
          <w:lang w:eastAsia="zh-CN"/>
        </w:rPr>
        <w:t>，有效</w:t>
      </w:r>
      <w:r>
        <w:rPr>
          <w:rFonts w:hint="eastAsia" w:ascii="仿宋_GB2312" w:hAnsi="仿宋_GB2312" w:eastAsia="仿宋_GB2312" w:cs="仿宋_GB2312"/>
          <w:color w:val="000000"/>
          <w:sz w:val="32"/>
          <w:szCs w:val="32"/>
        </w:rPr>
        <w:t>提升</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行政行为规范性、减少行政争议，有力维护了法治秩序</w:t>
      </w:r>
      <w:bookmarkEnd w:id="1"/>
      <w:r>
        <w:rPr>
          <w:rFonts w:hint="eastAsia" w:ascii="仿宋_GB2312" w:hAnsi="仿宋_GB2312" w:eastAsia="仿宋_GB2312" w:cs="仿宋_GB2312"/>
          <w:color w:val="000000"/>
          <w:sz w:val="32"/>
          <w:szCs w:val="32"/>
          <w:lang w:eastAsia="zh-CN"/>
        </w:rPr>
        <w:t>。</w:t>
      </w:r>
      <w:bookmarkEnd w:id="2"/>
      <w:r>
        <w:rPr>
          <w:rFonts w:hint="eastAsia" w:ascii="仿宋_GB2312" w:hAnsi="仿宋_GB2312" w:eastAsia="仿宋_GB2312" w:cs="仿宋_GB2312"/>
          <w:color w:val="000000"/>
          <w:sz w:val="32"/>
          <w:szCs w:val="32"/>
        </w:rPr>
        <w:t>调解体系不断完善，健全228个人民调解、15个行政调解、11个行专性调解组织，排查848件矛盾纠纷，调处成功791件，成功率93.3%。65名村（居）法律顾问覆盖214个村（居），为村两委提151条法律意见，解答群众咨询759人次。市公共法律服务中心受理1058宗法援案件，接待咨询10402人次，挽回经济损失975.61万元。</w:t>
      </w:r>
    </w:p>
    <w:p w14:paraId="0FBC987F">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(六)凝聚监督工作合力</w:t>
      </w:r>
    </w:p>
    <w:p w14:paraId="0AB17C7F">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积极落实市人大常委会审议法治政府建设意见</w:t>
      </w:r>
      <w:r>
        <w:rPr>
          <w:rFonts w:hint="eastAsia" w:ascii="仿宋_GB2312" w:hAnsi="仿宋_GB2312" w:eastAsia="仿宋_GB2312" w:cs="仿宋_GB2312"/>
          <w:color w:val="000000"/>
          <w:sz w:val="32"/>
          <w:szCs w:val="32"/>
          <w:lang w:eastAsia="zh-CN"/>
        </w:rPr>
        <w:t>并做好整改落实工作</w:t>
      </w:r>
      <w:r>
        <w:rPr>
          <w:rFonts w:hint="eastAsia" w:ascii="仿宋_GB2312" w:hAnsi="仿宋_GB2312" w:eastAsia="仿宋_GB2312" w:cs="仿宋_GB2312"/>
          <w:color w:val="000000"/>
          <w:sz w:val="32"/>
          <w:szCs w:val="32"/>
        </w:rPr>
        <w:t>，10个印发的规范性文件均及时向人大常委会备案。在市司法局加挂“琼海市人民政府行政执法协调监督办公室”牌子</w:t>
      </w:r>
      <w:r>
        <w:rPr>
          <w:rFonts w:hint="eastAsia" w:ascii="仿宋_GB2312" w:hAnsi="仿宋_GB2312" w:eastAsia="仿宋_GB2312" w:cs="仿宋_GB2312"/>
          <w:color w:val="000000"/>
          <w:sz w:val="32"/>
          <w:szCs w:val="32"/>
          <w:lang w:eastAsia="zh-CN"/>
        </w:rPr>
        <w:t>，进一步</w:t>
      </w:r>
      <w:r>
        <w:rPr>
          <w:rFonts w:hint="eastAsia" w:ascii="仿宋_GB2312" w:hAnsi="仿宋_GB2312" w:eastAsia="仿宋_GB2312" w:cs="仿宋_GB2312"/>
          <w:color w:val="000000"/>
          <w:sz w:val="32"/>
          <w:szCs w:val="32"/>
        </w:rPr>
        <w:t>完善监督机制。开展2023年度行政执法案卷专项评查，随机抽取65卷行政处罚与行政许可案卷，发现216个问题并提出对应整改意见，筛选8个典型案例编纂发布。</w:t>
      </w:r>
      <w:r>
        <w:rPr>
          <w:rFonts w:hint="eastAsia" w:ascii="仿宋_GB2312" w:hAnsi="仿宋_GB2312" w:eastAsia="仿宋_GB2312" w:cs="仿宋_GB2312"/>
          <w:b w:val="0"/>
          <w:bCs w:val="0"/>
          <w:color w:val="000000"/>
          <w:sz w:val="32"/>
          <w:szCs w:val="32"/>
          <w:lang w:val="en-US" w:eastAsia="zh-CN"/>
        </w:rPr>
        <w:t>发放辅助人员工作证241个</w:t>
      </w:r>
      <w:r>
        <w:rPr>
          <w:rFonts w:hint="eastAsia" w:ascii="仿宋_GB2312" w:hAnsi="仿宋_GB2312" w:eastAsia="仿宋_GB2312" w:cs="仿宋_GB2312"/>
          <w:color w:val="000000"/>
          <w:sz w:val="32"/>
          <w:szCs w:val="32"/>
        </w:rPr>
        <w:t>。印发《关于加强行政检察与行政执法监督衔接工作的实施办法（试行）》，推动监督有效衔接。2024年共收到行政复议申请193件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审结174件（包括结转14件）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未审结16件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中止3件。审结案件中维持86件，驳回</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件，撤销责令重做1件，确认违法10件，责令履职1件，直接纠错率2.87%，综合纠错率6.89%</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通过调解、和解等形式申请人撤回行政复议申请而终止案件54件。</w:t>
      </w:r>
    </w:p>
    <w:p w14:paraId="2549AD1F">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楷体" w:hAnsi="楷体" w:eastAsia="楷体" w:cs="楷体"/>
          <w:color w:val="000000"/>
          <w:sz w:val="32"/>
          <w:szCs w:val="32"/>
        </w:rPr>
      </w:pPr>
      <w:r>
        <w:rPr>
          <w:rFonts w:hint="eastAsia" w:ascii="楷体" w:hAnsi="楷体" w:eastAsia="楷体" w:cs="楷体"/>
          <w:color w:val="000000"/>
          <w:sz w:val="32"/>
          <w:szCs w:val="32"/>
        </w:rPr>
        <w:t>(七)全面深化法治宣传教育</w:t>
      </w:r>
    </w:p>
    <w:p w14:paraId="38C793CC">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印发《2024年琼海市普法依法治理工作要点》，指导全市各普法责任部门落实“谁执法谁普法”“谁</w:t>
      </w:r>
      <w:r>
        <w:rPr>
          <w:rFonts w:hint="eastAsia" w:ascii="仿宋_GB2312" w:hAnsi="仿宋_GB2312" w:cs="仿宋_GB2312"/>
          <w:color w:val="000000"/>
          <w:sz w:val="32"/>
          <w:szCs w:val="32"/>
          <w:lang w:eastAsia="zh-CN"/>
        </w:rPr>
        <w:t>管理</w:t>
      </w:r>
      <w:r>
        <w:rPr>
          <w:rFonts w:hint="eastAsia" w:ascii="仿宋_GB2312" w:hAnsi="仿宋_GB2312" w:eastAsia="仿宋_GB2312" w:cs="仿宋_GB2312"/>
          <w:color w:val="000000"/>
          <w:sz w:val="32"/>
          <w:szCs w:val="32"/>
        </w:rPr>
        <w:t>谁普法”“谁服务谁普法”主体责任。举办“2024年琼海市领导干部学习贯彻习近平法治思想暨全面依法治市专题研讨班”，常态化开展旁听观摩案件庭审，推动全市执法机关、执法权力行使者尊法学法守法用法。大力推动“法律明白人”培养工程，印发《琼海市“1名村（居）法律顾问+N名法律明白人”行动实施方案》，培养“法律明白人”3945名，法律明白人开展集中宣传413场，化解矛盾纠纷501件。</w:t>
      </w:r>
    </w:p>
    <w:p w14:paraId="6D8509D0">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二、存在的主要问题</w:t>
      </w:r>
    </w:p>
    <w:p w14:paraId="22F963D7">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一是</w:t>
      </w:r>
      <w:r>
        <w:rPr>
          <w:rFonts w:hint="eastAsia" w:ascii="仿宋_GB2312" w:hAnsi="仿宋_GB2312" w:eastAsia="仿宋_GB2312" w:cs="仿宋_GB2312"/>
          <w:b/>
          <w:bCs/>
          <w:color w:val="000000"/>
          <w:kern w:val="2"/>
          <w:sz w:val="32"/>
          <w:szCs w:val="32"/>
          <w:lang w:val="en-US" w:eastAsia="zh-CN" w:bidi="ar"/>
        </w:rPr>
        <w:t>普法责任制落实不够到位</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val="0"/>
          <w:bCs w:val="0"/>
          <w:color w:val="000000"/>
          <w:sz w:val="32"/>
          <w:szCs w:val="32"/>
        </w:rPr>
        <w:t>部分单位对自身在“八五”普法中的具体职责缺乏清晰认知，</w:t>
      </w:r>
      <w:r>
        <w:rPr>
          <w:rFonts w:hint="eastAsia" w:ascii="仿宋_GB2312" w:hAnsi="仿宋_GB2312" w:eastAsia="仿宋_GB2312" w:cs="仿宋_GB2312"/>
          <w:color w:val="000000"/>
          <w:sz w:val="32"/>
          <w:szCs w:val="32"/>
        </w:rPr>
        <w:t>将普法与执法割裂，对普法重视程度不一，导致推进和效果参差不齐。系统内与社会面普法不均衡，一些单位普法形式简单，难以吸引群众。</w:t>
      </w:r>
    </w:p>
    <w:p w14:paraId="6EFB948E">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二是多部门联动机制待完善。</w:t>
      </w:r>
      <w:r>
        <w:rPr>
          <w:rFonts w:hint="eastAsia" w:ascii="仿宋_GB2312" w:hAnsi="仿宋_GB2312" w:eastAsia="仿宋_GB2312" w:cs="仿宋_GB2312"/>
          <w:color w:val="000000"/>
          <w:sz w:val="32"/>
          <w:szCs w:val="32"/>
        </w:rPr>
        <w:t>人民调解、行政调解、司法调解的联动合力未形成，各级调解组织、公安、法院、镇政府间配合松散，信息联通、纠纷联排、力量联动方面存在不足</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专职人民调解员少，纠纷地域分布不均，调处力量短缺。</w:t>
      </w:r>
    </w:p>
    <w:p w14:paraId="662AE8F2">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三是行政机关正职出庭应诉示范不足。</w:t>
      </w:r>
      <w:r>
        <w:rPr>
          <w:rFonts w:hint="eastAsia" w:ascii="仿宋_GB2312" w:hAnsi="仿宋_GB2312" w:eastAsia="仿宋_GB2312" w:cs="仿宋_GB2312"/>
          <w:color w:val="000000"/>
          <w:sz w:val="32"/>
          <w:szCs w:val="32"/>
        </w:rPr>
        <w:t>应诉部门多安排分管负责人出庭，各镇应诉时，分管法治副职出庭居多，熟悉行政行为的分管负责人出庭少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全市行政机关正职极少出庭，示范效应及督促依法行政的表率作用未充分发挥。</w:t>
      </w:r>
    </w:p>
    <w:p w14:paraId="1E50C396">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四是行政执法协调监督乏力。</w:t>
      </w:r>
      <w:r>
        <w:rPr>
          <w:rFonts w:hint="eastAsia" w:ascii="仿宋_GB2312" w:hAnsi="仿宋_GB2312" w:eastAsia="仿宋_GB2312" w:cs="仿宋_GB2312"/>
          <w:color w:val="000000"/>
          <w:sz w:val="32"/>
          <w:szCs w:val="32"/>
        </w:rPr>
        <w:t>对各级行政执法部门实地监督少，多依上级部署开展，缺乏合力。对基层执法监督指导不足，调研和检查欠缺，难掌握基层执法监督难点。</w:t>
      </w:r>
    </w:p>
    <w:p w14:paraId="3261798E">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三、下一步打算</w:t>
      </w:r>
    </w:p>
    <w:p w14:paraId="424F2DD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color w:val="000000"/>
          <w:sz w:val="32"/>
          <w:szCs w:val="32"/>
        </w:rPr>
        <w:t>（一）落实普法责任，推进全面依法治理。</w:t>
      </w:r>
      <w:r>
        <w:rPr>
          <w:rFonts w:hint="eastAsia" w:ascii="仿宋_GB2312" w:hAnsi="仿宋_GB2312" w:eastAsia="仿宋_GB2312" w:cs="仿宋_GB2312"/>
          <w:color w:val="000000"/>
          <w:sz w:val="32"/>
          <w:szCs w:val="32"/>
        </w:rPr>
        <w:t>通过开展履职评议，加大对“八五”普法工作的监督检查力度，提高国家工作人员运用法治思维和法治方式解决问题的能力，确保普法责任明确，落实到位，推动“八五”普法工作深入开展。</w:t>
      </w:r>
    </w:p>
    <w:p w14:paraId="0AA7CC03">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color w:val="000000"/>
          <w:sz w:val="32"/>
          <w:szCs w:val="32"/>
        </w:rPr>
        <w:t>（二）坚持多元合作，高效化解矛盾纠纷。</w:t>
      </w:r>
      <w:r>
        <w:rPr>
          <w:rFonts w:hint="eastAsia" w:ascii="仿宋_GB2312" w:hAnsi="仿宋_GB2312" w:eastAsia="仿宋_GB2312" w:cs="仿宋_GB2312"/>
          <w:color w:val="000000"/>
          <w:sz w:val="32"/>
          <w:szCs w:val="32"/>
        </w:rPr>
        <w:t>打破部门信息沟通壁垒，促进部门间有效衔接、相互配合，充分发挥各自的力量，形成合力，靶向发力，注重吸纳退休法官、检察官、法律工作者等专业人员以及离退休党员干部加入人民调解员队伍，优化队伍结构，就地、从快化解调处矛盾纠纷。积极组织开展人民调解员专题辅导讲座，帮助调解人员提升调解技巧，丰富法律知识储备水平，全面提高调解工作的法治化水平。</w:t>
      </w:r>
    </w:p>
    <w:p w14:paraId="13B360D9">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color w:val="000000"/>
          <w:sz w:val="32"/>
          <w:szCs w:val="32"/>
        </w:rPr>
        <w:t>（三）强化行政机关负责人法治意识，规范出庭应诉。</w:t>
      </w:r>
      <w:r>
        <w:rPr>
          <w:rFonts w:hint="eastAsia" w:ascii="仿宋_GB2312" w:hAnsi="仿宋_GB2312" w:eastAsia="仿宋_GB2312" w:cs="仿宋_GB2312"/>
          <w:color w:val="000000"/>
          <w:sz w:val="32"/>
          <w:szCs w:val="32"/>
        </w:rPr>
        <w:t>重点规范行政正职负责人的出庭职责，明确其作为法治建设第一责任人，需对出庭应诉工作亲自部署、过问、协调和督办。对于复杂疑难、社会影响大的案件，行政正职负责人应亲自出庭，发挥示范表率作用。若因特殊原因未能出庭，也应及时向出庭负责人了解庭审及争议解决情况，确保对案件处理全程把控。</w:t>
      </w:r>
    </w:p>
    <w:p w14:paraId="7AA473F4">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eastAsia" w:ascii="仿宋_GB2312" w:hAnsi="仿宋"/>
          <w:color w:val="000000"/>
        </w:rPr>
      </w:pPr>
      <w:r>
        <w:rPr>
          <w:rFonts w:hint="eastAsia" w:ascii="楷体" w:hAnsi="楷体" w:eastAsia="楷体" w:cs="楷体"/>
          <w:color w:val="000000"/>
          <w:sz w:val="32"/>
          <w:szCs w:val="32"/>
        </w:rPr>
        <w:t>（四）提升行政执法监督工作效能，推进规范执法。</w:t>
      </w:r>
      <w:r>
        <w:rPr>
          <w:rFonts w:hint="eastAsia" w:ascii="仿宋_GB2312" w:hAnsi="仿宋_GB2312" w:eastAsia="仿宋_GB2312" w:cs="仿宋_GB2312"/>
          <w:color w:val="000000"/>
          <w:sz w:val="32"/>
          <w:szCs w:val="32"/>
          <w:lang w:eastAsia="zh-CN"/>
        </w:rPr>
        <w:t>对照</w:t>
      </w:r>
      <w:r>
        <w:rPr>
          <w:rFonts w:hint="eastAsia" w:ascii="仿宋_GB2312" w:hAnsi="仿宋_GB2312" w:eastAsia="仿宋_GB2312" w:cs="仿宋_GB2312"/>
          <w:color w:val="000000"/>
          <w:sz w:val="32"/>
          <w:szCs w:val="32"/>
        </w:rPr>
        <w:t>《琼海市法治政府建设实施方案（2021-2025年）》</w:t>
      </w:r>
      <w:r>
        <w:rPr>
          <w:rFonts w:hint="eastAsia" w:ascii="仿宋_GB2312" w:hAnsi="仿宋_GB2312" w:eastAsia="仿宋_GB2312" w:cs="仿宋_GB2312"/>
          <w:color w:val="000000"/>
          <w:sz w:val="32"/>
          <w:szCs w:val="32"/>
          <w:lang w:eastAsia="zh-CN"/>
        </w:rPr>
        <w:t>任务要求，</w:t>
      </w:r>
      <w:r>
        <w:rPr>
          <w:rFonts w:hint="eastAsia" w:ascii="仿宋_GB2312" w:hAnsi="仿宋_GB2312" w:eastAsia="仿宋_GB2312" w:cs="仿宋_GB2312"/>
          <w:color w:val="000000"/>
          <w:sz w:val="32"/>
          <w:szCs w:val="32"/>
        </w:rPr>
        <w:t>加大对基层执法监督工作的指导力度，深入基层司法所调研，及时解决实际问题。拓宽社会力量参与执法监督的渠道，通过公开选拔、严格考核</w:t>
      </w:r>
      <w:r>
        <w:rPr>
          <w:rFonts w:hint="eastAsia" w:ascii="仿宋_GB2312" w:hAnsi="仿宋_GB2312" w:eastAsia="仿宋_GB2312" w:cs="仿宋_GB2312"/>
          <w:color w:val="000000"/>
          <w:sz w:val="32"/>
          <w:szCs w:val="32"/>
          <w:lang w:eastAsia="zh-CN"/>
        </w:rPr>
        <w:t>等方式</w:t>
      </w:r>
      <w:r>
        <w:rPr>
          <w:rFonts w:hint="eastAsia" w:ascii="仿宋_GB2312" w:hAnsi="仿宋_GB2312" w:eastAsia="仿宋_GB2312" w:cs="仿宋_GB2312"/>
          <w:color w:val="000000"/>
          <w:sz w:val="32"/>
          <w:szCs w:val="32"/>
        </w:rPr>
        <w:t>选聘行政执法监督员。鼓励村居法律顾问积极参与基层执法监督活动，在案卷评查等工作中发挥专业优势，提出客观、专业的意见和建议，助力基层行政执法监督工作，推动严格规范公正文明执法。</w:t>
      </w:r>
    </w:p>
    <w:p w14:paraId="18DCFA3D"/>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134" w:left="1531" w:header="851" w:footer="544" w:gutter="0"/>
      <w:pgBorders w:offsetFrom="page">
        <w:top w:val="none" w:sz="0" w:space="0"/>
        <w:left w:val="none" w:sz="0" w:space="0"/>
        <w:bottom w:val="none" w:sz="0" w:space="0"/>
        <w:right w:val="none" w:sz="0" w:space="0"/>
      </w:pgBorders>
      <w:pgNumType w:fmt="numberInDash"/>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925C">
    <w:pPr>
      <w:pStyle w:val="2"/>
      <w:wordWrap w:val="0"/>
      <w:rPr>
        <w:rFonts w:hint="eastAsia"/>
      </w:rPr>
    </w:pPr>
    <w:r>
      <w:fldChar w:fldCharType="begin"/>
    </w:r>
    <w:r>
      <w:rPr>
        <w:rStyle w:val="6"/>
      </w:rPr>
      <w:instrText xml:space="preserve"> PAGE </w:instrText>
    </w:r>
    <w:r>
      <w:fldChar w:fldCharType="separate"/>
    </w:r>
    <w:r>
      <w:rPr>
        <w:rStyle w:val="6"/>
      </w:rPr>
      <w:t>- 3 -</w:t>
    </w:r>
    <w:r>
      <w:fldChar w:fldCharType="end"/>
    </w:r>
    <w:r>
      <w:rPr>
        <w:rStyle w:val="6"/>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F27B3">
    <w:pPr>
      <w:pStyle w:val="2"/>
      <w:framePr w:wrap="around" w:vAnchor="text" w:hAnchor="margin" w:xAlign="outside" w:y="1"/>
      <w:wordWrap w:val="0"/>
      <w:rPr>
        <w:rStyle w:val="6"/>
      </w:rPr>
    </w:pPr>
    <w:r>
      <w:rPr>
        <w:rStyle w:val="6"/>
        <w:rFonts w:hint="eastAsia"/>
      </w:rPr>
      <w:t xml:space="preserve">  </w:t>
    </w:r>
    <w:r>
      <w:fldChar w:fldCharType="begin"/>
    </w:r>
    <w:r>
      <w:rPr>
        <w:rStyle w:val="6"/>
      </w:rPr>
      <w:instrText xml:space="preserve">PAGE  </w:instrText>
    </w:r>
    <w:r>
      <w:fldChar w:fldCharType="separate"/>
    </w:r>
    <w:r>
      <w:rPr>
        <w:rStyle w:val="6"/>
      </w:rPr>
      <w:t>- 2 -</w:t>
    </w:r>
    <w:r>
      <w:fldChar w:fldCharType="end"/>
    </w:r>
  </w:p>
  <w:p w14:paraId="54FEF83F">
    <w:pPr>
      <w:pStyle w:val="2"/>
      <w:ind w:right="360" w:firstLine="360"/>
      <w:jc w:val="left"/>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A821">
    <w:pPr>
      <w:pStyle w:val="2"/>
    </w:pPr>
    <w:r>
      <mc:AlternateContent>
        <mc:Choice Requires="wps">
          <w:drawing>
            <wp:anchor distT="0" distB="0" distL="114300" distR="114300" simplePos="0" relativeHeight="251659264" behindDoc="0" locked="0" layoutInCell="1" allowOverlap="1">
              <wp:simplePos x="0" y="0"/>
              <wp:positionH relativeFrom="column">
                <wp:posOffset>-274955</wp:posOffset>
              </wp:positionH>
              <wp:positionV relativeFrom="paragraph">
                <wp:posOffset>-169545</wp:posOffset>
              </wp:positionV>
              <wp:extent cx="6120130" cy="0"/>
              <wp:effectExtent l="0" t="28575" r="13970" b="28575"/>
              <wp:wrapNone/>
              <wp:docPr id="1" name="直接连接符 1"/>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5pt;margin-top:-13.35pt;height:0pt;width:481.9pt;z-index:251659264;mso-width-relative:page;mso-height-relative:page;" filled="f" stroked="t" coordsize="21600,21600" o:gfxdata="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128iM2AAAAAsBAAAPAAAAAAAAAAEAIAAAACIAAABkcnMvZG93bnJldi54&#10;bWxQSwECFAAUAAAACACHTuJA3eDdevoBAADrAwAADgAAAAAAAAABACAAAAAnAQAAZHJzL2Uyb0Rv&#10;Yy54bWxQSwUGAAAAAAYABgBZAQAAkwUAAAAA&#10;">
              <v:fill on="f" focussize="0,0"/>
              <v:stroke weight="4.5pt" color="#FF0000" linestyle="thinThick"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25751">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4ABB6">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08E16">
    <w:pPr>
      <w:pStyle w:val="3"/>
      <w:pBdr>
        <w:bottom w:val="none" w:color="auto" w:sz="0" w:space="1"/>
      </w:pBdr>
      <w:tabs>
        <w:tab w:val="left" w:pos="3815"/>
      </w:tabs>
      <w:jc w:val="left"/>
      <w:rPr>
        <w:rFonts w:hint="eastAsia" w:eastAsia="宋体"/>
        <w:lang w:eastAsia="zh-CN"/>
      </w:rPr>
    </w:pPr>
    <w:r>
      <w:rPr>
        <w:rFonts w:hint="eastAsia"/>
        <w:lang w:eastAsia="zh-CN"/>
      </w:rPr>
      <w:tab/>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956A0"/>
    <w:rsid w:val="008211EC"/>
    <w:rsid w:val="05EC2C70"/>
    <w:rsid w:val="084B1D60"/>
    <w:rsid w:val="08803DF3"/>
    <w:rsid w:val="09704D07"/>
    <w:rsid w:val="0DDE590B"/>
    <w:rsid w:val="0E3109D5"/>
    <w:rsid w:val="12D9180A"/>
    <w:rsid w:val="18CA03EE"/>
    <w:rsid w:val="18E81109"/>
    <w:rsid w:val="1AA428A9"/>
    <w:rsid w:val="206956A0"/>
    <w:rsid w:val="20F7197F"/>
    <w:rsid w:val="245B7D1A"/>
    <w:rsid w:val="278D5BDE"/>
    <w:rsid w:val="28AC5ED9"/>
    <w:rsid w:val="28D70C77"/>
    <w:rsid w:val="28DC461B"/>
    <w:rsid w:val="28E54DDE"/>
    <w:rsid w:val="29D75357"/>
    <w:rsid w:val="2AEB2BB9"/>
    <w:rsid w:val="2B4E750D"/>
    <w:rsid w:val="2FA47D53"/>
    <w:rsid w:val="33103849"/>
    <w:rsid w:val="39BE5BBD"/>
    <w:rsid w:val="3C3C1050"/>
    <w:rsid w:val="3FB2030C"/>
    <w:rsid w:val="409E69CF"/>
    <w:rsid w:val="40C07D9A"/>
    <w:rsid w:val="42B9120F"/>
    <w:rsid w:val="42E85A19"/>
    <w:rsid w:val="451F245A"/>
    <w:rsid w:val="45EB3C92"/>
    <w:rsid w:val="46212368"/>
    <w:rsid w:val="49C27C44"/>
    <w:rsid w:val="4A517E06"/>
    <w:rsid w:val="4D7B0787"/>
    <w:rsid w:val="4F54285F"/>
    <w:rsid w:val="50D04FF4"/>
    <w:rsid w:val="54DA1A01"/>
    <w:rsid w:val="55A95D07"/>
    <w:rsid w:val="57EB4013"/>
    <w:rsid w:val="5AA24B62"/>
    <w:rsid w:val="64751817"/>
    <w:rsid w:val="671B15B2"/>
    <w:rsid w:val="68AB61AD"/>
    <w:rsid w:val="6B87017A"/>
    <w:rsid w:val="6E506F8F"/>
    <w:rsid w:val="6F4B70A6"/>
    <w:rsid w:val="70C6276A"/>
    <w:rsid w:val="7777008B"/>
    <w:rsid w:val="78EC354D"/>
    <w:rsid w:val="7A221E7C"/>
    <w:rsid w:val="7AE01A4E"/>
    <w:rsid w:val="7DDC781E"/>
    <w:rsid w:val="7E6F5E7F"/>
    <w:rsid w:val="7F086192"/>
    <w:rsid w:val="7F9276B2"/>
    <w:rsid w:val="7FE12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right"/>
    </w:pPr>
    <w:rPr>
      <w:rFonts w:ascii="宋体" w:hAnsi="宋体" w:eastAsia="宋体"/>
      <w:kern w:val="0"/>
      <w:sz w:val="28"/>
      <w:szCs w:val="28"/>
    </w:rPr>
  </w:style>
  <w:style w:type="paragraph" w:styleId="3">
    <w:name w:val="header"/>
    <w:basedOn w:val="1"/>
    <w:qFormat/>
    <w:uiPriority w:val="0"/>
    <w:pPr>
      <w:pBdr>
        <w:bottom w:val="single" w:color="auto" w:sz="6" w:space="1"/>
      </w:pBdr>
      <w:tabs>
        <w:tab w:val="center" w:pos="4153"/>
        <w:tab w:val="right" w:pos="8306"/>
      </w:tabs>
      <w:snapToGrid w:val="0"/>
      <w:jc w:val="center"/>
    </w:pPr>
    <w:rPr>
      <w:rFonts w:eastAsia="宋体"/>
      <w:kern w:val="0"/>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琼海市（嘉积镇） </Company>
  <Pages>6</Pages>
  <Words>0</Words>
  <Characters>0</Characters>
  <Lines>0</Lines>
  <Paragraphs>0</Paragraphs>
  <TotalTime>0</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2025-04-03T08:52:00Z</dcterms:created>
  <dc:creator>政府办收发员</dc:creator>
  <cp:lastModifiedBy>政府办收发员</cp:lastModifiedBy>
  <dcterms:modified xsi:type="dcterms:W3CDTF">2026-03-19T07:52:08Z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9CC8586C4F0243148579D29E5482C709_11</vt:lpwstr>
  </property>
</Properties>
</file>