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ˎ̥" w:eastAsia="黑体"/>
          <w:color w:val="000000"/>
          <w:sz w:val="44"/>
          <w:szCs w:val="44"/>
          <w:highlight w:val="none"/>
        </w:rPr>
      </w:pPr>
      <w:r>
        <w:rPr>
          <w:rFonts w:hint="eastAsia" w:ascii="黑体" w:hAnsi="ˎ̥" w:eastAsia="黑体"/>
          <w:color w:val="000000"/>
          <w:sz w:val="44"/>
          <w:szCs w:val="44"/>
          <w:highlight w:val="none"/>
          <w:lang w:val="en-US" w:eastAsia="zh-CN"/>
        </w:rPr>
        <w:t>琼海市财政局</w:t>
      </w:r>
      <w:r>
        <w:rPr>
          <w:rFonts w:hint="eastAsia" w:ascii="黑体" w:hAnsi="ˎ̥" w:eastAsia="黑体"/>
          <w:color w:val="000000"/>
          <w:sz w:val="44"/>
          <w:szCs w:val="44"/>
          <w:highlight w:val="none"/>
        </w:rPr>
        <w:t>2022年度</w:t>
      </w:r>
      <w:r>
        <w:rPr>
          <w:rFonts w:hint="eastAsia" w:ascii="黑体" w:hAnsi="ˎ̥" w:eastAsia="黑体"/>
          <w:color w:val="000000"/>
          <w:sz w:val="44"/>
          <w:szCs w:val="44"/>
          <w:highlight w:val="none"/>
          <w:lang w:val="en-US" w:eastAsia="zh-CN"/>
        </w:rPr>
        <w:t>部门</w:t>
      </w:r>
      <w:r>
        <w:rPr>
          <w:rFonts w:hint="eastAsia" w:ascii="黑体" w:hAnsi="ˎ̥" w:eastAsia="黑体"/>
          <w:color w:val="000000"/>
          <w:sz w:val="44"/>
          <w:szCs w:val="44"/>
          <w:highlight w:val="none"/>
        </w:rPr>
        <w:t>决算公开</w:t>
      </w:r>
      <w:r>
        <w:rPr>
          <w:rFonts w:ascii="黑体" w:hAnsi="ˎ̥" w:eastAsia="黑体"/>
          <w:color w:val="000000"/>
          <w:sz w:val="44"/>
          <w:szCs w:val="44"/>
          <w:highlight w:val="none"/>
        </w:rPr>
        <w:t>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b/>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44"/>
          <w:szCs w:val="44"/>
          <w:highlight w:val="none"/>
        </w:rPr>
      </w:pPr>
      <w:bookmarkStart w:id="0" w:name="_Toc11440_WPSOffice_Type2"/>
      <w:r>
        <w:rPr>
          <w:rFonts w:hint="eastAsia" w:ascii="黑体" w:hAnsi="黑体" w:eastAsia="黑体" w:cs="黑体"/>
          <w:color w:val="000000"/>
          <w:sz w:val="44"/>
          <w:szCs w:val="44"/>
          <w:highlight w:val="none"/>
        </w:rPr>
        <w:t>目  录</w:t>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_Toc1704_WPSOffice_Level1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第一部分 基本情况</w:t>
      </w:r>
      <w:r>
        <w:rPr>
          <w:color w:val="000000"/>
          <w:sz w:val="32"/>
          <w:szCs w:val="32"/>
          <w:highlight w:val="none"/>
        </w:rPr>
        <w:tab/>
      </w:r>
      <w:r>
        <w:rPr>
          <w:rFonts w:hint="eastAsia"/>
          <w:color w:val="000000"/>
          <w:sz w:val="32"/>
          <w:szCs w:val="32"/>
          <w:highlight w:val="none"/>
          <w:lang w:val="en-US" w:eastAsia="zh-CN"/>
        </w:rPr>
        <w:t>2</w:t>
      </w:r>
      <w:r>
        <w:rPr>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_Toc20274_WPSOffice_Level2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color w:val="000000"/>
          <w:sz w:val="32"/>
          <w:szCs w:val="32"/>
          <w:highlight w:val="none"/>
        </w:rPr>
        <w:t>一、部门</w:t>
      </w:r>
      <w:r>
        <w:rPr>
          <w:rFonts w:hint="eastAsia" w:ascii="仿宋" w:hAnsi="仿宋" w:eastAsia="仿宋" w:cs="仿宋"/>
          <w:color w:val="000000"/>
          <w:sz w:val="32"/>
          <w:szCs w:val="32"/>
          <w:highlight w:val="none"/>
          <w:lang w:eastAsia="zh-CN"/>
        </w:rPr>
        <w:t>（单位）</w:t>
      </w:r>
      <w:r>
        <w:rPr>
          <w:rFonts w:hint="eastAsia" w:ascii="仿宋" w:hAnsi="仿宋" w:eastAsia="仿宋" w:cs="仿宋"/>
          <w:color w:val="000000"/>
          <w:sz w:val="32"/>
          <w:szCs w:val="32"/>
          <w:highlight w:val="none"/>
        </w:rPr>
        <w:t>职责</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_Toc4833_WPSOffice_Level2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color w:val="000000"/>
          <w:sz w:val="32"/>
          <w:szCs w:val="32"/>
          <w:highlight w:val="none"/>
        </w:rPr>
        <w:t>二、机构设置</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_Toc28253_WPSOffice_Level1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第二部分  202</w:t>
      </w:r>
      <w:r>
        <w:rPr>
          <w:rFonts w:ascii="黑体" w:hAnsi="ˎ̥" w:eastAsia="黑体"/>
          <w:color w:val="000000"/>
          <w:sz w:val="32"/>
          <w:szCs w:val="32"/>
          <w:highlight w:val="none"/>
        </w:rPr>
        <w:t>2</w:t>
      </w:r>
      <w:r>
        <w:rPr>
          <w:rFonts w:hint="eastAsia" w:ascii="黑体" w:hAnsi="ˎ̥" w:eastAsia="黑体"/>
          <w:color w:val="000000"/>
          <w:sz w:val="32"/>
          <w:szCs w:val="32"/>
          <w:highlight w:val="none"/>
        </w:rPr>
        <w:t>年度部门决算公开表</w:t>
      </w:r>
      <w:r>
        <w:rPr>
          <w:color w:val="000000"/>
          <w:sz w:val="32"/>
          <w:szCs w:val="32"/>
          <w:highlight w:val="none"/>
        </w:rPr>
        <w:tab/>
      </w:r>
      <w:r>
        <w:rPr>
          <w:rFonts w:hint="eastAsia"/>
          <w:color w:val="000000"/>
          <w:sz w:val="32"/>
          <w:szCs w:val="32"/>
          <w:highlight w:val="none"/>
          <w:lang w:val="en-US" w:eastAsia="zh-CN"/>
        </w:rPr>
        <w:t>2</w:t>
      </w:r>
      <w:r>
        <w:rPr>
          <w:color w:val="000000"/>
          <w:sz w:val="32"/>
          <w:szCs w:val="32"/>
          <w:highlight w:val="none"/>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_Toc27590_WPSOffice_Level1 </w:instrText>
      </w:r>
      <w:r>
        <w:rPr>
          <w:color w:val="000000"/>
          <w:sz w:val="32"/>
          <w:szCs w:val="32"/>
          <w:highlight w:val="none"/>
        </w:rPr>
        <w:fldChar w:fldCharType="separate"/>
      </w:r>
      <w:r>
        <w:rPr>
          <w:rFonts w:hint="eastAsia" w:ascii="黑体" w:hAnsi="黑体" w:eastAsia="黑体" w:cs="黑体"/>
          <w:color w:val="000000"/>
          <w:sz w:val="32"/>
          <w:szCs w:val="32"/>
          <w:highlight w:val="none"/>
        </w:rPr>
        <w:t>第三部分</w:t>
      </w:r>
      <w:r>
        <w:rPr>
          <w:rFonts w:hint="eastAsia"/>
          <w:color w:val="000000"/>
          <w:sz w:val="32"/>
          <w:szCs w:val="32"/>
          <w:highlight w:val="none"/>
        </w:rPr>
        <w:t xml:space="preserve">  </w:t>
      </w:r>
      <w:r>
        <w:rPr>
          <w:rFonts w:hint="eastAsia" w:ascii="黑体" w:hAnsi="ˎ̥" w:eastAsia="黑体"/>
          <w:color w:val="000000"/>
          <w:sz w:val="32"/>
          <w:szCs w:val="32"/>
          <w:highlight w:val="none"/>
        </w:rPr>
        <w:t>2022年度部门决算情况说明</w:t>
      </w:r>
      <w:r>
        <w:rPr>
          <w:color w:val="000000"/>
          <w:sz w:val="32"/>
          <w:szCs w:val="32"/>
          <w:highlight w:val="none"/>
        </w:rPr>
        <w:tab/>
      </w:r>
      <w:r>
        <w:rPr>
          <w:rFonts w:hint="eastAsia"/>
          <w:color w:val="000000"/>
          <w:sz w:val="32"/>
          <w:szCs w:val="32"/>
          <w:highlight w:val="none"/>
          <w:lang w:val="en-US" w:eastAsia="zh-CN"/>
        </w:rPr>
        <w:t>3</w:t>
      </w:r>
      <w:r>
        <w:rPr>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_Toc21737_WPSOffice_Level2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一、收入支出总体情况说明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二、收入决算情况说明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三、支出决算情况说明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四、财政拨款收入支出决算情况说明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五、一般公共预算财政拨款支出决算情况说明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5</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六、一般公共预算财政拨款基本支出决算情况说明</w:t>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6</w:t>
      </w:r>
    </w:p>
    <w:p>
      <w:pPr>
        <w:pStyle w:val="7"/>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rPr>
        <w:t>政府性基金预算财政拨款支出决算情况说明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7</w:t>
      </w:r>
    </w:p>
    <w:p>
      <w:pPr>
        <w:pStyle w:val="7"/>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rPr>
        <w:t>国有资本经营预算财政拨款支出决算情况说明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8</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九、财政拨款“三公”经费支出决算情况说明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9</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十、预算绩效情况说明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rPr>
        <w:t>11</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bCs/>
          <w:color w:val="000000"/>
          <w:sz w:val="32"/>
          <w:szCs w:val="32"/>
          <w:highlight w:val="none"/>
        </w:rPr>
        <w:t>十一、其他重要事项情况说明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3</w:t>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黑体" w:hAnsi="ˎ̥" w:eastAsia="宋体"/>
          <w:b/>
          <w:color w:val="000000"/>
          <w:sz w:val="32"/>
          <w:szCs w:val="32"/>
          <w:highlight w:val="none"/>
          <w:lang w:eastAsia="zh-CN"/>
        </w:rPr>
      </w:pPr>
      <w:r>
        <w:rPr>
          <w:color w:val="000000"/>
          <w:sz w:val="32"/>
          <w:szCs w:val="32"/>
          <w:highlight w:val="none"/>
        </w:rPr>
        <w:fldChar w:fldCharType="begin"/>
      </w:r>
      <w:r>
        <w:rPr>
          <w:color w:val="000000"/>
          <w:sz w:val="32"/>
          <w:szCs w:val="32"/>
          <w:highlight w:val="none"/>
        </w:rPr>
        <w:instrText xml:space="preserve"> HYPERLINK \l _Toc15425_WPSOffice_Level1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第四部分  名词解释</w:t>
      </w:r>
      <w:r>
        <w:rPr>
          <w:color w:val="000000"/>
          <w:sz w:val="32"/>
          <w:szCs w:val="32"/>
          <w:highlight w:val="none"/>
        </w:rPr>
        <w:tab/>
      </w:r>
      <w:bookmarkStart w:id="1" w:name="_Toc15425_WPSOffice_Level1Page"/>
      <w:r>
        <w:rPr>
          <w:color w:val="000000"/>
          <w:sz w:val="32"/>
          <w:szCs w:val="32"/>
          <w:highlight w:val="none"/>
        </w:rPr>
        <w:t>1</w:t>
      </w:r>
      <w:bookmarkEnd w:id="1"/>
      <w:r>
        <w:rPr>
          <w:color w:val="000000"/>
          <w:sz w:val="32"/>
          <w:szCs w:val="32"/>
          <w:highlight w:val="none"/>
        </w:rPr>
        <w:fldChar w:fldCharType="end"/>
      </w:r>
      <w:bookmarkEnd w:id="0"/>
      <w:r>
        <w:rPr>
          <w:rFonts w:hint="eastAsia"/>
          <w:color w:val="000000"/>
          <w:sz w:val="32"/>
          <w:szCs w:val="32"/>
          <w:highlight w:val="none"/>
          <w:lang w:val="en-US" w:eastAsia="zh-CN"/>
        </w:rPr>
        <w:t>5</w:t>
      </w:r>
    </w:p>
    <w:p>
      <w:pPr>
        <w:jc w:val="center"/>
        <w:rPr>
          <w:rFonts w:hint="eastAsia" w:ascii="黑体" w:hAnsi="ˎ̥" w:eastAsia="黑体"/>
          <w:color w:val="000000"/>
          <w:sz w:val="32"/>
          <w:szCs w:val="32"/>
          <w:highlight w:val="none"/>
        </w:rPr>
      </w:pPr>
      <w:bookmarkStart w:id="2" w:name="_Toc22941_WPSOffice_Level1"/>
      <w:bookmarkStart w:id="3" w:name="_Toc23465_WPSOffice_Level1"/>
      <w:bookmarkStart w:id="4" w:name="_Toc32433_WPSOffice_Level1"/>
      <w:bookmarkStart w:id="5" w:name="_Toc1704_WPSOffice_Level1"/>
      <w:bookmarkStart w:id="6" w:name="_Toc10720_WPSOffice_Level1"/>
      <w:bookmarkStart w:id="7" w:name="_Toc10049_WPSOffice_Level1"/>
      <w:bookmarkStart w:id="8" w:name="_Toc24238_WPSOffice_Level2"/>
      <w:bookmarkStart w:id="9" w:name="_Toc20205_WPSOffice_Level2"/>
      <w:bookmarkStart w:id="10" w:name="_Toc20274_WPSOffice_Level2"/>
      <w:bookmarkStart w:id="11" w:name="_Toc26580_WPSOffice_Level2"/>
      <w:bookmarkStart w:id="12" w:name="_Toc14159_WPSOffice_Level2"/>
      <w:bookmarkStart w:id="13" w:name="_Toc32622_WPSOffice_Level2"/>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br w:type="page"/>
      </w:r>
      <w:r>
        <w:rPr>
          <w:rFonts w:hint="eastAsia" w:ascii="黑体" w:hAnsi="ˎ̥" w:eastAsia="黑体"/>
          <w:color w:val="000000"/>
          <w:sz w:val="32"/>
          <w:szCs w:val="32"/>
          <w:highlight w:val="none"/>
        </w:rPr>
        <w:t xml:space="preserve">第一部分  </w:t>
      </w:r>
      <w:bookmarkEnd w:id="2"/>
      <w:bookmarkEnd w:id="3"/>
      <w:bookmarkEnd w:id="4"/>
      <w:bookmarkEnd w:id="5"/>
      <w:bookmarkEnd w:id="6"/>
      <w:bookmarkEnd w:id="7"/>
      <w:r>
        <w:rPr>
          <w:rFonts w:hint="eastAsia" w:ascii="黑体" w:hAnsi="ˎ̥" w:eastAsia="黑体"/>
          <w:color w:val="000000"/>
          <w:sz w:val="32"/>
          <w:szCs w:val="32"/>
          <w:highlight w:val="none"/>
        </w:rPr>
        <w:t>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p>
    <w:bookmarkEnd w:id="8"/>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单位职责</w:t>
      </w:r>
      <w:bookmarkEnd w:id="9"/>
      <w:bookmarkEnd w:id="10"/>
      <w:bookmarkEnd w:id="11"/>
      <w:bookmarkEnd w:id="12"/>
      <w:bookmarkEnd w:id="13"/>
    </w:p>
    <w:p>
      <w:pPr>
        <w:spacing w:line="560" w:lineRule="exact"/>
        <w:ind w:firstLine="640" w:firstLineChars="200"/>
        <w:rPr>
          <w:rFonts w:hint="eastAsia" w:eastAsia="仿宋_GB2312" w:cs="仿宋_GB2312"/>
          <w:sz w:val="32"/>
        </w:rPr>
      </w:pPr>
      <w:r>
        <w:rPr>
          <w:rFonts w:hint="eastAsia" w:eastAsia="仿宋_GB2312" w:cs="仿宋_GB2312"/>
          <w:sz w:val="32"/>
        </w:rPr>
        <w:t>（一）贯彻落实党中央和国家、省委省政府有关财政、财务和会计管理工作的方针政策、法律法规、规章制度和发展战略，执行省委省政府决策部署和海南自由贸易试验区（自由贸易港）政策措施。</w:t>
      </w:r>
    </w:p>
    <w:p>
      <w:pPr>
        <w:spacing w:line="560" w:lineRule="exact"/>
        <w:ind w:firstLine="640" w:firstLineChars="200"/>
        <w:rPr>
          <w:rFonts w:hint="eastAsia" w:eastAsia="仿宋_GB2312" w:cs="仿宋_GB2312"/>
          <w:sz w:val="32"/>
        </w:rPr>
      </w:pPr>
      <w:r>
        <w:rPr>
          <w:rFonts w:hint="eastAsia" w:eastAsia="仿宋_GB2312" w:cs="仿宋_GB2312"/>
          <w:sz w:val="32"/>
        </w:rPr>
        <w:t>（二）研究拟订并组织实施全市财政、财务和会计管理的措施、规章制度，编制全市财政事业发展规划和年度计划，研究推进财政、财务和会计管理改革，研究提出海南自由贸易试验区琼海（东部区域中心城市）财税工作方面的意见和建议。</w:t>
      </w:r>
    </w:p>
    <w:p>
      <w:pPr>
        <w:spacing w:line="560" w:lineRule="exact"/>
        <w:ind w:firstLine="640" w:firstLineChars="200"/>
        <w:rPr>
          <w:rFonts w:hint="eastAsia" w:eastAsia="仿宋_GB2312" w:cs="仿宋_GB2312"/>
          <w:sz w:val="32"/>
        </w:rPr>
      </w:pPr>
      <w:r>
        <w:rPr>
          <w:rFonts w:hint="eastAsia" w:eastAsia="仿宋_GB2312" w:cs="仿宋_GB2312"/>
          <w:sz w:val="32"/>
        </w:rPr>
        <w:t>（三）负责管理全市各项财政收支。组织编制全市部门预决算，编制全市政府预决算草案和预算调整草案，汇编全市预决算草案。组织制定经费开支标准、定额，审核批复部门（单位）年度预决算。受市政府委托，向市人民代表大会及其常委会报告财政预算、执行和决算等情况。负责全市预决算公开。</w:t>
      </w:r>
    </w:p>
    <w:p>
      <w:pPr>
        <w:spacing w:line="560" w:lineRule="exact"/>
        <w:ind w:firstLine="640" w:firstLineChars="200"/>
        <w:rPr>
          <w:rFonts w:hint="eastAsia" w:eastAsia="仿宋_GB2312" w:cs="仿宋_GB2312"/>
          <w:sz w:val="32"/>
        </w:rPr>
      </w:pPr>
      <w:r>
        <w:rPr>
          <w:rFonts w:hint="eastAsia" w:eastAsia="仿宋_GB2312" w:cs="仿宋_GB2312"/>
          <w:sz w:val="32"/>
        </w:rPr>
        <w:t>（四）组织推行财政国库管理制度、国库集中收付制度，按规定管理全市财政资金账户和市级预算单位账户，负责国库资金管理。组织编制权责发生制政府综合财务报告。负责拟定政府采购制度并监督管理。</w:t>
      </w:r>
    </w:p>
    <w:p>
      <w:pPr>
        <w:spacing w:line="560" w:lineRule="exact"/>
        <w:ind w:firstLine="640" w:firstLineChars="200"/>
        <w:rPr>
          <w:rFonts w:hint="eastAsia" w:eastAsia="仿宋_GB2312" w:cs="仿宋_GB2312"/>
          <w:sz w:val="32"/>
        </w:rPr>
      </w:pPr>
      <w:r>
        <w:rPr>
          <w:rFonts w:hint="eastAsia" w:eastAsia="仿宋_GB2312" w:cs="仿宋_GB2312"/>
          <w:sz w:val="32"/>
        </w:rPr>
        <w:t>（五）负责办理和监督政府性投资项目的财政拨款，贯彻执行我市基建投资有关政策、基建财务管理制度。</w:t>
      </w:r>
    </w:p>
    <w:p>
      <w:pPr>
        <w:spacing w:line="560" w:lineRule="exact"/>
        <w:ind w:firstLine="640" w:firstLineChars="200"/>
        <w:rPr>
          <w:rFonts w:hint="eastAsia" w:eastAsia="仿宋_GB2312" w:cs="仿宋_GB2312"/>
          <w:sz w:val="32"/>
        </w:rPr>
      </w:pPr>
      <w:r>
        <w:rPr>
          <w:rFonts w:hint="eastAsia" w:eastAsia="仿宋_GB2312" w:cs="仿宋_GB2312"/>
          <w:sz w:val="32"/>
        </w:rPr>
        <w:t>（六）负责管理政府非税收入、政府性基金和财政票据，按规定管理行政事业性收费。监管全市彩票市场，按规定管理彩票资金。</w:t>
      </w:r>
    </w:p>
    <w:p>
      <w:pPr>
        <w:spacing w:line="560" w:lineRule="exact"/>
        <w:ind w:firstLine="640" w:firstLineChars="200"/>
        <w:rPr>
          <w:rFonts w:hint="eastAsia" w:eastAsia="仿宋_GB2312" w:cs="仿宋_GB2312"/>
          <w:sz w:val="32"/>
        </w:rPr>
      </w:pPr>
      <w:r>
        <w:rPr>
          <w:rFonts w:hint="eastAsia" w:eastAsia="仿宋_GB2312" w:cs="仿宋_GB2312"/>
          <w:sz w:val="32"/>
        </w:rPr>
        <w:t>（七）组织实施国有资本管理制度和办法。负责审核并汇总编制全市国有资本经营预决算草案，执行国有资本经营预算管理制度。牵头编制国有资产管理情况报告。负责管理全市行政事业单位国有资产。组织实施行政事业单位国有资产管理规章制度。组织实施企业财务制度。</w:t>
      </w:r>
    </w:p>
    <w:p>
      <w:pPr>
        <w:spacing w:line="560" w:lineRule="exact"/>
        <w:ind w:firstLine="640" w:firstLineChars="200"/>
        <w:rPr>
          <w:rFonts w:hint="eastAsia" w:eastAsia="仿宋_GB2312" w:cs="仿宋_GB2312"/>
          <w:sz w:val="32"/>
        </w:rPr>
      </w:pPr>
      <w:r>
        <w:rPr>
          <w:rFonts w:hint="eastAsia" w:eastAsia="仿宋_GB2312" w:cs="仿宋_GB2312"/>
          <w:sz w:val="32"/>
        </w:rPr>
        <w:t>（八）牵头审核并汇总编制全市社会保险基金预决算草案，会同有关部门拟订有关资金（基金）财务管理制度，承担社会保险基金财政监管工作。</w:t>
      </w:r>
    </w:p>
    <w:p>
      <w:pPr>
        <w:spacing w:line="560" w:lineRule="exact"/>
        <w:ind w:firstLine="640" w:firstLineChars="200"/>
        <w:rPr>
          <w:rFonts w:hint="eastAsia" w:eastAsia="仿宋_GB2312" w:cs="仿宋_GB2312"/>
          <w:sz w:val="32"/>
        </w:rPr>
      </w:pPr>
      <w:r>
        <w:rPr>
          <w:rFonts w:hint="eastAsia" w:eastAsia="仿宋_GB2312" w:cs="仿宋_GB2312"/>
          <w:sz w:val="32"/>
        </w:rPr>
        <w:t>（九）负责服务、协调驻琼海金融机构，指导、管理地方金融机构，完善金融组织体系和推进金融新业态发展，制定现代金融服务业发展规划，及规划实施过程中的协调服务。依法拟订我市政府性债务和政府隐性债务管理制度和办法。防范化解政府性债务和政府隐性债务风险。在公共服务领域推广运用政府和社会资本合作</w:t>
      </w:r>
      <w:r>
        <w:rPr>
          <w:rFonts w:eastAsia="仿宋_GB2312" w:cs="仿宋_GB2312"/>
          <w:sz w:val="32"/>
        </w:rPr>
        <w:t>（</w:t>
      </w:r>
      <w:r>
        <w:rPr>
          <w:rFonts w:hint="eastAsia" w:eastAsia="仿宋_GB2312" w:cs="仿宋_GB2312"/>
          <w:sz w:val="32"/>
        </w:rPr>
        <w:t>PPP</w:t>
      </w:r>
      <w:r>
        <w:rPr>
          <w:rFonts w:eastAsia="仿宋_GB2312" w:cs="仿宋_GB2312"/>
          <w:sz w:val="32"/>
        </w:rPr>
        <w:t>）</w:t>
      </w:r>
      <w:r>
        <w:rPr>
          <w:rFonts w:hint="eastAsia" w:eastAsia="仿宋_GB2312" w:cs="仿宋_GB2312"/>
          <w:sz w:val="32"/>
        </w:rPr>
        <w:t>模式。</w:t>
      </w:r>
    </w:p>
    <w:p>
      <w:pPr>
        <w:spacing w:line="560" w:lineRule="exact"/>
        <w:ind w:firstLine="640" w:firstLineChars="200"/>
        <w:rPr>
          <w:rFonts w:hint="eastAsia" w:eastAsia="仿宋_GB2312" w:cs="仿宋_GB2312"/>
          <w:sz w:val="32"/>
        </w:rPr>
      </w:pPr>
      <w:r>
        <w:rPr>
          <w:rFonts w:hint="eastAsia" w:eastAsia="仿宋_GB2312" w:cs="仿宋_GB2312"/>
          <w:sz w:val="32"/>
        </w:rPr>
        <w:t>（十）负责财政内部控制建设和管理工作。制订预算绩效管理制度和规范，牵头组织全面实施预算绩效管理工作。负责管理全市会计工作，监督和规范会计行为，组织实施国家统一的会计制度。</w:t>
      </w:r>
    </w:p>
    <w:p>
      <w:pPr>
        <w:spacing w:line="560" w:lineRule="exact"/>
        <w:ind w:firstLine="640" w:firstLineChars="200"/>
        <w:rPr>
          <w:rFonts w:hint="eastAsia" w:eastAsia="仿宋_GB2312" w:cs="仿宋_GB2312"/>
          <w:sz w:val="32"/>
        </w:rPr>
      </w:pPr>
      <w:r>
        <w:rPr>
          <w:rFonts w:hint="eastAsia" w:eastAsia="仿宋_GB2312" w:cs="仿宋_GB2312"/>
          <w:sz w:val="32"/>
        </w:rPr>
        <w:t>（十一）负责财政性投资项目工程预算审核和竣工决（结）算抽查。参与财政性投资项目的财务资金的使用管理。负责本市财政信息化建设管理工作。</w:t>
      </w:r>
    </w:p>
    <w:p>
      <w:pPr>
        <w:numPr>
          <w:ilvl w:val="0"/>
          <w:numId w:val="0"/>
        </w:numPr>
        <w:rPr>
          <w:rFonts w:hint="eastAsia" w:ascii="黑体" w:hAnsi="黑体" w:eastAsia="黑体" w:cs="黑体"/>
          <w:color w:val="000000"/>
          <w:sz w:val="32"/>
          <w:szCs w:val="32"/>
          <w:highlight w:val="none"/>
        </w:rPr>
      </w:pPr>
      <w:r>
        <w:rPr>
          <w:rFonts w:hint="eastAsia" w:eastAsia="仿宋_GB2312" w:cs="仿宋_GB2312"/>
          <w:sz w:val="32"/>
        </w:rPr>
        <w:t>（十二）完成市委、市政府和上级部门交办的其他任务。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bookmarkStart w:id="14" w:name="_Toc24059_WPSOffice_Level2"/>
      <w:bookmarkStart w:id="15" w:name="_Toc17796_WPSOffice_Level2"/>
      <w:bookmarkStart w:id="16" w:name="_Toc6572_WPSOffice_Level2"/>
      <w:bookmarkStart w:id="17" w:name="_Toc4833_WPSOffice_Level2"/>
      <w:bookmarkStart w:id="18" w:name="_Toc24474_WPSOffice_Level2"/>
      <w:r>
        <w:rPr>
          <w:rFonts w:hint="eastAsia" w:ascii="黑体" w:hAnsi="黑体" w:eastAsia="黑体" w:cs="黑体"/>
          <w:color w:val="000000"/>
          <w:sz w:val="32"/>
          <w:szCs w:val="32"/>
          <w:highlight w:val="none"/>
        </w:rPr>
        <w:t>二、机构设置</w:t>
      </w:r>
      <w:bookmarkEnd w:id="14"/>
      <w:bookmarkEnd w:id="15"/>
      <w:bookmarkEnd w:id="16"/>
      <w:bookmarkEnd w:id="17"/>
      <w:bookmarkEnd w:id="18"/>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纳入</w:t>
      </w:r>
      <w:r>
        <w:rPr>
          <w:rFonts w:hint="eastAsia" w:ascii="仿宋_GB2312" w:hAnsi="ˎ̥" w:eastAsia="仿宋_GB2312"/>
          <w:sz w:val="32"/>
          <w:szCs w:val="32"/>
          <w:lang w:val="en-US" w:eastAsia="zh-CN"/>
        </w:rPr>
        <w:t>琼海市财政局本级</w:t>
      </w:r>
      <w:r>
        <w:rPr>
          <w:rFonts w:hint="eastAsia" w:ascii="仿宋_GB2312" w:hAnsi="ˎ̥" w:eastAsia="仿宋_GB2312"/>
          <w:color w:val="000000"/>
          <w:sz w:val="32"/>
          <w:szCs w:val="32"/>
          <w:highlight w:val="none"/>
        </w:rPr>
        <w:t>202</w:t>
      </w:r>
      <w:r>
        <w:rPr>
          <w:rFonts w:ascii="仿宋_GB2312" w:hAnsi="ˎ̥" w:eastAsia="仿宋_GB2312"/>
          <w:color w:val="000000"/>
          <w:sz w:val="32"/>
          <w:szCs w:val="32"/>
          <w:highlight w:val="none"/>
        </w:rPr>
        <w:t>2</w:t>
      </w:r>
      <w:r>
        <w:rPr>
          <w:rFonts w:hint="eastAsia" w:ascii="仿宋_GB2312" w:hAnsi="ˎ̥" w:eastAsia="仿宋_GB2312"/>
          <w:color w:val="000000"/>
          <w:sz w:val="32"/>
          <w:szCs w:val="32"/>
          <w:highlight w:val="none"/>
        </w:rPr>
        <w:t>年度部门决算编制范围的单位共</w:t>
      </w:r>
      <w:r>
        <w:rPr>
          <w:rFonts w:hint="eastAsia" w:ascii="仿宋_GB2312" w:hAnsi="ˎ̥" w:eastAsia="仿宋_GB2312"/>
          <w:color w:val="000000"/>
          <w:sz w:val="32"/>
          <w:szCs w:val="32"/>
          <w:highlight w:val="none"/>
          <w:lang w:val="en-US" w:eastAsia="zh-CN"/>
        </w:rPr>
        <w:t>3</w:t>
      </w:r>
      <w:r>
        <w:rPr>
          <w:rFonts w:hint="eastAsia" w:ascii="仿宋_GB2312" w:hAnsi="ˎ̥" w:eastAsia="仿宋_GB2312"/>
          <w:color w:val="000000"/>
          <w:sz w:val="32"/>
          <w:szCs w:val="32"/>
          <w:highlight w:val="none"/>
        </w:rPr>
        <w:t>个，包括：</w:t>
      </w:r>
    </w:p>
    <w:p>
      <w:pPr>
        <w:numPr>
          <w:numId w:val="0"/>
        </w:num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琼海市财政局本级</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）琼海市财政信息中心</w:t>
      </w:r>
    </w:p>
    <w:p>
      <w:pPr>
        <w:ind w:firstLine="640" w:firstLineChars="200"/>
        <w:rPr>
          <w:rFonts w:hint="eastAsia" w:ascii="黑体" w:hAnsi="ˎ̥" w:eastAsia="黑体"/>
          <w:color w:val="000000"/>
          <w:sz w:val="32"/>
          <w:szCs w:val="32"/>
          <w:highlight w:val="none"/>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）琼海市财政票据建账监管中心</w:t>
      </w:r>
      <w:bookmarkStart w:id="19" w:name="_Toc30451_WPSOffice_Level1"/>
      <w:bookmarkStart w:id="20" w:name="_Toc6234_WPSOffice_Level1"/>
      <w:bookmarkStart w:id="21" w:name="_Toc15521_WPSOffice_Level1"/>
      <w:bookmarkStart w:id="22" w:name="_Toc8164_WPSOffice_Level1"/>
      <w:bookmarkStart w:id="23" w:name="_Toc28253_WPSOffice_Level1"/>
      <w:bookmarkStart w:id="24" w:name="_Toc30690_WPSOffice_Level1"/>
      <w:bookmarkStart w:id="25" w:name="_Toc4029_WPSOffice_Level2"/>
      <w:bookmarkStart w:id="26" w:name="_Toc8867_WPSOffice_Level2"/>
      <w:bookmarkStart w:id="27" w:name="_Toc32472_WPSOffice_Level2"/>
      <w:bookmarkStart w:id="28" w:name="_Toc6211_WPSOffice_Level2"/>
      <w:bookmarkStart w:id="29" w:name="_Toc32695_WPSOffice_Level2"/>
      <w:bookmarkStart w:id="30" w:name="_Toc11518_WPSOffice_Level2"/>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t>第二部分  2022年度部门决算公开报表</w:t>
      </w:r>
      <w:bookmarkEnd w:id="19"/>
      <w:bookmarkEnd w:id="20"/>
      <w:bookmarkEnd w:id="21"/>
      <w:bookmarkEnd w:id="22"/>
      <w:bookmarkEnd w:id="23"/>
      <w:bookmarkEnd w:id="24"/>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一、收入支出决算公开表</w:t>
      </w:r>
      <w:bookmarkEnd w:id="25"/>
      <w:bookmarkEnd w:id="26"/>
      <w:bookmarkEnd w:id="27"/>
      <w:bookmarkEnd w:id="28"/>
      <w:bookmarkEnd w:id="29"/>
      <w:bookmarkEnd w:id="30"/>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bookmarkStart w:id="31" w:name="_Toc30334_WPSOffice_Level2"/>
      <w:bookmarkStart w:id="32" w:name="_Toc23139_WPSOffice_Level2"/>
      <w:bookmarkStart w:id="33" w:name="_Toc26621_WPSOffice_Level2"/>
      <w:bookmarkStart w:id="34" w:name="_Toc25608_WPSOffice_Level2"/>
      <w:bookmarkStart w:id="35" w:name="_Toc28622_WPSOffice_Level2"/>
      <w:bookmarkStart w:id="36" w:name="_Toc14349_WPSOffice_Level2"/>
      <w:r>
        <w:rPr>
          <w:rFonts w:hint="eastAsia" w:ascii="黑体" w:hAnsi="黑体" w:eastAsia="黑体" w:cs="黑体"/>
          <w:color w:val="000000"/>
          <w:sz w:val="32"/>
          <w:szCs w:val="32"/>
          <w:highlight w:val="none"/>
        </w:rPr>
        <w:t>二、收入决算公开表</w:t>
      </w:r>
      <w:bookmarkEnd w:id="31"/>
      <w:bookmarkEnd w:id="32"/>
      <w:bookmarkEnd w:id="33"/>
      <w:bookmarkEnd w:id="34"/>
      <w:bookmarkEnd w:id="35"/>
      <w:bookmarkEnd w:id="36"/>
      <w:bookmarkStart w:id="37" w:name="_Toc17858_WPSOffice_Level2"/>
      <w:bookmarkStart w:id="38" w:name="_Toc5489_WPSOffice_Level2"/>
      <w:bookmarkStart w:id="39" w:name="_Toc13854_WPSOffice_Level2"/>
      <w:bookmarkStart w:id="40" w:name="_Toc3262_WPSOffice_Level2"/>
      <w:bookmarkStart w:id="41" w:name="_Toc14658_WPSOffice_Level2"/>
      <w:bookmarkStart w:id="42" w:name="_Toc17626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三、支出决算公开表</w:t>
      </w:r>
      <w:bookmarkEnd w:id="37"/>
      <w:bookmarkEnd w:id="38"/>
      <w:bookmarkEnd w:id="39"/>
      <w:bookmarkEnd w:id="40"/>
      <w:bookmarkEnd w:id="41"/>
      <w:bookmarkEnd w:id="42"/>
      <w:bookmarkStart w:id="43" w:name="_Toc23591_WPSOffice_Level2"/>
      <w:bookmarkStart w:id="44" w:name="_Toc13701_WPSOffice_Level2"/>
      <w:bookmarkStart w:id="45" w:name="_Toc4265_WPSOffice_Level2"/>
      <w:bookmarkStart w:id="46" w:name="_Toc21415_WPSOffice_Level2"/>
      <w:bookmarkStart w:id="47" w:name="_Toc7988_WPSOffice_Level2"/>
      <w:bookmarkStart w:id="48" w:name="_Toc23493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四、财政拨款收入支出决算公开表</w:t>
      </w:r>
      <w:bookmarkEnd w:id="43"/>
      <w:bookmarkEnd w:id="44"/>
      <w:bookmarkEnd w:id="45"/>
      <w:bookmarkEnd w:id="46"/>
      <w:bookmarkEnd w:id="47"/>
      <w:bookmarkEnd w:id="48"/>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bookmarkStart w:id="49" w:name="_Toc7879_WPSOffice_Level2"/>
      <w:bookmarkStart w:id="50" w:name="_Toc22783_WPSOffice_Level2"/>
      <w:bookmarkStart w:id="51" w:name="_Toc23829_WPSOffice_Level2"/>
      <w:bookmarkStart w:id="52" w:name="_Toc25166_WPSOffice_Level2"/>
      <w:bookmarkStart w:id="53" w:name="_Toc2158_WPSOffice_Level2"/>
      <w:bookmarkStart w:id="54" w:name="_Toc13516_WPSOffice_Level2"/>
      <w:r>
        <w:rPr>
          <w:rFonts w:hint="eastAsia" w:ascii="黑体" w:hAnsi="黑体" w:eastAsia="黑体" w:cs="黑体"/>
          <w:color w:val="000000"/>
          <w:sz w:val="32"/>
          <w:szCs w:val="32"/>
          <w:highlight w:val="none"/>
        </w:rPr>
        <w:t>五、一般公共预算财政拨款收入支出决算</w:t>
      </w:r>
      <w:bookmarkEnd w:id="49"/>
      <w:bookmarkEnd w:id="50"/>
      <w:bookmarkEnd w:id="51"/>
      <w:bookmarkEnd w:id="52"/>
      <w:r>
        <w:rPr>
          <w:rFonts w:hint="eastAsia" w:ascii="黑体" w:hAnsi="黑体" w:eastAsia="黑体" w:cs="黑体"/>
          <w:color w:val="000000"/>
          <w:sz w:val="32"/>
          <w:szCs w:val="32"/>
          <w:highlight w:val="none"/>
        </w:rPr>
        <w:t>公开表</w:t>
      </w:r>
      <w:bookmarkEnd w:id="53"/>
      <w:bookmarkEnd w:id="54"/>
      <w:bookmarkStart w:id="55" w:name="_Toc17283_WPSOffice_Level2"/>
      <w:bookmarkStart w:id="56" w:name="_Toc8373_WPSOffice_Level2"/>
      <w:bookmarkStart w:id="57" w:name="_Toc25362_WPSOffice_Level2"/>
      <w:bookmarkStart w:id="58" w:name="_Toc2632_WPSOffice_Level2"/>
      <w:bookmarkStart w:id="59" w:name="_Toc17833_WPSOffice_Level2"/>
      <w:bookmarkStart w:id="60" w:name="_Toc5343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六、一般公共预算财政拨款基本支出决算</w:t>
      </w:r>
      <w:bookmarkEnd w:id="55"/>
      <w:bookmarkEnd w:id="56"/>
      <w:bookmarkEnd w:id="57"/>
      <w:bookmarkEnd w:id="58"/>
      <w:bookmarkEnd w:id="59"/>
      <w:bookmarkEnd w:id="60"/>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left="1118" w:leftChars="304" w:hanging="480" w:hangingChars="150"/>
        <w:textAlignment w:val="auto"/>
        <w:rPr>
          <w:rFonts w:hint="eastAsia" w:ascii="黑体" w:hAnsi="黑体" w:eastAsia="黑体" w:cs="黑体"/>
          <w:color w:val="000000"/>
          <w:sz w:val="32"/>
          <w:szCs w:val="32"/>
          <w:highlight w:val="none"/>
        </w:rPr>
      </w:pPr>
      <w:bookmarkStart w:id="61" w:name="_Toc6020_WPSOffice_Level2"/>
      <w:bookmarkStart w:id="62" w:name="_Toc11799_WPSOffice_Level2"/>
      <w:bookmarkStart w:id="63" w:name="_Toc21310_WPSOffice_Level2"/>
      <w:bookmarkStart w:id="64" w:name="_Toc1533_WPSOffice_Level2"/>
      <w:bookmarkStart w:id="65" w:name="_Toc5594_WPSOffice_Level2"/>
      <w:bookmarkStart w:id="66" w:name="_Toc13345_WPSOffice_Level2"/>
      <w:r>
        <w:rPr>
          <w:rFonts w:hint="eastAsia" w:ascii="黑体" w:hAnsi="黑体" w:eastAsia="黑体" w:cs="黑体"/>
          <w:color w:val="000000"/>
          <w:sz w:val="32"/>
          <w:szCs w:val="32"/>
          <w:highlight w:val="none"/>
        </w:rPr>
        <w:t>七、政府性基金预算财政拨款收入支出决算</w:t>
      </w:r>
      <w:bookmarkEnd w:id="61"/>
      <w:bookmarkEnd w:id="62"/>
      <w:bookmarkEnd w:id="63"/>
      <w:bookmarkEnd w:id="64"/>
      <w:bookmarkEnd w:id="65"/>
      <w:bookmarkEnd w:id="66"/>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left="1118" w:leftChars="304" w:hanging="480" w:hangingChars="15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八、国有资本经营预算财政拨款收入支出决算公开表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highlight w:val="none"/>
        </w:rPr>
      </w:pPr>
      <w:bookmarkStart w:id="67" w:name="_Toc9377_WPSOffice_Level2"/>
      <w:bookmarkStart w:id="68" w:name="_Toc19961_WPSOffice_Level2"/>
      <w:bookmarkStart w:id="69" w:name="_Toc29886_WPSOffice_Level2"/>
      <w:bookmarkStart w:id="70" w:name="_Toc1820_WPSOffice_Level2"/>
      <w:r>
        <w:rPr>
          <w:rFonts w:hint="eastAsia" w:ascii="黑体" w:hAnsi="黑体" w:eastAsia="黑体" w:cs="黑体"/>
          <w:color w:val="000000"/>
          <w:sz w:val="32"/>
          <w:szCs w:val="32"/>
          <w:highlight w:val="none"/>
        </w:rPr>
        <w:t>九、财政拨款“三公”经费支出决算</w:t>
      </w:r>
      <w:bookmarkEnd w:id="67"/>
      <w:bookmarkEnd w:id="68"/>
      <w:bookmarkEnd w:id="69"/>
      <w:bookmarkEnd w:id="70"/>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highlight w:val="none"/>
        </w:rPr>
      </w:pPr>
      <w:r>
        <w:rPr>
          <w:rFonts w:hint="eastAsia" w:ascii="黑体" w:hAnsi="黑体" w:eastAsia="黑体" w:cs="黑体"/>
          <w:color w:val="000000"/>
          <w:w w:val="96"/>
          <w:sz w:val="32"/>
          <w:szCs w:val="32"/>
          <w:highlight w:val="none"/>
        </w:rPr>
        <w:t>以上报表见附件</w:t>
      </w:r>
      <w:r>
        <w:rPr>
          <w:rFonts w:hint="eastAsia" w:ascii="黑体" w:hAnsi="黑体" w:eastAsia="黑体" w:cs="黑体"/>
          <w:color w:val="000000"/>
          <w:w w:val="96"/>
          <w:sz w:val="32"/>
          <w:szCs w:val="32"/>
          <w:highlight w:val="none"/>
          <w:lang w:val="en-US" w:eastAsia="zh-CN"/>
        </w:rPr>
        <w:t>1</w:t>
      </w:r>
      <w:r>
        <w:rPr>
          <w:rFonts w:hint="eastAsia" w:ascii="黑体" w:hAnsi="黑体" w:eastAsia="黑体" w:cs="黑体"/>
          <w:color w:val="000000"/>
          <w:w w:val="96"/>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bookmarkStart w:id="71" w:name="_Toc31264_WPSOffice_Level1"/>
      <w:bookmarkStart w:id="72" w:name="_Toc16686_WPSOffice_Level1"/>
      <w:bookmarkStart w:id="73" w:name="_Toc4402_WPSOffice_Level1"/>
      <w:bookmarkStart w:id="74" w:name="_Toc29683_WPSOffice_Level1"/>
      <w:bookmarkStart w:id="75" w:name="_Toc28629_WPSOffice_Level1"/>
      <w:bookmarkStart w:id="76" w:name="_Toc27590_WPSOffice_Level1"/>
      <w:r>
        <w:rPr>
          <w:rFonts w:hint="eastAsia" w:ascii="黑体" w:hAnsi="ˎ̥" w:eastAsia="黑体"/>
          <w:color w:val="000000"/>
          <w:sz w:val="32"/>
          <w:szCs w:val="32"/>
          <w:highlight w:val="none"/>
        </w:rPr>
        <w:t>第三部分  2022年度部门决算情况说明</w:t>
      </w:r>
      <w:bookmarkEnd w:id="71"/>
      <w:bookmarkEnd w:id="72"/>
      <w:bookmarkEnd w:id="73"/>
      <w:bookmarkEnd w:id="74"/>
      <w:bookmarkEnd w:id="75"/>
      <w:bookmarkEnd w:id="76"/>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sz w:val="32"/>
          <w:szCs w:val="32"/>
          <w:highlight w:val="none"/>
          <w:lang w:eastAsia="zh-CN"/>
        </w:rPr>
      </w:pPr>
      <w:r>
        <w:rPr>
          <w:rFonts w:hint="eastAsia" w:ascii="黑体" w:hAnsi="黑体" w:eastAsia="黑体" w:cs="黑体"/>
          <w:bCs/>
          <w:color w:val="000000"/>
          <w:sz w:val="32"/>
          <w:szCs w:val="32"/>
          <w:highlight w:val="none"/>
        </w:rPr>
        <w:t>一、收入支出总体情况说明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楷体_GB2312" w:hAnsi="ˎ̥" w:eastAsia="楷体_GB2312"/>
          <w:color w:val="000000"/>
          <w:sz w:val="32"/>
          <w:szCs w:val="32"/>
          <w:highlight w:val="none"/>
        </w:rPr>
        <w:t xml:space="preserve">    </w:t>
      </w:r>
      <w:r>
        <w:rPr>
          <w:rFonts w:hint="eastAsia" w:ascii="仿宋_GB2312" w:hAnsi="ˎ̥" w:eastAsia="仿宋_GB2312"/>
          <w:color w:val="000000"/>
          <w:sz w:val="32"/>
          <w:szCs w:val="32"/>
          <w:highlight w:val="none"/>
        </w:rPr>
        <w:t>2022年度收入总计4848.09万元，支出总计4848.09万元，与2021年度相比，收入、支出总计各增加</w:t>
      </w:r>
      <w:r>
        <w:rPr>
          <w:rFonts w:hint="eastAsia" w:ascii="仿宋_GB2312" w:hAnsi="ˎ̥" w:eastAsia="仿宋_GB2312"/>
          <w:color w:val="000000"/>
          <w:sz w:val="32"/>
          <w:szCs w:val="32"/>
          <w:highlight w:val="none"/>
          <w:lang w:val="en-US" w:eastAsia="zh-CN"/>
        </w:rPr>
        <w:t>2883.91</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146.83</w:t>
      </w:r>
      <w:r>
        <w:rPr>
          <w:rFonts w:hint="eastAsia" w:ascii="仿宋_GB2312" w:hAnsi="ˎ̥" w:eastAsia="仿宋_GB2312"/>
          <w:color w:val="000000"/>
          <w:sz w:val="32"/>
          <w:szCs w:val="32"/>
          <w:highlight w:val="none"/>
        </w:rPr>
        <w:t>%。主要原因：</w:t>
      </w:r>
      <w:r>
        <w:rPr>
          <w:rFonts w:hint="eastAsia" w:ascii="仿宋_GB2312" w:hAnsi="ˎ̥" w:eastAsia="仿宋_GB2312"/>
          <w:sz w:val="32"/>
          <w:szCs w:val="32"/>
          <w:lang w:val="en-US" w:eastAsia="zh-CN"/>
        </w:rPr>
        <w:t>财政拨款收支增加</w:t>
      </w:r>
      <w:r>
        <w:rPr>
          <w:rFonts w:hint="eastAsia" w:ascii="仿宋_GB2312" w:hAnsi="ˎ̥" w:eastAsia="仿宋_GB2312"/>
          <w:color w:val="000000"/>
          <w:sz w:val="32"/>
          <w:szCs w:val="32"/>
          <w:highlight w:val="none"/>
        </w:rPr>
        <w:t>。使用非财政拨款结余</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万元。年初结转结余31.33万元，主要是</w:t>
      </w:r>
      <w:r>
        <w:rPr>
          <w:rFonts w:hint="eastAsia" w:ascii="仿宋_GB2312" w:hAnsi="ˎ̥" w:eastAsia="仿宋_GB2312"/>
          <w:sz w:val="32"/>
          <w:szCs w:val="32"/>
          <w:lang w:val="en-US" w:eastAsia="zh-CN"/>
        </w:rPr>
        <w:t>基本支出结转</w:t>
      </w:r>
      <w:r>
        <w:rPr>
          <w:rFonts w:hint="eastAsia" w:ascii="仿宋_GB2312" w:hAnsi="ˎ̥" w:eastAsia="仿宋_GB2312"/>
          <w:color w:val="000000"/>
          <w:sz w:val="32"/>
          <w:szCs w:val="32"/>
          <w:highlight w:val="none"/>
        </w:rPr>
        <w:t>，较2021年度决算数减少</w:t>
      </w:r>
      <w:r>
        <w:rPr>
          <w:rFonts w:hint="eastAsia" w:ascii="仿宋_GB2312" w:hAnsi="ˎ̥" w:eastAsia="仿宋_GB2312"/>
          <w:color w:val="000000"/>
          <w:sz w:val="32"/>
          <w:szCs w:val="32"/>
          <w:highlight w:val="none"/>
          <w:lang w:val="en-US" w:eastAsia="zh-CN"/>
        </w:rPr>
        <w:t>90.94</w:t>
      </w:r>
      <w:r>
        <w:rPr>
          <w:rFonts w:hint="eastAsia" w:ascii="仿宋_GB2312" w:hAnsi="ˎ̥" w:eastAsia="仿宋_GB2312"/>
          <w:color w:val="000000"/>
          <w:sz w:val="32"/>
          <w:szCs w:val="32"/>
          <w:highlight w:val="none"/>
        </w:rPr>
        <w:t>万元，下降</w:t>
      </w:r>
      <w:r>
        <w:rPr>
          <w:rFonts w:hint="eastAsia" w:ascii="仿宋_GB2312" w:hAnsi="ˎ̥" w:eastAsia="仿宋_GB2312"/>
          <w:color w:val="000000"/>
          <w:sz w:val="32"/>
          <w:szCs w:val="32"/>
          <w:highlight w:val="none"/>
          <w:lang w:val="en-US" w:eastAsia="zh-CN"/>
        </w:rPr>
        <w:t>74.38</w:t>
      </w:r>
      <w:r>
        <w:rPr>
          <w:rFonts w:hint="eastAsia" w:ascii="仿宋_GB2312" w:hAnsi="ˎ̥" w:eastAsia="仿宋_GB2312"/>
          <w:color w:val="000000"/>
          <w:sz w:val="32"/>
          <w:szCs w:val="32"/>
          <w:highlight w:val="none"/>
        </w:rPr>
        <w:t>%，主要原因是</w:t>
      </w:r>
      <w:r>
        <w:rPr>
          <w:rFonts w:hint="eastAsia" w:ascii="仿宋_GB2312" w:hAnsi="ˎ̥" w:eastAsia="仿宋_GB2312"/>
          <w:sz w:val="32"/>
          <w:szCs w:val="32"/>
          <w:lang w:eastAsia="zh-CN"/>
        </w:rPr>
        <w:t>部门之间拔款减少</w:t>
      </w:r>
      <w:r>
        <w:rPr>
          <w:rFonts w:hint="eastAsia" w:ascii="仿宋_GB2312" w:hAnsi="ˎ̥" w:eastAsia="仿宋_GB2312"/>
          <w:color w:val="000000"/>
          <w:sz w:val="32"/>
          <w:szCs w:val="32"/>
          <w:highlight w:val="none"/>
        </w:rPr>
        <w:t>。结余分配</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万元。年末结转结余27.89万元，主要是</w:t>
      </w:r>
      <w:r>
        <w:rPr>
          <w:rFonts w:hint="eastAsia" w:ascii="仿宋_GB2312" w:hAnsi="ˎ̥" w:eastAsia="仿宋_GB2312"/>
          <w:sz w:val="32"/>
          <w:szCs w:val="32"/>
          <w:lang w:eastAsia="zh-CN"/>
        </w:rPr>
        <w:t>基本支出结转</w:t>
      </w:r>
      <w:r>
        <w:rPr>
          <w:rFonts w:hint="eastAsia" w:ascii="仿宋_GB2312" w:hAnsi="ˎ̥" w:eastAsia="仿宋_GB2312"/>
          <w:color w:val="000000"/>
          <w:sz w:val="32"/>
          <w:szCs w:val="32"/>
          <w:highlight w:val="none"/>
        </w:rPr>
        <w:t>，较2021年度决算数减少</w:t>
      </w:r>
      <w:r>
        <w:rPr>
          <w:rFonts w:hint="eastAsia" w:ascii="仿宋_GB2312" w:hAnsi="ˎ̥" w:eastAsia="仿宋_GB2312"/>
          <w:color w:val="000000"/>
          <w:sz w:val="32"/>
          <w:szCs w:val="32"/>
          <w:highlight w:val="none"/>
          <w:lang w:val="en-US" w:eastAsia="zh-CN"/>
        </w:rPr>
        <w:t>4.65</w:t>
      </w:r>
      <w:r>
        <w:rPr>
          <w:rFonts w:hint="eastAsia" w:ascii="仿宋_GB2312" w:hAnsi="ˎ̥" w:eastAsia="仿宋_GB2312"/>
          <w:color w:val="000000"/>
          <w:sz w:val="32"/>
          <w:szCs w:val="32"/>
          <w:highlight w:val="none"/>
        </w:rPr>
        <w:t>万元，下降</w:t>
      </w:r>
      <w:r>
        <w:rPr>
          <w:rFonts w:hint="eastAsia" w:ascii="仿宋_GB2312" w:hAnsi="ˎ̥" w:eastAsia="仿宋_GB2312"/>
          <w:color w:val="000000"/>
          <w:sz w:val="32"/>
          <w:szCs w:val="32"/>
          <w:highlight w:val="none"/>
          <w:lang w:val="en-US" w:eastAsia="zh-CN"/>
        </w:rPr>
        <w:t>14.29</w:t>
      </w:r>
      <w:r>
        <w:rPr>
          <w:rFonts w:hint="eastAsia" w:ascii="仿宋_GB2312" w:hAnsi="ˎ̥" w:eastAsia="仿宋_GB2312"/>
          <w:color w:val="000000"/>
          <w:sz w:val="32"/>
          <w:szCs w:val="32"/>
          <w:highlight w:val="none"/>
        </w:rPr>
        <w:t>%，主要原因是</w:t>
      </w:r>
      <w:r>
        <w:rPr>
          <w:rFonts w:hint="eastAsia" w:ascii="仿宋_GB2312" w:hAnsi="ˎ̥" w:eastAsia="仿宋_GB2312"/>
          <w:sz w:val="32"/>
          <w:szCs w:val="32"/>
          <w:lang w:eastAsia="zh-CN"/>
        </w:rPr>
        <w:t>项目支出增加</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sz w:val="32"/>
          <w:szCs w:val="32"/>
          <w:highlight w:val="none"/>
          <w:lang w:eastAsia="zh-CN"/>
        </w:rPr>
      </w:pPr>
      <w:r>
        <w:rPr>
          <w:rFonts w:hint="eastAsia" w:ascii="黑体" w:hAnsi="黑体" w:eastAsia="黑体" w:cs="黑体"/>
          <w:bCs/>
          <w:color w:val="000000"/>
          <w:sz w:val="32"/>
          <w:szCs w:val="32"/>
          <w:highlight w:val="none"/>
        </w:rPr>
        <w:t>二、收入决算情况说明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 xml:space="preserve">    本年收入合计4816.77万元，其中：财政拨款收入4816.73万元，占</w:t>
      </w:r>
      <w:r>
        <w:rPr>
          <w:rFonts w:hint="eastAsia" w:ascii="仿宋_GB2312" w:hAnsi="ˎ̥" w:eastAsia="仿宋_GB2312"/>
          <w:color w:val="000000"/>
          <w:sz w:val="32"/>
          <w:szCs w:val="32"/>
          <w:highlight w:val="none"/>
          <w:lang w:val="en-US" w:eastAsia="zh-CN"/>
        </w:rPr>
        <w:t>99.99</w:t>
      </w:r>
      <w:r>
        <w:rPr>
          <w:rFonts w:hint="eastAsia" w:ascii="仿宋_GB2312" w:hAnsi="ˎ̥" w:eastAsia="仿宋_GB2312"/>
          <w:color w:val="000000"/>
          <w:sz w:val="32"/>
          <w:szCs w:val="32"/>
          <w:highlight w:val="none"/>
        </w:rPr>
        <w:t>%；上级补助收入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事业收入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经营收入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附属单位上缴收入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%；其他收入</w:t>
      </w:r>
      <w:r>
        <w:rPr>
          <w:rFonts w:hint="eastAsia" w:ascii="仿宋_GB2312" w:hAnsi="ˎ̥" w:eastAsia="仿宋_GB2312"/>
          <w:color w:val="000000"/>
          <w:sz w:val="32"/>
          <w:szCs w:val="32"/>
          <w:highlight w:val="none"/>
          <w:lang w:val="en-US" w:eastAsia="zh-CN"/>
        </w:rPr>
        <w:t>0.04</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0.01</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三、支出决算情况说明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本年支出合计4820.2万元，其中：基本支出527.69万元，占</w:t>
      </w:r>
      <w:r>
        <w:rPr>
          <w:rFonts w:hint="eastAsia" w:ascii="仿宋_GB2312" w:hAnsi="ˎ̥" w:eastAsia="仿宋_GB2312"/>
          <w:color w:val="000000"/>
          <w:sz w:val="32"/>
          <w:szCs w:val="32"/>
          <w:highlight w:val="none"/>
          <w:lang w:val="en-US" w:eastAsia="zh-CN"/>
        </w:rPr>
        <w:t>10.95</w:t>
      </w:r>
      <w:r>
        <w:rPr>
          <w:rFonts w:hint="eastAsia" w:ascii="仿宋_GB2312" w:hAnsi="ˎ̥" w:eastAsia="仿宋_GB2312"/>
          <w:color w:val="000000"/>
          <w:sz w:val="32"/>
          <w:szCs w:val="32"/>
          <w:highlight w:val="none"/>
        </w:rPr>
        <w:t>%；项目支出4292.51万元，占</w:t>
      </w:r>
      <w:r>
        <w:rPr>
          <w:rFonts w:hint="eastAsia" w:ascii="仿宋_GB2312" w:hAnsi="ˎ̥" w:eastAsia="仿宋_GB2312"/>
          <w:color w:val="000000"/>
          <w:sz w:val="32"/>
          <w:szCs w:val="32"/>
          <w:highlight w:val="none"/>
          <w:lang w:val="en-US" w:eastAsia="zh-CN"/>
        </w:rPr>
        <w:t>89.05</w:t>
      </w:r>
      <w:r>
        <w:rPr>
          <w:rFonts w:hint="eastAsia" w:ascii="仿宋_GB2312" w:hAnsi="ˎ̥" w:eastAsia="仿宋_GB2312"/>
          <w:color w:val="000000"/>
          <w:sz w:val="32"/>
          <w:szCs w:val="32"/>
          <w:highlight w:val="none"/>
        </w:rPr>
        <w:t>%；上缴上级支出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%；经营支出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%；对附属单位补助支出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四、财政拨款收入支出决算总体情况说明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2022年度财政拨款收入4816.73万元，支出4816.73万元。与2021年度相比，财政拨款收入、支出各增加</w:t>
      </w:r>
      <w:r>
        <w:rPr>
          <w:rFonts w:hint="eastAsia" w:ascii="仿宋_GB2312" w:hAnsi="ˎ̥" w:eastAsia="仿宋_GB2312"/>
          <w:color w:val="000000"/>
          <w:sz w:val="32"/>
          <w:szCs w:val="32"/>
          <w:highlight w:val="none"/>
          <w:lang w:val="en-US" w:eastAsia="zh-CN"/>
        </w:rPr>
        <w:t>2975.15</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161.55</w:t>
      </w:r>
      <w:r>
        <w:rPr>
          <w:rFonts w:hint="eastAsia" w:ascii="仿宋_GB2312" w:hAnsi="ˎ̥" w:eastAsia="仿宋_GB2312"/>
          <w:color w:val="000000"/>
          <w:sz w:val="32"/>
          <w:szCs w:val="32"/>
          <w:highlight w:val="none"/>
        </w:rPr>
        <w:t>%。主要原因：</w:t>
      </w:r>
      <w:r>
        <w:rPr>
          <w:rFonts w:hint="eastAsia" w:ascii="仿宋_GB2312" w:hAnsi="ˎ̥" w:eastAsia="仿宋_GB2312"/>
          <w:sz w:val="32"/>
          <w:szCs w:val="32"/>
        </w:rPr>
        <w:t>一是</w:t>
      </w:r>
      <w:r>
        <w:rPr>
          <w:rFonts w:hint="eastAsia" w:ascii="仿宋_GB2312" w:hAnsi="ˎ̥" w:eastAsia="仿宋_GB2312"/>
          <w:sz w:val="32"/>
          <w:szCs w:val="32"/>
          <w:lang w:val="en-US" w:eastAsia="zh-CN"/>
        </w:rPr>
        <w:t>一般公共预算财政拨款增加</w:t>
      </w:r>
      <w:r>
        <w:rPr>
          <w:rFonts w:hint="eastAsia" w:ascii="仿宋_GB2312" w:hAnsi="ˎ̥" w:eastAsia="仿宋_GB2312"/>
          <w:sz w:val="32"/>
          <w:szCs w:val="32"/>
        </w:rPr>
        <w:t>；二是</w:t>
      </w:r>
      <w:r>
        <w:rPr>
          <w:rFonts w:hint="eastAsia" w:ascii="仿宋_GB2312" w:hAnsi="ˎ̥" w:eastAsia="仿宋_GB2312"/>
          <w:sz w:val="32"/>
          <w:szCs w:val="32"/>
          <w:lang w:val="en-US" w:eastAsia="zh-CN"/>
        </w:rPr>
        <w:t>政府性基金预算财政拨款增加</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财政拨款年初结转结余</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财政拨款年末结转结余</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五、一般公共预算财政拨款支出决算情况说明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bookmarkStart w:id="77" w:name="_Toc13694_WPSOffice_Level2"/>
      <w:bookmarkStart w:id="78" w:name="_Toc17398_WPSOffice_Level2"/>
      <w:bookmarkStart w:id="79" w:name="_Toc23005_WPSOffice_Level2"/>
      <w:bookmarkStart w:id="80" w:name="_Toc21737_WPSOffice_Level2"/>
      <w:bookmarkStart w:id="81" w:name="_Toc19665_WPSOffice_Level2"/>
      <w:bookmarkStart w:id="82" w:name="_Toc9989_WPSOffice_Level2"/>
      <w:r>
        <w:rPr>
          <w:rFonts w:hint="eastAsia" w:ascii="楷体" w:hAnsi="楷体" w:eastAsia="楷体" w:cs="楷体"/>
          <w:color w:val="000000"/>
          <w:sz w:val="32"/>
          <w:szCs w:val="32"/>
          <w:highlight w:val="none"/>
        </w:rPr>
        <w:t>（一）一般公共预算财政拨款支出决算总体情况</w:t>
      </w:r>
      <w:bookmarkEnd w:id="77"/>
      <w:bookmarkEnd w:id="78"/>
      <w:r>
        <w:rPr>
          <w:rFonts w:hint="eastAsia" w:ascii="楷体" w:hAnsi="楷体" w:eastAsia="楷体" w:cs="楷体"/>
          <w:color w:val="000000"/>
          <w:sz w:val="32"/>
          <w:szCs w:val="32"/>
          <w:highlight w:val="none"/>
        </w:rPr>
        <w:t>。</w:t>
      </w:r>
      <w:bookmarkEnd w:id="79"/>
      <w:bookmarkEnd w:id="80"/>
      <w:bookmarkEnd w:id="81"/>
      <w:bookmarkEnd w:id="82"/>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2022年度一般公共预算财政拨款支出3519.28万元，占本年支出合计的</w:t>
      </w:r>
      <w:r>
        <w:rPr>
          <w:rFonts w:hint="eastAsia" w:ascii="仿宋_GB2312" w:hAnsi="ˎ̥" w:eastAsia="仿宋_GB2312"/>
          <w:color w:val="000000"/>
          <w:sz w:val="32"/>
          <w:szCs w:val="32"/>
          <w:highlight w:val="none"/>
          <w:lang w:val="en-US" w:eastAsia="zh-CN"/>
        </w:rPr>
        <w:t>72.59</w:t>
      </w:r>
      <w:r>
        <w:rPr>
          <w:rFonts w:hint="eastAsia" w:ascii="仿宋_GB2312" w:hAnsi="ˎ̥" w:eastAsia="仿宋_GB2312"/>
          <w:color w:val="000000"/>
          <w:sz w:val="32"/>
          <w:szCs w:val="32"/>
          <w:highlight w:val="none"/>
        </w:rPr>
        <w:t>%。与2021年度相比，一般公共预算财政拨款支出增加</w:t>
      </w:r>
      <w:r>
        <w:rPr>
          <w:rFonts w:hint="eastAsia" w:ascii="仿宋_GB2312" w:hAnsi="ˎ̥" w:eastAsia="仿宋_GB2312"/>
          <w:color w:val="000000"/>
          <w:sz w:val="32"/>
          <w:szCs w:val="32"/>
          <w:highlight w:val="none"/>
          <w:lang w:val="en-US" w:eastAsia="zh-CN"/>
        </w:rPr>
        <w:t>2379.29</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208.71</w:t>
      </w:r>
      <w:r>
        <w:rPr>
          <w:rFonts w:hint="eastAsia" w:ascii="仿宋_GB2312" w:hAnsi="ˎ̥" w:eastAsia="仿宋_GB2312"/>
          <w:color w:val="000000"/>
          <w:sz w:val="32"/>
          <w:szCs w:val="32"/>
          <w:highlight w:val="none"/>
        </w:rPr>
        <w:t>%，主要原因是</w:t>
      </w:r>
      <w:r>
        <w:rPr>
          <w:rFonts w:hint="eastAsia" w:ascii="仿宋_GB2312" w:hAnsi="ˎ̥" w:eastAsia="仿宋_GB2312"/>
          <w:color w:val="000000"/>
          <w:sz w:val="32"/>
          <w:szCs w:val="32"/>
          <w:highlight w:val="none"/>
          <w:lang w:val="en-US" w:eastAsia="zh-CN"/>
        </w:rPr>
        <w:t>农林水支出增加</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bookmarkStart w:id="83" w:name="_Toc2711_WPSOffice_Level2"/>
      <w:bookmarkStart w:id="84" w:name="_Toc18793_WPSOffice_Level2"/>
      <w:bookmarkStart w:id="85" w:name="_Toc27767_WPSOffice_Level2"/>
      <w:bookmarkStart w:id="86" w:name="_Toc19535_WPSOffice_Level2"/>
      <w:bookmarkStart w:id="87" w:name="_Toc23864_WPSOffice_Level2"/>
      <w:bookmarkStart w:id="88" w:name="_Toc19075_WPSOffice_Level2"/>
      <w:r>
        <w:rPr>
          <w:rFonts w:hint="eastAsia" w:ascii="楷体" w:hAnsi="楷体" w:eastAsia="楷体" w:cs="楷体"/>
          <w:color w:val="000000"/>
          <w:sz w:val="32"/>
          <w:szCs w:val="32"/>
          <w:highlight w:val="none"/>
        </w:rPr>
        <w:t>（二）一般公共预算财政拨款支出决算结构情况</w:t>
      </w:r>
      <w:bookmarkEnd w:id="83"/>
      <w:bookmarkEnd w:id="84"/>
      <w:r>
        <w:rPr>
          <w:rFonts w:hint="eastAsia" w:ascii="楷体" w:hAnsi="楷体" w:eastAsia="楷体" w:cs="楷体"/>
          <w:color w:val="000000"/>
          <w:sz w:val="32"/>
          <w:szCs w:val="32"/>
          <w:highlight w:val="none"/>
        </w:rPr>
        <w:t>。</w:t>
      </w:r>
      <w:bookmarkEnd w:id="85"/>
      <w:bookmarkEnd w:id="86"/>
      <w:bookmarkEnd w:id="87"/>
      <w:bookmarkEnd w:id="88"/>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2022年度一般公共预算财政拨款支出3519.28万元，主要用于以下方面：</w:t>
      </w:r>
      <w:r>
        <w:rPr>
          <w:rFonts w:hint="eastAsia" w:ascii="仿宋_GB2312" w:hAnsi="ˎ̥" w:eastAsia="仿宋_GB2312"/>
          <w:b/>
          <w:color w:val="000000"/>
          <w:sz w:val="32"/>
          <w:szCs w:val="32"/>
          <w:highlight w:val="none"/>
        </w:rPr>
        <w:t>一般公共服务（类）</w:t>
      </w:r>
      <w:r>
        <w:rPr>
          <w:rFonts w:hint="eastAsia" w:ascii="仿宋_GB2312" w:hAnsi="ˎ̥" w:eastAsia="仿宋_GB2312"/>
          <w:color w:val="000000"/>
          <w:sz w:val="32"/>
          <w:szCs w:val="32"/>
          <w:highlight w:val="none"/>
        </w:rPr>
        <w:t>支出582.95万元，占</w:t>
      </w:r>
      <w:r>
        <w:rPr>
          <w:rFonts w:hint="eastAsia" w:ascii="仿宋_GB2312" w:hAnsi="ˎ̥" w:eastAsia="仿宋_GB2312"/>
          <w:color w:val="000000"/>
          <w:sz w:val="32"/>
          <w:szCs w:val="32"/>
          <w:highlight w:val="none"/>
          <w:lang w:val="en-US" w:eastAsia="zh-CN"/>
        </w:rPr>
        <w:t>16.56</w:t>
      </w:r>
      <w:r>
        <w:rPr>
          <w:rFonts w:hint="eastAsia" w:ascii="仿宋_GB2312" w:hAnsi="ˎ̥" w:eastAsia="仿宋_GB2312"/>
          <w:color w:val="000000"/>
          <w:sz w:val="32"/>
          <w:szCs w:val="32"/>
          <w:highlight w:val="none"/>
        </w:rPr>
        <w:t>%；</w:t>
      </w:r>
      <w:r>
        <w:rPr>
          <w:rFonts w:hint="eastAsia" w:ascii="仿宋_GB2312" w:hAnsi="ˎ̥" w:eastAsia="仿宋_GB2312"/>
          <w:b/>
          <w:color w:val="000000"/>
          <w:sz w:val="32"/>
          <w:szCs w:val="32"/>
          <w:highlight w:val="none"/>
        </w:rPr>
        <w:t>社会保障和就业（类）</w:t>
      </w:r>
      <w:r>
        <w:rPr>
          <w:rFonts w:hint="eastAsia" w:ascii="仿宋_GB2312" w:hAnsi="ˎ̥" w:eastAsia="仿宋_GB2312"/>
          <w:color w:val="000000"/>
          <w:sz w:val="32"/>
          <w:szCs w:val="32"/>
          <w:highlight w:val="none"/>
        </w:rPr>
        <w:t>支出59.23万元，占</w:t>
      </w:r>
      <w:r>
        <w:rPr>
          <w:rFonts w:hint="eastAsia" w:ascii="仿宋_GB2312" w:hAnsi="ˎ̥" w:eastAsia="仿宋_GB2312"/>
          <w:color w:val="000000"/>
          <w:sz w:val="32"/>
          <w:szCs w:val="32"/>
          <w:highlight w:val="none"/>
          <w:lang w:val="en-US" w:eastAsia="zh-CN"/>
        </w:rPr>
        <w:t>1.68</w:t>
      </w:r>
      <w:r>
        <w:rPr>
          <w:rFonts w:hint="eastAsia" w:ascii="仿宋_GB2312" w:hAnsi="ˎ̥" w:eastAsia="仿宋_GB2312"/>
          <w:color w:val="000000"/>
          <w:sz w:val="32"/>
          <w:szCs w:val="32"/>
          <w:highlight w:val="none"/>
        </w:rPr>
        <w:t>%；</w:t>
      </w:r>
      <w:r>
        <w:rPr>
          <w:rFonts w:hint="eastAsia" w:ascii="仿宋_GB2312" w:hAnsi="ˎ̥" w:eastAsia="仿宋_GB2312"/>
          <w:b/>
          <w:bCs/>
          <w:sz w:val="32"/>
          <w:szCs w:val="32"/>
        </w:rPr>
        <w:t>卫生健康</w:t>
      </w:r>
      <w:r>
        <w:rPr>
          <w:rFonts w:hint="eastAsia" w:ascii="仿宋_GB2312" w:hAnsi="ˎ̥" w:eastAsia="仿宋_GB2312"/>
          <w:b/>
          <w:bCs/>
          <w:sz w:val="32"/>
          <w:szCs w:val="32"/>
          <w:lang w:eastAsia="zh-CN"/>
        </w:rPr>
        <w:t>（</w:t>
      </w:r>
      <w:r>
        <w:rPr>
          <w:rFonts w:hint="eastAsia" w:ascii="仿宋_GB2312" w:hAnsi="ˎ̥" w:eastAsia="仿宋_GB2312"/>
          <w:b/>
          <w:bCs/>
          <w:sz w:val="32"/>
          <w:szCs w:val="32"/>
          <w:lang w:val="en-US" w:eastAsia="zh-CN"/>
        </w:rPr>
        <w:t>类</w:t>
      </w:r>
      <w:r>
        <w:rPr>
          <w:rFonts w:hint="eastAsia" w:ascii="仿宋_GB2312" w:hAnsi="ˎ̥" w:eastAsia="仿宋_GB2312"/>
          <w:b/>
          <w:bCs/>
          <w:sz w:val="32"/>
          <w:szCs w:val="32"/>
          <w:lang w:eastAsia="zh-CN"/>
        </w:rPr>
        <w:t>）</w:t>
      </w:r>
      <w:r>
        <w:rPr>
          <w:rFonts w:hint="eastAsia" w:ascii="仿宋_GB2312" w:hAnsi="ˎ̥" w:eastAsia="仿宋_GB2312"/>
          <w:sz w:val="32"/>
          <w:szCs w:val="32"/>
        </w:rPr>
        <w:t>支出69.74万元，占</w:t>
      </w:r>
      <w:r>
        <w:rPr>
          <w:rFonts w:hint="eastAsia" w:ascii="仿宋_GB2312" w:hAnsi="ˎ̥" w:eastAsia="仿宋_GB2312"/>
          <w:sz w:val="32"/>
          <w:szCs w:val="32"/>
          <w:lang w:val="en-US" w:eastAsia="zh-CN"/>
        </w:rPr>
        <w:t>1.98</w:t>
      </w:r>
      <w:r>
        <w:rPr>
          <w:rFonts w:hint="eastAsia" w:ascii="仿宋_GB2312" w:hAnsi="ˎ̥" w:eastAsia="仿宋_GB2312"/>
          <w:sz w:val="32"/>
          <w:szCs w:val="32"/>
        </w:rPr>
        <w:t>%；</w:t>
      </w:r>
      <w:r>
        <w:rPr>
          <w:rFonts w:hint="eastAsia" w:ascii="仿宋_GB2312" w:hAnsi="ˎ̥" w:eastAsia="仿宋_GB2312"/>
          <w:sz w:val="32"/>
          <w:szCs w:val="32"/>
          <w:lang w:val="en-US" w:eastAsia="zh-CN"/>
        </w:rPr>
        <w:t>农林水</w:t>
      </w:r>
      <w:r>
        <w:rPr>
          <w:rFonts w:hint="eastAsia" w:ascii="仿宋_GB2312" w:hAnsi="ˎ̥" w:eastAsia="仿宋_GB2312"/>
          <w:b/>
          <w:bCs/>
          <w:color w:val="000000"/>
          <w:sz w:val="32"/>
          <w:szCs w:val="32"/>
          <w:highlight w:val="none"/>
        </w:rPr>
        <w:t>（类）</w:t>
      </w:r>
      <w:r>
        <w:rPr>
          <w:rFonts w:hint="eastAsia" w:ascii="仿宋_GB2312" w:hAnsi="ˎ̥" w:eastAsia="仿宋_GB2312"/>
          <w:color w:val="000000"/>
          <w:sz w:val="32"/>
          <w:szCs w:val="32"/>
          <w:highlight w:val="none"/>
        </w:rPr>
        <w:t>支出2769.6万元，占</w:t>
      </w:r>
      <w:r>
        <w:rPr>
          <w:rFonts w:hint="eastAsia" w:ascii="仿宋_GB2312" w:hAnsi="ˎ̥" w:eastAsia="仿宋_GB2312"/>
          <w:color w:val="000000"/>
          <w:sz w:val="32"/>
          <w:szCs w:val="32"/>
          <w:highlight w:val="none"/>
          <w:lang w:val="en-US" w:eastAsia="zh-CN"/>
        </w:rPr>
        <w:t>78.7</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r>
        <w:rPr>
          <w:rFonts w:hint="eastAsia" w:ascii="仿宋_GB2312" w:hAnsi="ˎ̥" w:eastAsia="仿宋_GB2312"/>
          <w:b/>
          <w:bCs/>
          <w:color w:val="000000"/>
          <w:sz w:val="32"/>
          <w:szCs w:val="32"/>
          <w:highlight w:val="none"/>
        </w:rPr>
        <w:t>住房保障（类）</w:t>
      </w:r>
      <w:r>
        <w:rPr>
          <w:rFonts w:hint="eastAsia" w:ascii="仿宋_GB2312" w:hAnsi="ˎ̥" w:eastAsia="仿宋_GB2312"/>
          <w:color w:val="000000"/>
          <w:sz w:val="32"/>
          <w:szCs w:val="32"/>
          <w:highlight w:val="none"/>
        </w:rPr>
        <w:t>支出37.75万元，占</w:t>
      </w:r>
      <w:r>
        <w:rPr>
          <w:rFonts w:hint="eastAsia" w:ascii="仿宋_GB2312" w:hAnsi="ˎ̥" w:eastAsia="仿宋_GB2312"/>
          <w:color w:val="000000"/>
          <w:sz w:val="32"/>
          <w:szCs w:val="32"/>
          <w:highlight w:val="none"/>
          <w:lang w:val="en-US" w:eastAsia="zh-CN"/>
        </w:rPr>
        <w:t>1.07</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bookmarkStart w:id="89" w:name="_Toc22318_WPSOffice_Level2"/>
      <w:bookmarkStart w:id="90" w:name="_Toc15415_WPSOffice_Level2"/>
      <w:bookmarkStart w:id="91" w:name="_Toc29364_WPSOffice_Level2"/>
      <w:bookmarkStart w:id="92" w:name="_Toc9502_WPSOffice_Level2"/>
      <w:bookmarkStart w:id="93" w:name="_Toc21701_WPSOffice_Level2"/>
      <w:bookmarkStart w:id="94" w:name="_Toc25136_WPSOffice_Level2"/>
      <w:r>
        <w:rPr>
          <w:rFonts w:hint="eastAsia" w:ascii="楷体" w:hAnsi="楷体" w:eastAsia="楷体" w:cs="楷体"/>
          <w:color w:val="000000"/>
          <w:sz w:val="32"/>
          <w:szCs w:val="32"/>
          <w:highlight w:val="none"/>
        </w:rPr>
        <w:t>（三）一般公共预算财政拨款支出决算具体情况。</w:t>
      </w:r>
      <w:bookmarkEnd w:id="89"/>
      <w:bookmarkEnd w:id="90"/>
      <w:bookmarkEnd w:id="91"/>
      <w:bookmarkEnd w:id="92"/>
      <w:bookmarkEnd w:id="93"/>
      <w:bookmarkEnd w:id="94"/>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2022年度一般公共预算财政拨款支出年初预算为14966.6万元，支出决算为3519.28万元，完成年初预算的</w:t>
      </w:r>
      <w:r>
        <w:rPr>
          <w:rFonts w:hint="eastAsia" w:ascii="仿宋_GB2312" w:hAnsi="ˎ̥" w:eastAsia="仿宋_GB2312"/>
          <w:color w:val="000000"/>
          <w:sz w:val="32"/>
          <w:szCs w:val="32"/>
          <w:highlight w:val="none"/>
          <w:lang w:val="en-US" w:eastAsia="zh-CN"/>
        </w:rPr>
        <w:t>23.51</w:t>
      </w:r>
      <w:r>
        <w:rPr>
          <w:rFonts w:hint="eastAsia" w:ascii="仿宋_GB2312" w:hAnsi="ˎ̥" w:eastAsia="仿宋_GB2312"/>
          <w:color w:val="000000"/>
          <w:sz w:val="32"/>
          <w:szCs w:val="32"/>
          <w:highlight w:val="none"/>
        </w:rPr>
        <w:t>%。其中：</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1.一般公共服务（类）财政事务（款）行政运行（项）。</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年初预算为246.81万元，支出决算为303.61万元，完成年初预算的123%。决算数大于预算数的主要原因：行政运行费用增加。</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2.一般公共服务（类）财政事务（款）预算改革业务（项）。</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年初预算为2万元，支出决算为2万元，完成年初预算的100%。决算数等于预算数。</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3.一般公共服务（类）财政事务（款）财政委托业务支出（项）。</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年初预算为35万元，支出决算为5万元，完成年初预算的14.28%。决算数小于预算数的主要原因是财政委托业务支出减少。</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4.一般公共服务（类）财政事务（款）事业运行（项）。</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年初预算为0万元，支出决算为57.43万元，完成年初预算的574300%。决算数大于预算数的主要原因是事业运行增加。</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5.一般公共服务（类）财政事务（款）其他财政事务支出（项）。</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年初预算为333.23万元，支出决算为214.91万元，完成年初预算的64.49%。决算数小于预算数的主要原因是压减了机关公用经费和行政管理支出。</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6.社会保障和就业支出（类）行政事业单位离退休（款）机关事业单位基本养老保险缴费（项）。</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年初预算为32.2万元，支出决算为43.78万元，完成年初预算的136%。决算数大于预算数的主要原因是按实际执行。</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7.社会保障和就业支出（类）行政事业单位离退休（款）机关事业单位职业年金缴费（项）。</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年初预算为6.97万元，支出决算为11.67万元，完成年初预算的167%。决算数大于预算数的主要原因是按实际执行。</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8.社会保障和就业支出（类）抚恤（款）其他优抚支出（项）。</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年初预算为3.88万元，支出决算为</w:t>
      </w:r>
      <w:r>
        <w:rPr>
          <w:rFonts w:hint="default" w:ascii="仿宋_GB2312" w:hAnsi="ˎ̥" w:eastAsia="仿宋_GB2312"/>
          <w:sz w:val="32"/>
          <w:szCs w:val="32"/>
          <w:lang w:val="en-US" w:eastAsia="zh-CN"/>
        </w:rPr>
        <w:t>3.78</w:t>
      </w:r>
      <w:r>
        <w:rPr>
          <w:rFonts w:hint="eastAsia" w:ascii="仿宋_GB2312" w:hAnsi="ˎ̥" w:eastAsia="仿宋_GB2312"/>
          <w:sz w:val="32"/>
          <w:szCs w:val="32"/>
          <w:lang w:val="en-US" w:eastAsia="zh-CN"/>
        </w:rPr>
        <w:t>万元，完成年初预算的9.74%。决算数小于预算数的主要原因是按实际执行。</w:t>
      </w:r>
    </w:p>
    <w:p>
      <w:pPr>
        <w:ind w:firstLine="640" w:firstLineChars="200"/>
        <w:rPr>
          <w:rFonts w:hint="eastAsia" w:ascii="仿宋_GB2312" w:hAnsi="ˎ̥" w:eastAsia="仿宋_GB2312"/>
          <w:sz w:val="32"/>
          <w:szCs w:val="32"/>
          <w:lang w:val="en-US" w:eastAsia="zh-CN"/>
        </w:rPr>
      </w:pPr>
      <w:r>
        <w:rPr>
          <w:rFonts w:hint="default" w:ascii="仿宋_GB2312" w:hAnsi="ˎ̥" w:eastAsia="仿宋_GB2312"/>
          <w:sz w:val="32"/>
          <w:szCs w:val="32"/>
          <w:lang w:val="en-US" w:eastAsia="zh-CN"/>
        </w:rPr>
        <w:t>9</w:t>
      </w:r>
      <w:r>
        <w:rPr>
          <w:rFonts w:hint="eastAsia" w:ascii="仿宋_GB2312" w:hAnsi="ˎ̥" w:eastAsia="仿宋_GB2312"/>
          <w:sz w:val="32"/>
          <w:szCs w:val="32"/>
          <w:lang w:val="en-US" w:eastAsia="zh-CN"/>
        </w:rPr>
        <w:t>.卫生健康支出（类）行政事业单位医疗（款）行政单位医疗（项）。</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年初预算为17.11万元，支出决算为16.49万元，完成年初预算的0.96%。决算数小于预算数的主要原因是按实际执行。</w:t>
      </w:r>
    </w:p>
    <w:p>
      <w:pPr>
        <w:ind w:firstLine="640" w:firstLineChars="200"/>
        <w:rPr>
          <w:rFonts w:hint="eastAsia" w:ascii="仿宋_GB2312" w:hAnsi="ˎ̥" w:eastAsia="仿宋_GB2312"/>
          <w:sz w:val="32"/>
          <w:szCs w:val="32"/>
          <w:lang w:val="en-US" w:eastAsia="zh-CN"/>
        </w:rPr>
      </w:pPr>
      <w:r>
        <w:rPr>
          <w:rFonts w:hint="default" w:ascii="仿宋_GB2312" w:hAnsi="ˎ̥" w:eastAsia="仿宋_GB2312"/>
          <w:sz w:val="32"/>
          <w:szCs w:val="32"/>
          <w:lang w:val="en-US" w:eastAsia="zh-CN"/>
        </w:rPr>
        <w:t>10</w:t>
      </w:r>
      <w:r>
        <w:rPr>
          <w:rFonts w:hint="eastAsia" w:ascii="仿宋_GB2312" w:hAnsi="ˎ̥" w:eastAsia="仿宋_GB2312"/>
          <w:sz w:val="32"/>
          <w:szCs w:val="32"/>
          <w:lang w:val="en-US" w:eastAsia="zh-CN"/>
        </w:rPr>
        <w:t>.卫生健康支出（类）行政事业单位医疗（款）事业单位医疗（项）。</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年初预算为0万元，支出决算为3.37万元，完成年初预算的337%。决算数大于预算数的主要原因：按实际执行。</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1</w:t>
      </w:r>
      <w:r>
        <w:rPr>
          <w:rFonts w:hint="default" w:ascii="仿宋_GB2312" w:hAnsi="ˎ̥" w:eastAsia="仿宋_GB2312"/>
          <w:sz w:val="32"/>
          <w:szCs w:val="32"/>
          <w:lang w:val="en-US" w:eastAsia="zh-CN"/>
        </w:rPr>
        <w:t>1</w:t>
      </w:r>
      <w:r>
        <w:rPr>
          <w:rFonts w:hint="eastAsia" w:ascii="仿宋_GB2312" w:hAnsi="ˎ̥" w:eastAsia="仿宋_GB2312"/>
          <w:sz w:val="32"/>
          <w:szCs w:val="32"/>
          <w:lang w:val="en-US" w:eastAsia="zh-CN"/>
        </w:rPr>
        <w:t>.卫生健康支出（类）行政事业单位医疗（款）公务员医疗补助（项）。</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年初预算为39万元，支出决算为</w:t>
      </w:r>
      <w:r>
        <w:rPr>
          <w:rFonts w:hint="default" w:ascii="仿宋_GB2312" w:hAnsi="ˎ̥" w:eastAsia="仿宋_GB2312"/>
          <w:sz w:val="32"/>
          <w:szCs w:val="32"/>
          <w:lang w:val="en-US" w:eastAsia="zh-CN"/>
        </w:rPr>
        <w:t>49.88</w:t>
      </w:r>
      <w:r>
        <w:rPr>
          <w:rFonts w:hint="eastAsia" w:ascii="仿宋_GB2312" w:hAnsi="ˎ̥" w:eastAsia="仿宋_GB2312"/>
          <w:sz w:val="32"/>
          <w:szCs w:val="32"/>
          <w:lang w:val="en-US" w:eastAsia="zh-CN"/>
        </w:rPr>
        <w:t>万元，完成年初预算的127%。决算数大于预算数的主要原因是按实际执行。</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12.农林水支出（类）普惠金融发展支出（款）公其他普惠金融发展支出（项）。</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年初预算为449.31万元，支出决算为</w:t>
      </w:r>
      <w:r>
        <w:rPr>
          <w:rFonts w:hint="default" w:ascii="仿宋_GB2312" w:hAnsi="ˎ̥" w:eastAsia="仿宋_GB2312"/>
          <w:sz w:val="32"/>
          <w:szCs w:val="32"/>
          <w:lang w:val="en-US" w:eastAsia="zh-CN"/>
        </w:rPr>
        <w:t>2769.6</w:t>
      </w:r>
      <w:r>
        <w:rPr>
          <w:rFonts w:hint="eastAsia" w:ascii="仿宋_GB2312" w:hAnsi="ˎ̥" w:eastAsia="仿宋_GB2312"/>
          <w:sz w:val="32"/>
          <w:szCs w:val="32"/>
          <w:lang w:val="en-US" w:eastAsia="zh-CN"/>
        </w:rPr>
        <w:t>万元，完成年初预算的616%。决算数大于预算数的主要原因是按实际执行。</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13.住房保障支出（类）住房改革支出（款）住房公积金（项）。</w:t>
      </w:r>
    </w:p>
    <w:p>
      <w:pPr>
        <w:ind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lang w:val="en-US" w:eastAsia="zh-CN"/>
        </w:rPr>
        <w:t>年初预算为27.08万元，支出决算为</w:t>
      </w:r>
      <w:r>
        <w:rPr>
          <w:rFonts w:hint="default" w:ascii="仿宋_GB2312" w:hAnsi="ˎ̥" w:eastAsia="仿宋_GB2312"/>
          <w:sz w:val="32"/>
          <w:szCs w:val="32"/>
          <w:lang w:val="en-US" w:eastAsia="zh-CN"/>
        </w:rPr>
        <w:t>37.75</w:t>
      </w:r>
      <w:r>
        <w:rPr>
          <w:rFonts w:hint="eastAsia" w:ascii="仿宋_GB2312" w:hAnsi="ˎ̥" w:eastAsia="仿宋_GB2312"/>
          <w:sz w:val="32"/>
          <w:szCs w:val="32"/>
          <w:lang w:val="en-US" w:eastAsia="zh-CN"/>
        </w:rPr>
        <w:t>万元，完成年初预算的139%。决算数大于预算数的主要原因是按实际执行。</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color w:val="000000"/>
          <w:sz w:val="32"/>
          <w:szCs w:val="32"/>
          <w:highlight w:val="none"/>
        </w:rPr>
      </w:pPr>
      <w:r>
        <w:rPr>
          <w:rFonts w:hint="eastAsia" w:ascii="黑体" w:hAnsi="黑体" w:eastAsia="黑体" w:cs="黑体"/>
          <w:bCs/>
          <w:color w:val="000000"/>
          <w:sz w:val="32"/>
          <w:szCs w:val="32"/>
          <w:highlight w:val="none"/>
        </w:rPr>
        <w:t>六、一般公共预算财政拨款基本支出决算情况说明</w:t>
      </w:r>
    </w:p>
    <w:p>
      <w:pPr>
        <w:keepNext w:val="0"/>
        <w:keepLines w:val="0"/>
        <w:pageBreakBefore w:val="0"/>
        <w:tabs>
          <w:tab w:val="center" w:pos="4473"/>
        </w:tabs>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2022年度财政拨款基本支出</w:t>
      </w:r>
      <w:r>
        <w:rPr>
          <w:rFonts w:hint="eastAsia" w:ascii="仿宋_GB2312" w:hAnsi="ˎ̥" w:eastAsia="仿宋_GB2312"/>
          <w:color w:val="000000"/>
          <w:sz w:val="32"/>
          <w:szCs w:val="32"/>
          <w:highlight w:val="none"/>
          <w:lang w:val="en-US" w:eastAsia="zh-CN"/>
        </w:rPr>
        <w:t>527.69</w:t>
      </w:r>
      <w:r>
        <w:rPr>
          <w:rFonts w:hint="eastAsia" w:ascii="仿宋_GB2312" w:hAnsi="ˎ̥" w:eastAsia="仿宋_GB2312"/>
          <w:color w:val="000000"/>
          <w:sz w:val="32"/>
          <w:szCs w:val="32"/>
          <w:highlight w:val="none"/>
        </w:rPr>
        <w:t>万元，其中：人员经费489.28万元，主要包括：</w:t>
      </w:r>
      <w:r>
        <w:rPr>
          <w:rFonts w:hint="eastAsia" w:ascii="仿宋_GB2312" w:hAnsi="ˎ̥" w:eastAsia="仿宋_GB2312"/>
          <w:sz w:val="32"/>
          <w:szCs w:val="32"/>
          <w:lang w:eastAsia="zh-CN"/>
        </w:rPr>
        <w:t>工资福利支出中的</w:t>
      </w:r>
      <w:r>
        <w:rPr>
          <w:rFonts w:hint="eastAsia" w:ascii="仿宋_GB2312" w:hAnsi="ˎ̥" w:eastAsia="仿宋_GB2312"/>
          <w:sz w:val="32"/>
          <w:szCs w:val="32"/>
        </w:rPr>
        <w:t>基本工资、津贴补贴、奖金、伙食补助费、绩效工资、</w:t>
      </w:r>
      <w:r>
        <w:rPr>
          <w:rFonts w:hint="eastAsia" w:ascii="仿宋_GB2312" w:hAnsi="ˎ̥" w:eastAsia="仿宋_GB2312"/>
          <w:sz w:val="32"/>
          <w:szCs w:val="32"/>
          <w:lang w:eastAsia="zh-CN"/>
        </w:rPr>
        <w:t>机关事业单位基本养老保险缴费、职业年金缴费、职工基本医疗保险缴费、公务员医疗补助缴费、其他社会保障缴费、住房公积金、医疗费、</w:t>
      </w:r>
      <w:r>
        <w:rPr>
          <w:rFonts w:hint="eastAsia" w:ascii="仿宋_GB2312" w:hAnsi="ˎ̥" w:eastAsia="仿宋_GB2312"/>
          <w:sz w:val="32"/>
          <w:szCs w:val="32"/>
        </w:rPr>
        <w:t>其他工资福利支出</w:t>
      </w:r>
      <w:r>
        <w:rPr>
          <w:rFonts w:hint="eastAsia" w:ascii="仿宋_GB2312" w:hAnsi="ˎ̥" w:eastAsia="仿宋_GB2312"/>
          <w:sz w:val="32"/>
          <w:szCs w:val="32"/>
          <w:lang w:eastAsia="zh-CN"/>
        </w:rPr>
        <w:t>；对个人和家庭的补助中的</w:t>
      </w:r>
      <w:r>
        <w:rPr>
          <w:rFonts w:hint="eastAsia" w:ascii="仿宋_GB2312" w:hAnsi="ˎ̥" w:eastAsia="仿宋_GB2312"/>
          <w:sz w:val="32"/>
          <w:szCs w:val="32"/>
        </w:rPr>
        <w:t>离休费、退休费、退职（役）费、抚恤金、生活补助、救济费、医疗费</w:t>
      </w:r>
      <w:r>
        <w:rPr>
          <w:rFonts w:hint="eastAsia" w:ascii="仿宋_GB2312" w:hAnsi="ˎ̥" w:eastAsia="仿宋_GB2312"/>
          <w:sz w:val="32"/>
          <w:szCs w:val="32"/>
          <w:lang w:eastAsia="zh-CN"/>
        </w:rPr>
        <w:t>补助</w:t>
      </w:r>
      <w:r>
        <w:rPr>
          <w:rFonts w:hint="eastAsia" w:ascii="仿宋_GB2312" w:hAnsi="ˎ̥" w:eastAsia="仿宋_GB2312"/>
          <w:sz w:val="32"/>
          <w:szCs w:val="32"/>
        </w:rPr>
        <w:t>、助学金、奖励金、</w:t>
      </w:r>
      <w:r>
        <w:rPr>
          <w:rFonts w:hint="eastAsia" w:ascii="仿宋_GB2312" w:hAnsi="ˎ̥" w:eastAsia="仿宋_GB2312"/>
          <w:sz w:val="32"/>
          <w:szCs w:val="32"/>
          <w:lang w:eastAsia="zh-CN"/>
        </w:rPr>
        <w:t>个人农业</w:t>
      </w:r>
      <w:r>
        <w:rPr>
          <w:rFonts w:hint="eastAsia" w:ascii="仿宋_GB2312" w:hAnsi="ˎ̥" w:eastAsia="仿宋_GB2312"/>
          <w:sz w:val="32"/>
          <w:szCs w:val="32"/>
        </w:rPr>
        <w:t>生产补贴、</w:t>
      </w:r>
      <w:r>
        <w:rPr>
          <w:rFonts w:hint="eastAsia" w:ascii="仿宋_GB2312" w:hAnsi="ˎ̥" w:eastAsia="仿宋_GB2312"/>
          <w:sz w:val="32"/>
          <w:szCs w:val="32"/>
          <w:lang w:eastAsia="zh-CN"/>
        </w:rPr>
        <w:t>代缴社会保险费、</w:t>
      </w:r>
      <w:r>
        <w:rPr>
          <w:rFonts w:hint="eastAsia" w:ascii="仿宋_GB2312" w:hAnsi="ˎ̥" w:eastAsia="仿宋_GB2312"/>
          <w:sz w:val="32"/>
          <w:szCs w:val="32"/>
        </w:rPr>
        <w:t>其他对个人和家庭的补助。</w:t>
      </w:r>
      <w:r>
        <w:rPr>
          <w:rFonts w:hint="eastAsia" w:ascii="仿宋_GB2312" w:hAnsi="ˎ̥" w:eastAsia="仿宋_GB2312"/>
          <w:color w:val="000000"/>
          <w:sz w:val="32"/>
          <w:szCs w:val="32"/>
          <w:highlight w:val="none"/>
        </w:rPr>
        <w:t>公用经费38.41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构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国家赔偿费用支出、对民间非营利组织和群众性自治组织补贴</w:t>
      </w:r>
      <w:r>
        <w:rPr>
          <w:rFonts w:hint="eastAsia" w:ascii="仿宋_GB2312" w:hAnsi="ˎ̥" w:eastAsia="仿宋_GB2312"/>
          <w:color w:val="000000"/>
          <w:sz w:val="32"/>
          <w:szCs w:val="32"/>
          <w:highlight w:val="none"/>
          <w:lang w:eastAsia="zh-CN"/>
        </w:rPr>
        <w:t>、经常性</w:t>
      </w:r>
      <w:r>
        <w:rPr>
          <w:rFonts w:hint="eastAsia" w:ascii="仿宋_GB2312" w:hAnsi="ˎ̥" w:eastAsia="仿宋_GB2312"/>
          <w:color w:val="000000"/>
          <w:sz w:val="32"/>
          <w:szCs w:val="32"/>
          <w:highlight w:val="none"/>
        </w:rPr>
        <w:t>赠予、</w:t>
      </w:r>
      <w:r>
        <w:rPr>
          <w:rFonts w:hint="eastAsia" w:ascii="仿宋_GB2312" w:hAnsi="ˎ̥" w:eastAsia="仿宋_GB2312"/>
          <w:color w:val="000000"/>
          <w:sz w:val="32"/>
          <w:szCs w:val="32"/>
          <w:highlight w:val="none"/>
          <w:lang w:eastAsia="zh-CN"/>
        </w:rPr>
        <w:t>资本性赠予</w:t>
      </w:r>
      <w:r>
        <w:rPr>
          <w:rFonts w:hint="eastAsia" w:ascii="仿宋_GB2312" w:hAnsi="ˎ̥" w:eastAsia="仿宋_GB2312"/>
          <w:color w:val="000000"/>
          <w:sz w:val="32"/>
          <w:szCs w:val="32"/>
          <w:highlight w:val="none"/>
        </w:rPr>
        <w:t>和其他支出。</w:t>
      </w:r>
    </w:p>
    <w:p>
      <w:pPr>
        <w:keepNext w:val="0"/>
        <w:keepLines w:val="0"/>
        <w:pageBreakBefore w:val="0"/>
        <w:tabs>
          <w:tab w:val="center" w:pos="4473"/>
        </w:tabs>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七、政府性基金预算财政拨款支出决算情况说明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（一）政府性基金预算财政拨款支出决算总体情况。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2022年度政府性基金预算财政拨款支出</w:t>
      </w:r>
      <w:r>
        <w:rPr>
          <w:rFonts w:hint="eastAsia" w:ascii="仿宋_GB2312" w:hAnsi="ˎ̥" w:eastAsia="仿宋_GB2312"/>
          <w:color w:val="000000"/>
          <w:sz w:val="32"/>
          <w:szCs w:val="32"/>
          <w:highlight w:val="none"/>
          <w:lang w:val="en-US" w:eastAsia="zh-CN"/>
        </w:rPr>
        <w:t>1297.45</w:t>
      </w:r>
      <w:r>
        <w:rPr>
          <w:rFonts w:hint="eastAsia" w:ascii="仿宋_GB2312" w:hAnsi="ˎ̥" w:eastAsia="仿宋_GB2312"/>
          <w:color w:val="000000"/>
          <w:sz w:val="32"/>
          <w:szCs w:val="32"/>
          <w:highlight w:val="none"/>
        </w:rPr>
        <w:t>万元，占本年支出合计的</w:t>
      </w:r>
      <w:r>
        <w:rPr>
          <w:rFonts w:hint="eastAsia" w:ascii="仿宋_GB2312" w:hAnsi="ˎ̥" w:eastAsia="仿宋_GB2312"/>
          <w:color w:val="000000"/>
          <w:sz w:val="32"/>
          <w:szCs w:val="32"/>
          <w:highlight w:val="none"/>
          <w:lang w:val="en-US" w:eastAsia="zh-CN"/>
        </w:rPr>
        <w:t>26.76</w:t>
      </w:r>
      <w:r>
        <w:rPr>
          <w:rFonts w:hint="eastAsia" w:ascii="仿宋_GB2312" w:hAnsi="ˎ̥" w:eastAsia="仿宋_GB2312"/>
          <w:color w:val="000000"/>
          <w:sz w:val="32"/>
          <w:szCs w:val="32"/>
          <w:highlight w:val="none"/>
        </w:rPr>
        <w:t>%。与2021年度相比，政府性基金预算财政拨款支出增加</w:t>
      </w:r>
      <w:r>
        <w:rPr>
          <w:rFonts w:hint="eastAsia" w:ascii="仿宋_GB2312" w:hAnsi="ˎ̥" w:eastAsia="仿宋_GB2312"/>
          <w:color w:val="000000"/>
          <w:sz w:val="32"/>
          <w:szCs w:val="32"/>
          <w:highlight w:val="none"/>
          <w:lang w:val="en-US" w:eastAsia="zh-CN"/>
        </w:rPr>
        <w:t>595.86</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84.93</w:t>
      </w:r>
      <w:r>
        <w:rPr>
          <w:rFonts w:hint="eastAsia" w:ascii="仿宋_GB2312" w:hAnsi="ˎ̥" w:eastAsia="仿宋_GB2312"/>
          <w:color w:val="000000"/>
          <w:sz w:val="32"/>
          <w:szCs w:val="32"/>
          <w:highlight w:val="none"/>
        </w:rPr>
        <w:t>%，主要原因是</w:t>
      </w:r>
      <w:r>
        <w:rPr>
          <w:rFonts w:hint="eastAsia" w:ascii="仿宋_GB2312" w:hAnsi="ˎ̥" w:eastAsia="仿宋_GB2312"/>
          <w:sz w:val="32"/>
          <w:szCs w:val="32"/>
          <w:lang w:val="en-US" w:eastAsia="zh-CN"/>
        </w:rPr>
        <w:t>城乡社区支出增加</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（二）政府性基金预算财政拨款支出决算结构情况。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2022年度政府性基金预算财政拨款支出</w:t>
      </w:r>
      <w:r>
        <w:rPr>
          <w:rFonts w:hint="eastAsia" w:ascii="仿宋_GB2312" w:hAnsi="ˎ̥" w:eastAsia="仿宋_GB2312"/>
          <w:color w:val="000000"/>
          <w:sz w:val="32"/>
          <w:szCs w:val="32"/>
          <w:highlight w:val="none"/>
          <w:lang w:val="en-US" w:eastAsia="zh-CN"/>
        </w:rPr>
        <w:t>1297.45</w:t>
      </w:r>
      <w:r>
        <w:rPr>
          <w:rFonts w:hint="eastAsia" w:ascii="仿宋_GB2312" w:hAnsi="ˎ̥" w:eastAsia="仿宋_GB2312"/>
          <w:color w:val="000000"/>
          <w:sz w:val="32"/>
          <w:szCs w:val="32"/>
          <w:highlight w:val="none"/>
        </w:rPr>
        <w:t>万元，主要用于以下方面：</w:t>
      </w:r>
      <w:r>
        <w:rPr>
          <w:rFonts w:hint="eastAsia" w:ascii="仿宋_GB2312" w:hAnsi="ˎ̥" w:eastAsia="仿宋_GB2312"/>
          <w:sz w:val="32"/>
          <w:szCs w:val="32"/>
        </w:rPr>
        <w:t>城乡社区支出</w:t>
      </w:r>
      <w:r>
        <w:rPr>
          <w:rFonts w:hint="eastAsia" w:ascii="仿宋_GB2312" w:hAnsi="ˎ̥" w:eastAsia="仿宋_GB2312"/>
          <w:b/>
          <w:sz w:val="32"/>
          <w:szCs w:val="32"/>
        </w:rPr>
        <w:t>（类）</w:t>
      </w:r>
      <w:r>
        <w:rPr>
          <w:rFonts w:hint="eastAsia" w:ascii="仿宋_GB2312" w:hAnsi="ˎ̥" w:eastAsia="仿宋_GB2312"/>
          <w:sz w:val="32"/>
          <w:szCs w:val="32"/>
        </w:rPr>
        <w:t>支出</w:t>
      </w:r>
      <w:r>
        <w:rPr>
          <w:rFonts w:hint="eastAsia" w:ascii="仿宋_GB2312" w:hAnsi="ˎ̥" w:eastAsia="仿宋_GB2312"/>
          <w:color w:val="000000"/>
          <w:sz w:val="32"/>
          <w:szCs w:val="32"/>
          <w:highlight w:val="none"/>
          <w:lang w:val="en-US" w:eastAsia="zh-CN"/>
        </w:rPr>
        <w:t>1297.45</w:t>
      </w:r>
      <w:r>
        <w:rPr>
          <w:rFonts w:hint="eastAsia" w:ascii="仿宋_GB2312" w:hAnsi="ˎ̥" w:eastAsia="仿宋_GB2312"/>
          <w:sz w:val="32"/>
          <w:szCs w:val="32"/>
        </w:rPr>
        <w:t>万元</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（三）政府性基金预算财政拨款支出决算具体情况。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2022年度政府性基金预算财政拨款支出年初预算为21463</w:t>
      </w:r>
      <w:r>
        <w:rPr>
          <w:rFonts w:hint="eastAsia" w:ascii="仿宋_GB2312" w:hAnsi="ˎ̥" w:eastAsia="仿宋_GB2312"/>
          <w:color w:val="000000"/>
          <w:sz w:val="32"/>
          <w:szCs w:val="32"/>
          <w:highlight w:val="none"/>
          <w:lang w:val="en-US" w:eastAsia="zh-CN"/>
        </w:rPr>
        <w:t>.</w:t>
      </w:r>
      <w:r>
        <w:rPr>
          <w:rFonts w:hint="eastAsia" w:ascii="仿宋_GB2312" w:hAnsi="ˎ̥" w:eastAsia="仿宋_GB2312"/>
          <w:color w:val="000000"/>
          <w:sz w:val="32"/>
          <w:szCs w:val="32"/>
          <w:highlight w:val="none"/>
        </w:rPr>
        <w:t>5万元，支出决算为</w:t>
      </w:r>
      <w:r>
        <w:rPr>
          <w:rFonts w:hint="eastAsia" w:ascii="仿宋_GB2312" w:hAnsi="ˎ̥" w:eastAsia="仿宋_GB2312"/>
          <w:color w:val="000000"/>
          <w:sz w:val="32"/>
          <w:szCs w:val="32"/>
          <w:highlight w:val="none"/>
          <w:lang w:val="en-US" w:eastAsia="zh-CN"/>
        </w:rPr>
        <w:t>1297.45</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6.04</w:t>
      </w:r>
      <w:r>
        <w:rPr>
          <w:rFonts w:hint="eastAsia" w:ascii="仿宋_GB2312" w:hAnsi="ˎ̥" w:eastAsia="仿宋_GB2312"/>
          <w:color w:val="000000"/>
          <w:sz w:val="32"/>
          <w:szCs w:val="32"/>
          <w:highlight w:val="none"/>
        </w:rPr>
        <w:t>%。其中：</w:t>
      </w:r>
    </w:p>
    <w:p>
      <w:pPr>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1.</w:t>
      </w:r>
      <w:r>
        <w:rPr>
          <w:rFonts w:hint="eastAsia" w:ascii="仿宋_GB2312" w:hAnsi="ˎ̥" w:eastAsia="仿宋_GB2312"/>
          <w:sz w:val="32"/>
          <w:szCs w:val="32"/>
        </w:rPr>
        <w:t>城乡社区支出</w:t>
      </w:r>
      <w:r>
        <w:rPr>
          <w:rFonts w:hint="eastAsia" w:ascii="仿宋_GB2312" w:hAnsi="ˎ̥" w:eastAsia="仿宋_GB2312"/>
          <w:b/>
          <w:sz w:val="32"/>
          <w:szCs w:val="32"/>
        </w:rPr>
        <w:t>（类）</w:t>
      </w:r>
      <w:r>
        <w:rPr>
          <w:rFonts w:hint="eastAsia" w:ascii="仿宋_GB2312" w:hAnsi="ˎ̥" w:eastAsia="仿宋_GB2312"/>
          <w:sz w:val="32"/>
          <w:szCs w:val="32"/>
        </w:rPr>
        <w:t>国有土地使用权出让收入安排的支出</w:t>
      </w:r>
      <w:r>
        <w:rPr>
          <w:rFonts w:hint="eastAsia" w:ascii="仿宋_GB2312" w:hAnsi="ˎ̥" w:eastAsia="仿宋_GB2312"/>
          <w:b/>
          <w:sz w:val="32"/>
          <w:szCs w:val="32"/>
        </w:rPr>
        <w:t>（款）</w:t>
      </w:r>
      <w:r>
        <w:rPr>
          <w:rFonts w:hint="eastAsia" w:ascii="仿宋_GB2312" w:hAnsi="ˎ̥" w:eastAsia="仿宋_GB2312"/>
          <w:sz w:val="32"/>
          <w:szCs w:val="32"/>
        </w:rPr>
        <w:t>其他国有土地使用权出让收入安排的支出</w:t>
      </w:r>
      <w:r>
        <w:rPr>
          <w:rFonts w:hint="eastAsia" w:ascii="仿宋_GB2312" w:hAnsi="ˎ̥" w:eastAsia="仿宋_GB2312"/>
          <w:b/>
          <w:sz w:val="32"/>
          <w:szCs w:val="32"/>
        </w:rPr>
        <w:t>（项）。</w:t>
      </w:r>
    </w:p>
    <w:p>
      <w:pPr>
        <w:tabs>
          <w:tab w:val="center" w:pos="4473"/>
        </w:tabs>
        <w:ind w:firstLine="640" w:firstLineChars="200"/>
        <w:rPr>
          <w:rFonts w:hint="eastAsia" w:ascii="仿宋_GB2312" w:hAnsi="ˎ̥" w:eastAsia="仿宋_GB2312" w:cs="Times New Roman"/>
          <w:bCs w:val="0"/>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color w:val="000000"/>
          <w:sz w:val="32"/>
          <w:szCs w:val="32"/>
          <w:highlight w:val="none"/>
        </w:rPr>
        <w:t>21463</w:t>
      </w:r>
      <w:r>
        <w:rPr>
          <w:rFonts w:hint="eastAsia" w:ascii="仿宋_GB2312" w:hAnsi="ˎ̥" w:eastAsia="仿宋_GB2312"/>
          <w:color w:val="000000"/>
          <w:sz w:val="32"/>
          <w:szCs w:val="32"/>
          <w:highlight w:val="none"/>
          <w:lang w:val="en-US" w:eastAsia="zh-CN"/>
        </w:rPr>
        <w:t>.</w:t>
      </w:r>
      <w:r>
        <w:rPr>
          <w:rFonts w:hint="eastAsia" w:ascii="仿宋_GB2312" w:hAnsi="ˎ̥" w:eastAsia="仿宋_GB2312"/>
          <w:color w:val="000000"/>
          <w:sz w:val="32"/>
          <w:szCs w:val="32"/>
          <w:highlight w:val="none"/>
        </w:rPr>
        <w:t>5</w:t>
      </w:r>
      <w:r>
        <w:rPr>
          <w:rFonts w:hint="eastAsia" w:ascii="仿宋_GB2312" w:hAnsi="ˎ̥" w:eastAsia="仿宋_GB2312"/>
          <w:sz w:val="32"/>
          <w:szCs w:val="32"/>
        </w:rPr>
        <w:t>万元，支出决算为</w:t>
      </w:r>
      <w:r>
        <w:rPr>
          <w:rFonts w:hint="eastAsia" w:ascii="仿宋_GB2312" w:hAnsi="ˎ̥" w:eastAsia="仿宋_GB2312"/>
          <w:color w:val="000000"/>
          <w:sz w:val="32"/>
          <w:szCs w:val="32"/>
          <w:highlight w:val="none"/>
          <w:lang w:val="en-US" w:eastAsia="zh-CN"/>
        </w:rPr>
        <w:t>1297.45</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6.04</w:t>
      </w:r>
      <w:r>
        <w:rPr>
          <w:rFonts w:hint="eastAsia" w:ascii="仿宋_GB2312" w:hAnsi="ˎ̥" w:eastAsia="仿宋_GB2312"/>
          <w:sz w:val="32"/>
          <w:szCs w:val="32"/>
        </w:rPr>
        <w:t>%。</w:t>
      </w:r>
    </w:p>
    <w:p>
      <w:pPr>
        <w:keepNext w:val="0"/>
        <w:keepLines w:val="0"/>
        <w:pageBreakBefore w:val="0"/>
        <w:tabs>
          <w:tab w:val="center" w:pos="4473"/>
        </w:tabs>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八、国有资本经营预算财政拨款支出决算情况说明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（一）国有资本经营预算财政拨款支出决算总体情况。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仿宋_GB2312" w:hAnsi="ˎ̥" w:eastAsia="仿宋_GB2312"/>
          <w:color w:val="000000"/>
          <w:sz w:val="32"/>
          <w:szCs w:val="32"/>
          <w:highlight w:val="none"/>
        </w:rPr>
        <w:t>2022年度国有资本经营预算财政拨款支出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万元，占本年支出合计的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r>
        <w:rPr>
          <w:rFonts w:hint="eastAsia" w:ascii="楷体" w:hAnsi="楷体" w:eastAsia="楷体" w:cs="楷体"/>
          <w:color w:val="000000"/>
          <w:sz w:val="32"/>
          <w:szCs w:val="32"/>
          <w:highlight w:val="none"/>
        </w:rPr>
        <w:t>（二）国有资本经营预算财政拨款支出决算结构情况。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2022年度国有资本经营预算财政拨款支出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（三）国有资本经营预算财政拨款支出决算具体情况。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2022年度国有资本经营预算财政拨款支出年初预算为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ˎ̥" w:eastAsia="楷体_GB2312"/>
          <w:color w:val="000000"/>
          <w:sz w:val="32"/>
          <w:szCs w:val="32"/>
          <w:highlight w:val="none"/>
        </w:rPr>
      </w:pPr>
      <w:r>
        <w:rPr>
          <w:rFonts w:hint="eastAsia" w:ascii="黑体" w:hAnsi="黑体" w:eastAsia="黑体" w:cs="黑体"/>
          <w:bCs/>
          <w:color w:val="000000"/>
          <w:sz w:val="32"/>
          <w:szCs w:val="32"/>
          <w:highlight w:val="none"/>
        </w:rPr>
        <w:t>九、财政拨款“三公”经费支出决算情况说明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r>
        <w:rPr>
          <w:rFonts w:hint="eastAsia" w:ascii="楷体" w:hAnsi="楷体" w:eastAsia="楷体" w:cs="楷体"/>
          <w:bCs/>
          <w:color w:val="000000"/>
          <w:sz w:val="32"/>
          <w:szCs w:val="32"/>
          <w:highlight w:val="none"/>
        </w:rPr>
        <w:t>（一）财政拨款“三公”经费支出决算总体情况说明。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 xml:space="preserve">    2022年度财政拨款“三公”经费支出预算为4.62万元，支出决算为4.08万元，完成预算的</w:t>
      </w:r>
      <w:r>
        <w:rPr>
          <w:rFonts w:hint="eastAsia" w:ascii="仿宋_GB2312" w:hAnsi="ˎ̥" w:eastAsia="仿宋_GB2312"/>
          <w:color w:val="000000"/>
          <w:sz w:val="32"/>
          <w:szCs w:val="32"/>
          <w:highlight w:val="none"/>
          <w:lang w:val="en-US" w:eastAsia="zh-CN"/>
        </w:rPr>
        <w:t>88.31</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sz w:val="32"/>
          <w:szCs w:val="32"/>
          <w:highlight w:val="none"/>
        </w:rPr>
      </w:pPr>
      <w:r>
        <w:rPr>
          <w:rFonts w:hint="eastAsia" w:ascii="楷体" w:hAnsi="楷体" w:eastAsia="楷体" w:cs="楷体"/>
          <w:b/>
          <w:bCs/>
          <w:color w:val="000000"/>
          <w:sz w:val="32"/>
          <w:szCs w:val="32"/>
          <w:highlight w:val="none"/>
        </w:rPr>
        <w:t xml:space="preserve">   </w:t>
      </w:r>
      <w:r>
        <w:rPr>
          <w:rFonts w:hint="eastAsia" w:ascii="楷体" w:hAnsi="楷体" w:eastAsia="楷体" w:cs="楷体"/>
          <w:color w:val="000000"/>
          <w:sz w:val="32"/>
          <w:szCs w:val="32"/>
          <w:highlight w:val="none"/>
        </w:rPr>
        <w:t xml:space="preserve"> （二）财政拨款“三公”经费支出决算具体情况说明。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2022年度财政拨款“三公”经费支出决算中，因公出国（境）费支出决算</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%；公务用车购置及运行维护费支出决算</w:t>
      </w:r>
      <w:r>
        <w:rPr>
          <w:rFonts w:hint="eastAsia" w:ascii="仿宋_GB2312" w:hAnsi="ˎ̥" w:eastAsia="仿宋_GB2312"/>
          <w:color w:val="000000"/>
          <w:sz w:val="32"/>
          <w:szCs w:val="32"/>
          <w:highlight w:val="none"/>
          <w:lang w:val="en-US" w:eastAsia="zh-CN"/>
        </w:rPr>
        <w:t>4.08</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%；公务接待费支出决算</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%。具体情况如下：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1.因公出国（境）费</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万元。全年安排因公出国（境）团组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个，因公出国（境）</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人次。</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 xml:space="preserve">    2.公务用车购置及运行维护费支出</w:t>
      </w:r>
      <w:r>
        <w:rPr>
          <w:rFonts w:hint="eastAsia" w:ascii="仿宋_GB2312" w:hAnsi="ˎ̥" w:eastAsia="仿宋_GB2312"/>
          <w:color w:val="000000"/>
          <w:sz w:val="32"/>
          <w:szCs w:val="32"/>
          <w:highlight w:val="none"/>
          <w:lang w:val="en-US" w:eastAsia="zh-CN"/>
        </w:rPr>
        <w:t>4.08</w:t>
      </w:r>
      <w:r>
        <w:rPr>
          <w:rFonts w:hint="eastAsia" w:ascii="仿宋_GB2312" w:hAnsi="ˎ̥" w:eastAsia="仿宋_GB2312"/>
          <w:color w:val="000000"/>
          <w:sz w:val="32"/>
          <w:szCs w:val="32"/>
          <w:highlight w:val="none"/>
        </w:rPr>
        <w:t>万元。其中：</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公务用车购置支出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万元，全年购置公务用车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辆，年末公务用车保有量</w:t>
      </w:r>
      <w:r>
        <w:rPr>
          <w:rFonts w:hint="eastAsia" w:ascii="仿宋_GB2312" w:hAnsi="ˎ̥" w:eastAsia="仿宋_GB2312"/>
          <w:color w:val="000000"/>
          <w:sz w:val="32"/>
          <w:szCs w:val="32"/>
          <w:highlight w:val="none"/>
          <w:lang w:val="en-US" w:eastAsia="zh-CN"/>
        </w:rPr>
        <w:t>3</w:t>
      </w:r>
      <w:r>
        <w:rPr>
          <w:rFonts w:hint="eastAsia" w:ascii="仿宋_GB2312" w:hAnsi="ˎ̥" w:eastAsia="仿宋_GB2312"/>
          <w:color w:val="000000"/>
          <w:sz w:val="32"/>
          <w:szCs w:val="32"/>
          <w:highlight w:val="none"/>
        </w:rPr>
        <w:t>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公务用车运行维护费</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4.08</w:t>
      </w:r>
      <w:r>
        <w:rPr>
          <w:rFonts w:hint="eastAsia" w:ascii="仿宋_GB2312" w:hAnsi="ˎ̥" w:eastAsia="仿宋_GB2312"/>
          <w:color w:val="000000"/>
          <w:sz w:val="32"/>
          <w:szCs w:val="32"/>
          <w:highlight w:val="none"/>
        </w:rPr>
        <w:t>万元，主要用于</w:t>
      </w:r>
      <w:r>
        <w:rPr>
          <w:rFonts w:hint="eastAsia" w:ascii="仿宋_GB2312" w:hAnsi="ˎ̥" w:eastAsia="仿宋_GB2312"/>
          <w:color w:val="000000"/>
          <w:sz w:val="32"/>
          <w:szCs w:val="32"/>
          <w:highlight w:val="none"/>
          <w:lang w:val="en-US" w:eastAsia="zh-CN"/>
        </w:rPr>
        <w:t>车辆维护保养</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bCs/>
          <w:color w:val="000000"/>
          <w:sz w:val="32"/>
          <w:szCs w:val="32"/>
          <w:highlight w:val="none"/>
        </w:rPr>
      </w:pPr>
      <w:r>
        <w:rPr>
          <w:rFonts w:hint="eastAsia" w:ascii="仿宋_GB2312" w:hAnsi="ˎ̥" w:eastAsia="仿宋_GB2312"/>
          <w:bCs/>
          <w:color w:val="000000"/>
          <w:sz w:val="32"/>
          <w:szCs w:val="32"/>
          <w:highlight w:val="none"/>
        </w:rPr>
        <w:t>公务用车购置及运行费支出决算数</w:t>
      </w:r>
      <w:r>
        <w:rPr>
          <w:rFonts w:hint="eastAsia" w:ascii="仿宋_GB2312" w:hAnsi="ˎ̥" w:eastAsia="仿宋_GB2312"/>
          <w:color w:val="000000"/>
          <w:sz w:val="32"/>
          <w:szCs w:val="32"/>
          <w:highlight w:val="none"/>
        </w:rPr>
        <w:t>比预算数减少</w:t>
      </w:r>
      <w:r>
        <w:rPr>
          <w:rFonts w:hint="eastAsia" w:ascii="仿宋_GB2312" w:hAnsi="ˎ̥" w:eastAsia="仿宋_GB2312"/>
          <w:color w:val="000000"/>
          <w:sz w:val="32"/>
          <w:szCs w:val="32"/>
          <w:highlight w:val="none"/>
          <w:lang w:val="en-US" w:eastAsia="zh-CN"/>
        </w:rPr>
        <w:t>0.54</w:t>
      </w:r>
      <w:r>
        <w:rPr>
          <w:rFonts w:hint="eastAsia" w:ascii="仿宋_GB2312" w:hAnsi="ˎ̥" w:eastAsia="仿宋_GB2312"/>
          <w:color w:val="000000"/>
          <w:sz w:val="32"/>
          <w:szCs w:val="32"/>
          <w:highlight w:val="none"/>
        </w:rPr>
        <w:t>万元，下降</w:t>
      </w:r>
      <w:r>
        <w:rPr>
          <w:rFonts w:hint="eastAsia" w:ascii="仿宋_GB2312" w:hAnsi="ˎ̥" w:eastAsia="仿宋_GB2312"/>
          <w:color w:val="000000"/>
          <w:sz w:val="32"/>
          <w:szCs w:val="32"/>
          <w:highlight w:val="none"/>
          <w:lang w:val="en-US" w:eastAsia="zh-CN"/>
        </w:rPr>
        <w:t>11.69</w:t>
      </w:r>
      <w:r>
        <w:rPr>
          <w:rFonts w:hint="eastAsia" w:ascii="仿宋_GB2312" w:hAnsi="ˎ̥" w:eastAsia="仿宋_GB2312"/>
          <w:color w:val="000000"/>
          <w:sz w:val="32"/>
          <w:szCs w:val="32"/>
          <w:highlight w:val="none"/>
        </w:rPr>
        <w:t>%。主要原因是</w:t>
      </w:r>
      <w:r>
        <w:rPr>
          <w:rFonts w:hint="eastAsia" w:ascii="仿宋_GB2312" w:hAnsi="ˎ̥" w:eastAsia="仿宋_GB2312"/>
          <w:sz w:val="32"/>
          <w:szCs w:val="32"/>
          <w:highlight w:val="none"/>
          <w:lang w:val="en-US" w:eastAsia="zh-CN"/>
        </w:rPr>
        <w:t>厉行节约，节约经费</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 xml:space="preserve">    3.公务接待费支出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万元，其中：</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国内接待费</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万元，国内公务接待</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批次，接待</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人次。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国（境）外接待费支出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万元，国（境）外公务接待</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批次，接待</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人次。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公务接待费支出决算数比预算数增加（减少）</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万元，增长（下降）</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十、预算绩效情况说明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lang w:eastAsia="zh-CN"/>
        </w:rPr>
        <w:t>（一）</w:t>
      </w:r>
      <w:r>
        <w:rPr>
          <w:rFonts w:hint="eastAsia" w:ascii="楷体" w:hAnsi="楷体" w:eastAsia="楷体" w:cs="楷体"/>
          <w:b w:val="0"/>
          <w:bCs/>
          <w:color w:val="000000"/>
          <w:sz w:val="32"/>
          <w:szCs w:val="32"/>
          <w:highlight w:val="none"/>
        </w:rPr>
        <w:t>绩效管理工作开展情况。</w:t>
      </w:r>
    </w:p>
    <w:p>
      <w:pPr>
        <w:spacing w:line="578" w:lineRule="exact"/>
        <w:ind w:firstLine="640" w:firstLineChars="200"/>
        <w:rPr>
          <w:rFonts w:hint="eastAsia" w:ascii="仿宋_GB2312" w:eastAsia="仿宋_GB2312"/>
          <w:color w:val="000000"/>
          <w:sz w:val="32"/>
          <w:szCs w:val="32"/>
          <w:highlight w:val="none"/>
        </w:rPr>
      </w:pPr>
      <w:r>
        <w:rPr>
          <w:rFonts w:hint="eastAsia" w:ascii="仿宋_GB2312" w:eastAsia="仿宋_GB2312"/>
          <w:sz w:val="32"/>
          <w:szCs w:val="32"/>
        </w:rPr>
        <w:t>根据财政预算</w:t>
      </w:r>
      <w:r>
        <w:rPr>
          <w:rFonts w:hint="eastAsia" w:ascii="仿宋_GB2312" w:eastAsia="仿宋_GB2312"/>
          <w:sz w:val="32"/>
          <w:szCs w:val="32"/>
          <w:lang w:eastAsia="zh-CN"/>
        </w:rPr>
        <w:t>绩效</w:t>
      </w:r>
      <w:r>
        <w:rPr>
          <w:rFonts w:hint="eastAsia" w:ascii="仿宋_GB2312" w:eastAsia="仿宋_GB2312"/>
          <w:sz w:val="32"/>
          <w:szCs w:val="32"/>
        </w:rPr>
        <w:t>管理要求，</w:t>
      </w:r>
      <w:r>
        <w:rPr>
          <w:rFonts w:hint="eastAsia" w:ascii="仿宋_GB2312" w:eastAsia="仿宋_GB2312"/>
          <w:sz w:val="32"/>
          <w:szCs w:val="32"/>
          <w:lang w:eastAsia="zh-CN"/>
        </w:rPr>
        <w:t>可</w:t>
      </w:r>
      <w:r>
        <w:rPr>
          <w:rFonts w:hint="eastAsia" w:ascii="仿宋_GB2312" w:eastAsia="仿宋_GB2312"/>
          <w:sz w:val="32"/>
          <w:szCs w:val="32"/>
        </w:rPr>
        <w:t>按照如下格式说明：根据财政预算管理要求，我单位组织对</w:t>
      </w:r>
      <w:r>
        <w:rPr>
          <w:rFonts w:hint="eastAsia" w:ascii="仿宋_GB2312" w:eastAsia="仿宋_GB2312"/>
          <w:sz w:val="32"/>
          <w:szCs w:val="32"/>
          <w:lang w:eastAsia="zh-CN"/>
        </w:rPr>
        <w:t>202</w:t>
      </w:r>
      <w:r>
        <w:rPr>
          <w:rFonts w:hint="eastAsia" w:ascii="仿宋_GB2312" w:eastAsia="仿宋_GB2312"/>
          <w:sz w:val="32"/>
          <w:szCs w:val="32"/>
          <w:lang w:val="en-US" w:eastAsia="zh-CN"/>
        </w:rPr>
        <w:t>2</w:t>
      </w:r>
      <w:r>
        <w:rPr>
          <w:rFonts w:hint="eastAsia" w:ascii="仿宋_GB2312" w:eastAsia="仿宋_GB2312"/>
          <w:sz w:val="32"/>
          <w:szCs w:val="32"/>
          <w:lang w:eastAsia="zh-CN"/>
        </w:rPr>
        <w:t>年度</w:t>
      </w:r>
      <w:r>
        <w:rPr>
          <w:rFonts w:hint="eastAsia" w:ascii="仿宋_GB2312" w:eastAsia="仿宋_GB2312"/>
          <w:sz w:val="32"/>
          <w:szCs w:val="32"/>
        </w:rPr>
        <w:t>一般公共预算项目支出全面开展绩效自评。自评项目</w:t>
      </w:r>
      <w:r>
        <w:rPr>
          <w:rFonts w:hint="default" w:ascii="仿宋_GB2312" w:eastAsia="仿宋_GB2312"/>
          <w:sz w:val="32"/>
          <w:szCs w:val="32"/>
          <w:lang w:val="en-US"/>
        </w:rPr>
        <w:t>79</w:t>
      </w:r>
      <w:r>
        <w:rPr>
          <w:rFonts w:hint="eastAsia" w:ascii="仿宋_GB2312" w:eastAsia="仿宋_GB2312"/>
          <w:sz w:val="32"/>
          <w:szCs w:val="32"/>
        </w:rPr>
        <w:t>个，共涉及资金</w:t>
      </w:r>
      <w:r>
        <w:rPr>
          <w:rFonts w:hint="default" w:ascii="仿宋_GB2312" w:eastAsia="仿宋_GB2312"/>
          <w:sz w:val="32"/>
          <w:szCs w:val="32"/>
          <w:lang w:val="en-US"/>
        </w:rPr>
        <w:t>3073.78</w:t>
      </w:r>
      <w:r>
        <w:rPr>
          <w:rFonts w:hint="eastAsia" w:ascii="仿宋_GB2312" w:eastAsia="仿宋_GB2312"/>
          <w:sz w:val="32"/>
          <w:szCs w:val="32"/>
        </w:rPr>
        <w:t>万元，自评覆盖率达到</w:t>
      </w:r>
      <w:r>
        <w:rPr>
          <w:rFonts w:hint="default" w:ascii="仿宋_GB2312" w:eastAsia="仿宋_GB2312"/>
          <w:sz w:val="32"/>
          <w:szCs w:val="32"/>
          <w:lang w:val="en-US"/>
        </w:rPr>
        <w:t>100</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共组织对“</w:t>
      </w:r>
      <w:r>
        <w:rPr>
          <w:rFonts w:hint="eastAsia"/>
          <w:sz w:val="30"/>
          <w:szCs w:val="30"/>
        </w:rPr>
        <w:t>财政监督绩效检查及绩效管理工作经费</w:t>
      </w:r>
      <w:r>
        <w:rPr>
          <w:rFonts w:hint="eastAsia" w:ascii="仿宋_GB2312" w:eastAsia="仿宋_GB2312"/>
          <w:sz w:val="32"/>
          <w:szCs w:val="32"/>
        </w:rPr>
        <w:t>”等</w:t>
      </w:r>
      <w:r>
        <w:rPr>
          <w:rFonts w:hint="default" w:ascii="仿宋_GB2312" w:eastAsia="仿宋_GB2312"/>
          <w:sz w:val="32"/>
          <w:szCs w:val="32"/>
          <w:lang w:val="en-US"/>
        </w:rPr>
        <w:t>79</w:t>
      </w:r>
      <w:r>
        <w:rPr>
          <w:rFonts w:hint="eastAsia" w:ascii="仿宋_GB2312" w:eastAsia="仿宋_GB2312"/>
          <w:sz w:val="32"/>
          <w:szCs w:val="32"/>
        </w:rPr>
        <w:t>个项目</w:t>
      </w:r>
      <w:r>
        <w:rPr>
          <w:rFonts w:hint="eastAsia" w:ascii="仿宋_GB2312" w:eastAsia="仿宋_GB2312"/>
          <w:sz w:val="32"/>
          <w:szCs w:val="32"/>
          <w:lang w:eastAsia="zh-CN"/>
        </w:rPr>
        <w:t>开展了部门</w:t>
      </w:r>
      <w:r>
        <w:rPr>
          <w:rFonts w:hint="eastAsia" w:ascii="仿宋_GB2312" w:eastAsia="仿宋_GB2312"/>
          <w:sz w:val="32"/>
          <w:szCs w:val="32"/>
        </w:rPr>
        <w:t>评价，涉及资金</w:t>
      </w:r>
      <w:r>
        <w:rPr>
          <w:rFonts w:hint="default" w:ascii="仿宋_GB2312" w:eastAsia="仿宋_GB2312"/>
          <w:sz w:val="32"/>
          <w:szCs w:val="32"/>
          <w:lang w:val="en-US"/>
        </w:rPr>
        <w:t>3073.78</w:t>
      </w:r>
      <w:r>
        <w:rPr>
          <w:rFonts w:hint="eastAsia" w:ascii="仿宋_GB2312" w:eastAsia="仿宋_GB2312"/>
          <w:sz w:val="32"/>
          <w:szCs w:val="32"/>
        </w:rPr>
        <w:t>万元。</w:t>
      </w:r>
      <w:r>
        <w:rPr>
          <w:rFonts w:eastAsia="仿宋_GB2312"/>
          <w:sz w:val="32"/>
          <w:szCs w:val="32"/>
        </w:rPr>
        <w:t>从评价情况来看，项目建设能够按照项目计划执行，项目预算经费基本能够满足项目需求，项目建设成果能够达到预定目标，产生较好的经济效益和公共服务效能，项目整体评价结果</w:t>
      </w:r>
      <w:r>
        <w:rPr>
          <w:rFonts w:hint="eastAsia" w:eastAsia="仿宋_GB2312"/>
          <w:sz w:val="32"/>
          <w:szCs w:val="32"/>
        </w:rPr>
        <w:t>均</w:t>
      </w:r>
      <w:r>
        <w:rPr>
          <w:rFonts w:eastAsia="仿宋_GB2312"/>
          <w:sz w:val="32"/>
          <w:szCs w:val="32"/>
        </w:rPr>
        <w:t>为优秀</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color w:val="000000"/>
          <w:sz w:val="32"/>
          <w:szCs w:val="32"/>
          <w:highlight w:val="none"/>
          <w:lang w:val="en-US" w:eastAsia="zh-CN"/>
        </w:rPr>
      </w:pPr>
      <w:r>
        <w:rPr>
          <w:rFonts w:hint="eastAsia" w:ascii="楷体" w:hAnsi="楷体" w:eastAsia="楷体" w:cs="楷体"/>
          <w:b w:val="0"/>
          <w:bCs/>
          <w:color w:val="000000"/>
          <w:sz w:val="32"/>
          <w:szCs w:val="32"/>
          <w:highlight w:val="none"/>
          <w:lang w:eastAsia="zh-CN"/>
        </w:rPr>
        <w:t>（二）</w:t>
      </w:r>
      <w:r>
        <w:rPr>
          <w:rFonts w:hint="eastAsia" w:ascii="楷体" w:hAnsi="楷体" w:eastAsia="楷体" w:cs="楷体"/>
          <w:b w:val="0"/>
          <w:bCs/>
          <w:color w:val="000000"/>
          <w:sz w:val="32"/>
          <w:szCs w:val="32"/>
          <w:highlight w:val="none"/>
        </w:rPr>
        <w:t>部门决算中项目绩效自评结果</w:t>
      </w:r>
      <w:r>
        <w:rPr>
          <w:rFonts w:hint="eastAsia" w:ascii="楷体" w:hAnsi="楷体" w:eastAsia="楷体" w:cs="楷体"/>
          <w:b w:val="0"/>
          <w:bCs/>
          <w:color w:val="000000"/>
          <w:sz w:val="32"/>
          <w:szCs w:val="32"/>
          <w:highlight w:val="none"/>
          <w:lang w:eastAsia="zh-CN"/>
        </w:rPr>
        <w:t>（预算部门、单位可根据实际情况反映重点项目绩效自评结果）</w:t>
      </w:r>
      <w:r>
        <w:rPr>
          <w:rFonts w:hint="eastAsia" w:ascii="楷体" w:hAnsi="楷体" w:eastAsia="楷体" w:cs="楷体"/>
          <w:b w:val="0"/>
          <w:bCs/>
          <w:color w:val="000000"/>
          <w:sz w:val="32"/>
          <w:szCs w:val="32"/>
          <w:highlight w:val="none"/>
        </w:rPr>
        <w:t>。</w:t>
      </w:r>
    </w:p>
    <w:p>
      <w:pPr>
        <w:spacing w:line="240" w:lineRule="auto"/>
        <w:ind w:firstLine="640" w:firstLineChars="200"/>
        <w:rPr>
          <w:rFonts w:hint="eastAsia" w:ascii="仿宋_GB2312" w:eastAsia="仿宋_GB2312"/>
          <w:sz w:val="32"/>
          <w:szCs w:val="32"/>
          <w:lang w:eastAsia="zh-CN"/>
        </w:rPr>
      </w:pPr>
      <w:r>
        <w:rPr>
          <w:rFonts w:hint="eastAsia" w:ascii="仿宋_GB2312" w:eastAsia="仿宋_GB2312"/>
          <w:color w:val="auto"/>
          <w:sz w:val="32"/>
          <w:szCs w:val="32"/>
          <w:lang w:val="en-US" w:eastAsia="zh-CN"/>
        </w:rPr>
        <w:t>我部门今年在市本级部门决算中重点反映</w:t>
      </w:r>
      <w:r>
        <w:rPr>
          <w:rFonts w:hint="eastAsia" w:ascii="仿宋_GB2312" w:eastAsia="仿宋_GB2312"/>
          <w:color w:val="auto"/>
          <w:sz w:val="32"/>
          <w:szCs w:val="32"/>
        </w:rPr>
        <w:t>财政监督绩效检查及绩效管理工作经费</w:t>
      </w:r>
      <w:r>
        <w:rPr>
          <w:rFonts w:hint="eastAsia" w:ascii="仿宋_GB2312" w:eastAsia="仿宋_GB2312"/>
          <w:sz w:val="32"/>
          <w:szCs w:val="32"/>
          <w:lang w:eastAsia="zh-CN"/>
        </w:rPr>
        <w:t>项目绩效自评结果。</w:t>
      </w:r>
    </w:p>
    <w:p>
      <w:pPr>
        <w:spacing w:line="24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财政监督绩效检查及绩效管理工作经费</w:t>
      </w:r>
      <w:r>
        <w:rPr>
          <w:rFonts w:hint="eastAsia" w:ascii="仿宋_GB2312" w:eastAsia="仿宋_GB2312"/>
          <w:sz w:val="32"/>
          <w:szCs w:val="32"/>
          <w:lang w:eastAsia="zh-CN"/>
        </w:rPr>
        <w:t>项目绩效自评综述：</w:t>
      </w:r>
      <w:r>
        <w:rPr>
          <w:rFonts w:hint="eastAsia" w:ascii="仿宋_GB2312" w:eastAsia="仿宋_GB2312"/>
          <w:sz w:val="32"/>
          <w:szCs w:val="32"/>
        </w:rPr>
        <w:t>根据年初设定的绩效目标，项目自评得分为</w:t>
      </w:r>
      <w:r>
        <w:rPr>
          <w:rFonts w:hint="default" w:ascii="仿宋_GB2312" w:eastAsia="仿宋_GB2312"/>
          <w:sz w:val="32"/>
          <w:szCs w:val="32"/>
          <w:lang w:val="en-US"/>
        </w:rPr>
        <w:t>99</w:t>
      </w:r>
      <w:r>
        <w:rPr>
          <w:rFonts w:hint="eastAsia" w:ascii="仿宋_GB2312" w:eastAsia="仿宋_GB2312"/>
          <w:sz w:val="32"/>
          <w:szCs w:val="32"/>
        </w:rPr>
        <w:t>分</w:t>
      </w:r>
      <w:r>
        <w:rPr>
          <w:rFonts w:hint="eastAsia" w:ascii="仿宋_GB2312" w:eastAsia="仿宋_GB2312"/>
          <w:sz w:val="32"/>
          <w:szCs w:val="32"/>
          <w:lang w:eastAsia="zh-CN"/>
        </w:rPr>
        <w:t>。全年预算数为</w:t>
      </w:r>
      <w:r>
        <w:rPr>
          <w:rFonts w:hint="default" w:ascii="仿宋_GB2312" w:eastAsia="仿宋_GB2312"/>
          <w:sz w:val="32"/>
          <w:szCs w:val="32"/>
          <w:lang w:val="en-US"/>
        </w:rPr>
        <w:t>300</w:t>
      </w:r>
      <w:r>
        <w:rPr>
          <w:rFonts w:hint="eastAsia" w:ascii="仿宋_GB2312" w:eastAsia="仿宋_GB2312"/>
          <w:sz w:val="32"/>
          <w:szCs w:val="32"/>
          <w:lang w:eastAsia="zh-CN"/>
        </w:rPr>
        <w:t>万元，执行数为</w:t>
      </w:r>
      <w:r>
        <w:rPr>
          <w:rFonts w:hint="eastAsia" w:ascii="仿宋_GB2312" w:eastAsia="仿宋_GB2312"/>
          <w:sz w:val="32"/>
          <w:szCs w:val="32"/>
          <w:lang w:val="en-US" w:eastAsia="zh-CN"/>
        </w:rPr>
        <w:t>263</w:t>
      </w:r>
      <w:r>
        <w:rPr>
          <w:rFonts w:hint="eastAsia" w:ascii="仿宋_GB2312" w:eastAsia="仿宋_GB2312"/>
          <w:sz w:val="32"/>
          <w:szCs w:val="32"/>
          <w:lang w:eastAsia="zh-CN"/>
        </w:rPr>
        <w:t>万元，完成预算的</w:t>
      </w:r>
      <w:r>
        <w:rPr>
          <w:rFonts w:hint="eastAsia" w:ascii="仿宋_GB2312" w:eastAsia="仿宋_GB2312"/>
          <w:sz w:val="32"/>
          <w:szCs w:val="32"/>
          <w:lang w:val="en-US" w:eastAsia="zh-CN"/>
        </w:rPr>
        <w:t>87.67%。项目绩效目标完成情况：一是委托会计师事务所开展扶贫资金自评抽审工作；二是委托会计师事务所对琼海市69家预算部门（一级预算单位）开展2020年度整体支出绩效评价；三是委托会计师事务所开展琼海市17个重点项目绩效评价；发现的主要问题及原因：预算编制时设计项目绩效目标和部门绩效目标不够细化，存在一定程度的困难，部分单位内部财务股室和具体项目经办股室间绩效管理协调配合有待改进。下一步改进措施：一是强化绩效管理认识，强调预算对于实际支出的指导作用。各部门（单位）要积极开展部门活动层级关键指标和绩效目标设计、预算绩效管理等工作，进一步完善部门预算绩效管理和评价工作；二是预算部门要积极树立绩效管理理念，将绩效管理全面纳入部门预算工作，要科学合理编制部门预算，按事前绩效目标管理要求，做好部门整体和项目绩效目标的申报工作，执行过程中加强资金使用监管，做好项目日常工作的事前、事中、事后的绩效运行管理，确保目标不偏离，提高财政资金的使用效益；三是运用规范的绩效指标体系和科学的评价方法，全面、客观地反映项目支出完成情况和实施效果。同时，及时总结经验，分析存在的问题，督促预算单位采取切实有效措施改进和加强项目管理。</w:t>
      </w:r>
    </w:p>
    <w:p>
      <w:pPr>
        <w:spacing w:line="24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绩效评价及绩效管理工作项目绩效自评综述：“绩效评价及绩效管理工作”是财政常规业务项目，其内容主要包括实施部门整体支出绩效评价、财政资金重点项目绩效评价以及预算单位项目绩效自评抽查工作。委托第三方中介机构对财政预算重点项目和部门整体支出开展绩效评价。该项经费项目资金用途主要是用于开展绩效评价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lang w:eastAsia="zh-CN"/>
        </w:rPr>
        <w:t>（三）</w:t>
      </w:r>
      <w:r>
        <w:rPr>
          <w:rFonts w:hint="eastAsia" w:ascii="楷体" w:hAnsi="楷体" w:eastAsia="楷体" w:cs="楷体"/>
          <w:b w:val="0"/>
          <w:bCs/>
          <w:color w:val="000000"/>
          <w:sz w:val="32"/>
          <w:szCs w:val="32"/>
          <w:highlight w:val="none"/>
          <w:lang w:val="en-US"/>
        </w:rPr>
        <w:t>部门评价结果</w:t>
      </w:r>
      <w:r>
        <w:rPr>
          <w:rFonts w:hint="eastAsia" w:ascii="楷体" w:hAnsi="楷体" w:eastAsia="楷体" w:cs="楷体"/>
          <w:b w:val="0"/>
          <w:bCs/>
          <w:color w:val="000000"/>
          <w:sz w:val="32"/>
          <w:szCs w:val="32"/>
          <w:highlight w:val="none"/>
          <w:lang w:val="en-US" w:eastAsia="zh-CN"/>
        </w:rPr>
        <w:t>（预算部门填写，部门所属单位不需填写）</w:t>
      </w:r>
      <w:r>
        <w:rPr>
          <w:rFonts w:hint="eastAsia" w:ascii="楷体" w:hAnsi="楷体" w:eastAsia="楷体" w:cs="楷体"/>
          <w:b w:val="0"/>
          <w:bCs/>
          <w:color w:val="00000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bidi="ar"/>
        </w:rPr>
        <w:t>部门评价项目数量在3个以内的，至少将1个部门评价报告向社会公开；部门评价项目数量大于3个的，至少将2个部门评价报告向社会公开。</w:t>
      </w:r>
      <w:r>
        <w:rPr>
          <w:rFonts w:hint="eastAsia" w:ascii="仿宋_GB2312" w:eastAsia="仿宋_GB2312"/>
          <w:color w:val="000000"/>
          <w:sz w:val="32"/>
          <w:szCs w:val="32"/>
          <w:highlight w:val="none"/>
          <w:lang w:val="en-US" w:eastAsia="zh-CN"/>
        </w:rPr>
        <w:t>报告框架可参照《海南省财政厅关于印发&lt;海南省项目支出绩效评价管理实施办法&gt;的通知》（琼财绩〔2020〕594号）填写。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lang w:eastAsia="zh-CN"/>
        </w:rPr>
        <w:t>（四）财政评价结果</w:t>
      </w:r>
      <w:r>
        <w:rPr>
          <w:rFonts w:hint="eastAsia" w:ascii="楷体" w:hAnsi="楷体" w:eastAsia="楷体" w:cs="楷体"/>
          <w:b w:val="0"/>
          <w:bCs/>
          <w:color w:val="000000"/>
          <w:sz w:val="32"/>
          <w:szCs w:val="32"/>
          <w:highlight w:val="none"/>
        </w:rPr>
        <w:t>（如有）。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zh-CN"/>
        </w:rPr>
        <w:t>反映财政部门组织开展的预算部门（单位）重点项目财政评价情况，如有，可将评价报告附后。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十一、其他重要事项情况说明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95" w:name="_Toc32639_WPSOffice_Level2"/>
      <w:bookmarkStart w:id="96" w:name="_Toc18325_WPSOffice_Level2"/>
      <w:bookmarkStart w:id="97" w:name="_Toc15262_WPSOffice_Level2"/>
      <w:bookmarkStart w:id="98" w:name="_Toc5978_WPSOffice_Level2"/>
      <w:bookmarkStart w:id="99" w:name="_Toc23598_WPSOffice_Level2"/>
      <w:bookmarkStart w:id="100" w:name="_Toc15565_WPSOffice_Level2"/>
      <w:r>
        <w:rPr>
          <w:rFonts w:hint="eastAsia" w:ascii="楷体" w:hAnsi="楷体" w:eastAsia="楷体" w:cs="楷体"/>
          <w:bCs/>
          <w:color w:val="000000"/>
          <w:sz w:val="32"/>
          <w:szCs w:val="32"/>
          <w:highlight w:val="none"/>
        </w:rPr>
        <w:t>（一）机关运行经费支出情况。</w:t>
      </w:r>
      <w:bookmarkEnd w:id="95"/>
      <w:bookmarkEnd w:id="96"/>
      <w:bookmarkEnd w:id="97"/>
      <w:bookmarkEnd w:id="98"/>
      <w:bookmarkEnd w:id="99"/>
      <w:bookmarkEnd w:id="10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lang w:eastAsia="zh-CN"/>
        </w:rPr>
      </w:pPr>
      <w:r>
        <w:rPr>
          <w:rFonts w:hint="eastAsia" w:ascii="仿宋_GB2312" w:hAnsi="ˎ̥" w:eastAsia="仿宋_GB2312"/>
          <w:color w:val="000000"/>
          <w:sz w:val="32"/>
          <w:szCs w:val="32"/>
          <w:highlight w:val="none"/>
        </w:rPr>
        <w:t>2022年度</w:t>
      </w:r>
      <w:r>
        <w:rPr>
          <w:rFonts w:hint="eastAsia" w:ascii="仿宋_GB2312" w:hAnsi="ˎ̥" w:eastAsia="仿宋_GB2312"/>
          <w:color w:val="000000"/>
          <w:sz w:val="32"/>
          <w:szCs w:val="32"/>
          <w:highlight w:val="none"/>
          <w:lang w:val="en-US" w:eastAsia="zh-CN"/>
        </w:rPr>
        <w:t>琼海市财政局</w:t>
      </w:r>
      <w:r>
        <w:rPr>
          <w:rFonts w:hint="eastAsia" w:ascii="仿宋_GB2312" w:hAnsi="ˎ̥" w:eastAsia="仿宋_GB2312"/>
          <w:color w:val="000000"/>
          <w:sz w:val="32"/>
          <w:szCs w:val="32"/>
          <w:highlight w:val="none"/>
        </w:rPr>
        <w:t>单位机关运行经费38</w:t>
      </w:r>
      <w:r>
        <w:rPr>
          <w:rFonts w:hint="eastAsia" w:ascii="仿宋_GB2312" w:hAnsi="ˎ̥" w:eastAsia="仿宋_GB2312"/>
          <w:color w:val="000000"/>
          <w:sz w:val="32"/>
          <w:szCs w:val="32"/>
          <w:highlight w:val="none"/>
          <w:lang w:val="en-US" w:eastAsia="zh-CN"/>
        </w:rPr>
        <w:t>.</w:t>
      </w:r>
      <w:r>
        <w:rPr>
          <w:rFonts w:hint="eastAsia" w:ascii="仿宋_GB2312" w:hAnsi="ˎ̥" w:eastAsia="仿宋_GB2312"/>
          <w:color w:val="000000"/>
          <w:sz w:val="32"/>
          <w:szCs w:val="32"/>
          <w:highlight w:val="none"/>
        </w:rPr>
        <w:t>4</w:t>
      </w:r>
      <w:bookmarkStart w:id="119" w:name="_GoBack"/>
      <w:bookmarkEnd w:id="119"/>
      <w:r>
        <w:rPr>
          <w:rFonts w:hint="eastAsia" w:ascii="仿宋_GB2312" w:hAnsi="ˎ̥" w:eastAsia="仿宋_GB2312"/>
          <w:color w:val="000000"/>
          <w:sz w:val="32"/>
          <w:szCs w:val="32"/>
          <w:highlight w:val="none"/>
        </w:rPr>
        <w:t>万元</w:t>
      </w:r>
      <w:r>
        <w:rPr>
          <w:rFonts w:hint="eastAsia" w:ascii="仿宋_GB2312" w:hAnsi="ˎ̥" w:eastAsia="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101" w:name="_Toc32689_WPSOffice_Level2"/>
      <w:bookmarkStart w:id="102" w:name="_Toc25333_WPSOffice_Level2"/>
      <w:bookmarkStart w:id="103" w:name="_Toc13084_WPSOffice_Level2"/>
      <w:bookmarkStart w:id="104" w:name="_Toc3131_WPSOffice_Level2"/>
      <w:bookmarkStart w:id="105" w:name="_Toc30383_WPSOffice_Level2"/>
      <w:bookmarkStart w:id="106" w:name="_Toc23966_WPSOffice_Level2"/>
      <w:r>
        <w:rPr>
          <w:rFonts w:hint="eastAsia" w:ascii="楷体" w:hAnsi="楷体" w:eastAsia="楷体" w:cs="楷体"/>
          <w:bCs/>
          <w:color w:val="000000"/>
          <w:sz w:val="32"/>
          <w:szCs w:val="32"/>
          <w:highlight w:val="none"/>
        </w:rPr>
        <w:t>（二）政府采购支出情况。</w:t>
      </w:r>
      <w:bookmarkEnd w:id="101"/>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w:t>
      </w:r>
      <w:r>
        <w:rPr>
          <w:rFonts w:hint="eastAsia" w:ascii="仿宋_GB2312" w:hAnsi="ˎ̥" w:eastAsia="仿宋_GB2312"/>
          <w:color w:val="000000"/>
          <w:sz w:val="32"/>
          <w:szCs w:val="32"/>
          <w:highlight w:val="none"/>
          <w:lang w:val="en-US" w:eastAsia="zh-CN"/>
        </w:rPr>
        <w:t>琼海市财政局</w:t>
      </w:r>
      <w:r>
        <w:rPr>
          <w:rFonts w:hint="eastAsia" w:ascii="仿宋_GB2312" w:hAnsi="ˎ̥" w:eastAsia="仿宋_GB2312"/>
          <w:color w:val="000000"/>
          <w:sz w:val="32"/>
          <w:szCs w:val="32"/>
          <w:highlight w:val="none"/>
        </w:rPr>
        <w:t>单位政府采购支出总额38</w:t>
      </w:r>
      <w:r>
        <w:rPr>
          <w:rFonts w:hint="eastAsia" w:ascii="仿宋_GB2312" w:hAnsi="ˎ̥" w:eastAsia="仿宋_GB2312"/>
          <w:color w:val="000000"/>
          <w:sz w:val="32"/>
          <w:szCs w:val="32"/>
          <w:highlight w:val="none"/>
          <w:lang w:val="en-US" w:eastAsia="zh-CN"/>
        </w:rPr>
        <w:t>.</w:t>
      </w:r>
      <w:r>
        <w:rPr>
          <w:rFonts w:hint="eastAsia" w:ascii="仿宋_GB2312" w:hAnsi="ˎ̥" w:eastAsia="仿宋_GB2312"/>
          <w:color w:val="000000"/>
          <w:sz w:val="32"/>
          <w:szCs w:val="32"/>
          <w:highlight w:val="none"/>
        </w:rPr>
        <w:t>0792万元，其中：政府采购货物支出38</w:t>
      </w:r>
      <w:r>
        <w:rPr>
          <w:rFonts w:hint="eastAsia" w:ascii="仿宋_GB2312" w:hAnsi="ˎ̥" w:eastAsia="仿宋_GB2312"/>
          <w:color w:val="000000"/>
          <w:sz w:val="32"/>
          <w:szCs w:val="32"/>
          <w:highlight w:val="none"/>
          <w:lang w:val="en-US" w:eastAsia="zh-CN"/>
        </w:rPr>
        <w:t>.</w:t>
      </w:r>
      <w:r>
        <w:rPr>
          <w:rFonts w:hint="eastAsia" w:ascii="仿宋_GB2312" w:hAnsi="ˎ̥" w:eastAsia="仿宋_GB2312"/>
          <w:color w:val="000000"/>
          <w:sz w:val="32"/>
          <w:szCs w:val="32"/>
          <w:highlight w:val="none"/>
        </w:rPr>
        <w:t>0792万元、政府采购工程支出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万元、政府采购服务支出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万元。授予中小企业合同金额</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万元，占政府采购支出总额的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107" w:name="_Toc6016_WPSOffice_Level2"/>
      <w:bookmarkStart w:id="108" w:name="_Toc19989_WPSOffice_Level2"/>
      <w:bookmarkStart w:id="109" w:name="_Toc10902_WPSOffice_Level2"/>
      <w:bookmarkStart w:id="110" w:name="_Toc527_WPSOffice_Level2"/>
      <w:bookmarkStart w:id="111" w:name="_Toc29584_WPSOffice_Level2"/>
      <w:bookmarkStart w:id="112" w:name="_Toc15129_WPSOffice_Level2"/>
      <w:r>
        <w:rPr>
          <w:rFonts w:hint="eastAsia" w:ascii="楷体" w:hAnsi="楷体" w:eastAsia="楷体" w:cs="楷体"/>
          <w:bCs/>
          <w:color w:val="000000"/>
          <w:sz w:val="32"/>
          <w:szCs w:val="32"/>
          <w:highlight w:val="none"/>
        </w:rPr>
        <w:t>（三）国有资产占用情况。</w:t>
      </w:r>
      <w:bookmarkEnd w:id="107"/>
      <w:bookmarkEnd w:id="108"/>
      <w:bookmarkEnd w:id="109"/>
      <w:bookmarkEnd w:id="110"/>
      <w:bookmarkEnd w:id="111"/>
      <w:bookmarkEnd w:id="112"/>
    </w:p>
    <w:p>
      <w:pPr>
        <w:spacing w:line="578" w:lineRule="exact"/>
        <w:ind w:firstLine="640" w:firstLineChars="200"/>
        <w:rPr>
          <w:rFonts w:hint="eastAsia" w:ascii="仿宋_GB2312" w:hAnsi="ˎ̥" w:eastAsia="仿宋_GB2312"/>
          <w:sz w:val="32"/>
          <w:szCs w:val="32"/>
        </w:rPr>
      </w:pPr>
      <w:r>
        <w:rPr>
          <w:rFonts w:hint="eastAsia" w:ascii="仿宋_GB2312" w:hAnsi="ˎ̥" w:eastAsia="仿宋_GB2312"/>
          <w:bCs/>
          <w:color w:val="000000"/>
          <w:sz w:val="32"/>
          <w:szCs w:val="32"/>
          <w:highlight w:val="none"/>
        </w:rPr>
        <w:t>截至2022年12月31日，</w:t>
      </w:r>
      <w:r>
        <w:rPr>
          <w:rFonts w:hint="eastAsia" w:ascii="仿宋_GB2312" w:hAnsi="ˎ̥" w:eastAsia="仿宋_GB2312"/>
          <w:sz w:val="32"/>
          <w:szCs w:val="32"/>
          <w:lang w:val="en-US" w:eastAsia="zh-CN"/>
        </w:rPr>
        <w:t>本部门占用房屋面积</w:t>
      </w:r>
      <w:r>
        <w:rPr>
          <w:rFonts w:hint="default" w:ascii="仿宋_GB2312" w:hAnsi="ˎ̥" w:eastAsia="仿宋_GB2312"/>
          <w:sz w:val="32"/>
          <w:szCs w:val="32"/>
          <w:lang w:val="en-US"/>
        </w:rPr>
        <w:t>875.9</w:t>
      </w:r>
      <w:r>
        <w:rPr>
          <w:rFonts w:hint="eastAsia" w:ascii="仿宋_GB2312" w:hAnsi="ˎ̥" w:eastAsia="仿宋_GB2312"/>
          <w:sz w:val="32"/>
          <w:szCs w:val="32"/>
          <w:lang w:val="en-US" w:eastAsia="zh-CN"/>
        </w:rPr>
        <w:t>平方米，其中：办公用房</w:t>
      </w:r>
      <w:r>
        <w:rPr>
          <w:rFonts w:hint="default" w:ascii="仿宋_GB2312" w:hAnsi="ˎ̥" w:eastAsia="仿宋_GB2312"/>
          <w:sz w:val="32"/>
          <w:szCs w:val="32"/>
          <w:lang w:val="en-US"/>
        </w:rPr>
        <w:t>875.9</w:t>
      </w:r>
      <w:r>
        <w:rPr>
          <w:rFonts w:hint="eastAsia" w:ascii="仿宋_GB2312" w:hAnsi="ˎ̥" w:eastAsia="仿宋_GB2312"/>
          <w:sz w:val="32"/>
          <w:szCs w:val="32"/>
          <w:lang w:val="en-US" w:eastAsia="zh-CN"/>
        </w:rPr>
        <w:t>平方米。</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本部门共有车辆</w:t>
      </w:r>
      <w:r>
        <w:rPr>
          <w:rFonts w:hint="default" w:ascii="仿宋_GB2312" w:hAnsi="ˎ̥" w:eastAsia="仿宋_GB2312"/>
          <w:sz w:val="32"/>
          <w:szCs w:val="32"/>
          <w:lang w:val="en-US"/>
        </w:rPr>
        <w:t>3</w:t>
      </w:r>
      <w:r>
        <w:rPr>
          <w:rFonts w:hint="eastAsia" w:ascii="仿宋_GB2312" w:hAnsi="ˎ̥" w:eastAsia="仿宋_GB2312"/>
          <w:sz w:val="32"/>
          <w:szCs w:val="32"/>
        </w:rPr>
        <w:t>辆，其中</w:t>
      </w:r>
      <w:r>
        <w:rPr>
          <w:rFonts w:hint="eastAsia" w:ascii="仿宋_GB2312" w:hAnsi="ˎ̥" w:eastAsia="仿宋_GB2312"/>
          <w:sz w:val="32"/>
          <w:szCs w:val="32"/>
          <w:lang w:eastAsia="zh-CN"/>
        </w:rPr>
        <w:t>：从车辆种类说明：</w:t>
      </w:r>
      <w:r>
        <w:rPr>
          <w:rFonts w:hint="eastAsia" w:ascii="仿宋_GB2312" w:hAnsi="ˎ̥" w:eastAsia="仿宋_GB2312"/>
          <w:sz w:val="32"/>
          <w:szCs w:val="32"/>
          <w:lang w:val="en-US" w:eastAsia="zh-CN"/>
        </w:rPr>
        <w:t>轿车</w:t>
      </w:r>
      <w:r>
        <w:rPr>
          <w:rFonts w:hint="default" w:ascii="仿宋_GB2312" w:hAnsi="ˎ̥" w:eastAsia="仿宋_GB2312"/>
          <w:sz w:val="32"/>
          <w:szCs w:val="32"/>
          <w:lang w:val="en-US"/>
        </w:rPr>
        <w:t>2</w:t>
      </w:r>
      <w:r>
        <w:rPr>
          <w:rFonts w:hint="eastAsia" w:ascii="仿宋_GB2312" w:hAnsi="ˎ̥" w:eastAsia="仿宋_GB2312"/>
          <w:sz w:val="32"/>
          <w:szCs w:val="32"/>
        </w:rPr>
        <w:t>辆、</w:t>
      </w:r>
      <w:r>
        <w:rPr>
          <w:rFonts w:hint="eastAsia" w:ascii="仿宋_GB2312" w:hAnsi="ˎ̥" w:eastAsia="仿宋_GB2312"/>
          <w:sz w:val="32"/>
          <w:szCs w:val="32"/>
          <w:lang w:eastAsia="zh-CN"/>
        </w:rPr>
        <w:t>越野车</w:t>
      </w:r>
      <w:r>
        <w:rPr>
          <w:rFonts w:hint="default" w:ascii="仿宋_GB2312" w:hAnsi="ˎ̥" w:eastAsia="仿宋_GB2312"/>
          <w:sz w:val="32"/>
          <w:szCs w:val="32"/>
          <w:lang w:val="en-US"/>
        </w:rPr>
        <w:t>1</w:t>
      </w:r>
      <w:r>
        <w:rPr>
          <w:rFonts w:hint="eastAsia" w:ascii="仿宋_GB2312" w:hAnsi="ˎ̥" w:eastAsia="仿宋_GB2312"/>
          <w:sz w:val="32"/>
          <w:szCs w:val="32"/>
        </w:rPr>
        <w:t>辆</w:t>
      </w:r>
      <w:r>
        <w:rPr>
          <w:rFonts w:hint="eastAsia" w:ascii="仿宋_GB2312" w:hAnsi="ˎ̥" w:eastAsia="仿宋_GB2312"/>
          <w:sz w:val="32"/>
          <w:szCs w:val="32"/>
          <w:lang w:eastAsia="zh-CN"/>
        </w:rPr>
        <w:t>；从车辆使用情况说明：机要通信用车</w:t>
      </w:r>
      <w:r>
        <w:rPr>
          <w:rFonts w:hint="default" w:ascii="仿宋_GB2312" w:hAnsi="ˎ̥" w:eastAsia="仿宋_GB2312"/>
          <w:sz w:val="32"/>
          <w:szCs w:val="32"/>
          <w:lang w:val="en-US"/>
        </w:rPr>
        <w:t>1</w:t>
      </w:r>
      <w:r>
        <w:rPr>
          <w:rFonts w:hint="eastAsia" w:ascii="仿宋_GB2312" w:hAnsi="ˎ̥" w:eastAsia="仿宋_GB2312"/>
          <w:sz w:val="32"/>
          <w:szCs w:val="32"/>
        </w:rPr>
        <w:t>辆、</w:t>
      </w:r>
      <w:r>
        <w:rPr>
          <w:rFonts w:hint="eastAsia" w:ascii="仿宋_GB2312" w:hAnsi="ˎ̥" w:eastAsia="仿宋_GB2312"/>
          <w:sz w:val="32"/>
          <w:szCs w:val="32"/>
          <w:lang w:eastAsia="zh-CN"/>
        </w:rPr>
        <w:t>应急保障用车</w:t>
      </w:r>
      <w:r>
        <w:rPr>
          <w:rFonts w:hint="default" w:ascii="仿宋_GB2312" w:hAnsi="ˎ̥" w:eastAsia="仿宋_GB2312"/>
          <w:sz w:val="32"/>
          <w:szCs w:val="32"/>
          <w:lang w:val="en-US"/>
        </w:rPr>
        <w:t>2</w:t>
      </w:r>
      <w:r>
        <w:rPr>
          <w:rFonts w:hint="eastAsia" w:ascii="仿宋_GB2312" w:hAnsi="ˎ̥" w:eastAsia="仿宋_GB2312"/>
          <w:sz w:val="32"/>
          <w:szCs w:val="32"/>
        </w:rPr>
        <w:t>辆</w:t>
      </w:r>
      <w:r>
        <w:rPr>
          <w:rFonts w:hint="eastAsia" w:ascii="仿宋_GB2312" w:hAnsi="ˎ̥" w:eastAsia="仿宋_GB2312"/>
          <w:sz w:val="32"/>
          <w:szCs w:val="32"/>
          <w:lang w:eastAsia="zh-CN"/>
        </w:rPr>
        <w:t>。</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单位价值50万元</w:t>
      </w:r>
      <w:r>
        <w:rPr>
          <w:rFonts w:hint="eastAsia" w:ascii="仿宋_GB2312" w:hAnsi="ˎ̥" w:eastAsia="仿宋_GB2312"/>
          <w:sz w:val="32"/>
          <w:szCs w:val="32"/>
          <w:lang w:eastAsia="zh-CN"/>
        </w:rPr>
        <w:t>（含）</w:t>
      </w:r>
      <w:r>
        <w:rPr>
          <w:rFonts w:hint="eastAsia" w:ascii="仿宋_GB2312" w:hAnsi="ˎ̥" w:eastAsia="仿宋_GB2312"/>
          <w:sz w:val="32"/>
          <w:szCs w:val="32"/>
        </w:rPr>
        <w:t>以上通用设备</w:t>
      </w:r>
      <w:r>
        <w:rPr>
          <w:rFonts w:hint="default" w:ascii="仿宋_GB2312" w:hAnsi="ˎ̥" w:eastAsia="仿宋_GB2312"/>
          <w:sz w:val="32"/>
          <w:szCs w:val="32"/>
          <w:lang w:val="en-US"/>
        </w:rPr>
        <w:t>0</w:t>
      </w:r>
      <w:r>
        <w:rPr>
          <w:rFonts w:hint="eastAsia" w:ascii="仿宋_GB2312" w:hAnsi="ˎ̥" w:eastAsia="仿宋_GB2312"/>
          <w:sz w:val="32"/>
          <w:szCs w:val="32"/>
        </w:rPr>
        <w:t>台（套），单价100万元</w:t>
      </w:r>
      <w:r>
        <w:rPr>
          <w:rFonts w:hint="eastAsia" w:ascii="仿宋_GB2312" w:hAnsi="ˎ̥" w:eastAsia="仿宋_GB2312"/>
          <w:sz w:val="32"/>
          <w:szCs w:val="32"/>
          <w:lang w:eastAsia="zh-CN"/>
        </w:rPr>
        <w:t>（含）</w:t>
      </w:r>
      <w:r>
        <w:rPr>
          <w:rFonts w:hint="eastAsia" w:ascii="仿宋_GB2312" w:hAnsi="ˎ̥" w:eastAsia="仿宋_GB2312"/>
          <w:sz w:val="32"/>
          <w:szCs w:val="32"/>
        </w:rPr>
        <w:t>以上专用设备</w:t>
      </w:r>
      <w:r>
        <w:rPr>
          <w:rFonts w:hint="default" w:ascii="仿宋_GB2312" w:hAnsi="ˎ̥" w:eastAsia="仿宋_GB2312"/>
          <w:sz w:val="32"/>
          <w:szCs w:val="32"/>
          <w:lang w:val="en-US"/>
        </w:rPr>
        <w:t>0</w:t>
      </w:r>
      <w:r>
        <w:rPr>
          <w:rFonts w:hint="eastAsia" w:ascii="仿宋_GB2312" w:hAnsi="ˎ̥" w:eastAsia="仿宋_GB2312"/>
          <w:sz w:val="32"/>
          <w:szCs w:val="32"/>
        </w:rPr>
        <w:t>台（套）。</w:t>
      </w:r>
    </w:p>
    <w:p>
      <w:pPr>
        <w:spacing w:line="578" w:lineRule="exact"/>
        <w:ind w:firstLine="640" w:firstLineChars="200"/>
        <w:rPr>
          <w:rFonts w:hint="eastAsia" w:ascii="黑体" w:hAnsi="ˎ̥" w:eastAsia="黑体"/>
          <w:color w:val="000000"/>
          <w:sz w:val="32"/>
          <w:szCs w:val="32"/>
          <w:highlight w:val="none"/>
        </w:rPr>
      </w:pPr>
      <w:r>
        <w:rPr>
          <w:rFonts w:hint="eastAsia" w:ascii="仿宋_GB2312" w:hAnsi="ˎ̥" w:eastAsia="仿宋_GB2312"/>
          <w:sz w:val="32"/>
          <w:szCs w:val="32"/>
          <w:lang w:eastAsia="zh-CN"/>
        </w:rPr>
        <w:t>年末在建工程</w:t>
      </w:r>
      <w:r>
        <w:rPr>
          <w:rFonts w:hint="default" w:ascii="仿宋_GB2312" w:hAnsi="ˎ̥" w:eastAsia="仿宋_GB2312"/>
          <w:sz w:val="32"/>
          <w:szCs w:val="32"/>
          <w:lang w:val="en-US"/>
        </w:rPr>
        <w:t>0</w:t>
      </w:r>
      <w:r>
        <w:rPr>
          <w:rFonts w:hint="eastAsia" w:ascii="仿宋_GB2312" w:hAnsi="ˎ̥" w:eastAsia="仿宋_GB2312"/>
          <w:sz w:val="32"/>
          <w:szCs w:val="32"/>
          <w:lang w:eastAsia="zh-CN"/>
        </w:rPr>
        <w:t>万元</w:t>
      </w:r>
      <w:r>
        <w:rPr>
          <w:rFonts w:hint="eastAsia" w:ascii="仿宋_GB2312" w:hAnsi="ˎ̥" w:eastAsia="仿宋_GB2312"/>
          <w:sz w:val="32"/>
          <w:szCs w:val="32"/>
        </w:rPr>
        <w:t>。</w:t>
      </w:r>
      <w:bookmarkStart w:id="113" w:name="_Toc15425_WPSOffice_Level1"/>
      <w:bookmarkStart w:id="114" w:name="_Toc4398_WPSOffice_Level1"/>
      <w:bookmarkStart w:id="115" w:name="_Toc8874_WPSOffice_Level1"/>
      <w:bookmarkStart w:id="116" w:name="_Toc11039_WPSOffice_Level1"/>
      <w:bookmarkStart w:id="117" w:name="_Toc8808_WPSOffice_Level1"/>
      <w:bookmarkStart w:id="118" w:name="_Toc17580_WPSOffice_Level1"/>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t>第四部分  名词解释</w:t>
      </w:r>
      <w:bookmarkEnd w:id="113"/>
      <w:bookmarkEnd w:id="114"/>
      <w:bookmarkEnd w:id="115"/>
      <w:bookmarkEnd w:id="116"/>
      <w:bookmarkEnd w:id="117"/>
      <w:bookmarkEnd w:id="118"/>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财政拨款收入：指同级政府财政部门当年拨付的各类财政拨款。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二、上级补助收入：指事业单位从主管部门和上级单位取得的非财政补助收入。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三、事业收入：指事业单位开展专业业务活动及辅助活动取得的收入。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四、经营收入：指事业单位在专业业务活动及其辅助活动之外开展非独立核算经营活动取得的收入。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五、附属单位上缴收入：指事业单位取得附属独立核算单位根据有关规定上缴的收入。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六、其他收入：指除上述“财政拨款收入”“事业收入”“上级补助收入”“经营收入”“附属单位上缴收入”等以外的收入。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八、年初结转和结余：指以前年度尚未完成、结转到本年按有关规定继续使用的资金，或项目已完成等产生的结余资金。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九、结余分配：指事业单位缴纳企业所得税以及从非财政拨款结余或经营结余中提取各类结余的情况。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十一、基本支出：指为保障机构正常运转、完成日常工作任务而发生的人员支出和公用支出。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十二、项目支出：指在基本支出之外为完成特定行政任务和事业发展目标所发生的支出。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十三、经营支出：指事业单位在专业业务活动及其辅助活动之外开展非独立核算经营活动发生的支出。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（注</w:t>
      </w:r>
      <w:r>
        <w:rPr>
          <w:rFonts w:ascii="仿宋_GB2312" w:hAnsi="ˎ̥" w:eastAsia="仿宋_GB2312"/>
          <w:color w:val="000000"/>
          <w:sz w:val="32"/>
          <w:szCs w:val="32"/>
          <w:highlight w:val="none"/>
        </w:rPr>
        <w:t>：</w:t>
      </w:r>
      <w:r>
        <w:rPr>
          <w:rFonts w:hint="eastAsia" w:ascii="仿宋_GB2312" w:hAnsi="ˎ̥" w:eastAsia="仿宋_GB2312"/>
          <w:color w:val="000000"/>
          <w:sz w:val="32"/>
          <w:szCs w:val="32"/>
          <w:highlight w:val="none"/>
        </w:rPr>
        <w:t>支出功能分类的名词解释，各部门（单位）根据实际支出情况填列，可参阅财政部印发的《202</w:t>
      </w:r>
      <w:r>
        <w:rPr>
          <w:rFonts w:ascii="仿宋_GB2312" w:hAnsi="ˎ̥" w:eastAsia="仿宋_GB2312"/>
          <w:color w:val="000000"/>
          <w:sz w:val="32"/>
          <w:szCs w:val="32"/>
          <w:highlight w:val="none"/>
        </w:rPr>
        <w:t>2</w:t>
      </w:r>
      <w:r>
        <w:rPr>
          <w:rFonts w:hint="eastAsia" w:ascii="仿宋_GB2312" w:hAnsi="ˎ̥" w:eastAsia="仿宋_GB2312"/>
          <w:color w:val="000000"/>
          <w:sz w:val="32"/>
          <w:szCs w:val="32"/>
          <w:highlight w:val="none"/>
        </w:rPr>
        <w:t>年政府收支分类科目》）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textAlignment w:val="auto"/>
        <w:rPr>
          <w:color w:val="000000"/>
          <w:highlight w:val="none"/>
        </w:rPr>
      </w:pPr>
    </w:p>
    <w:p/>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5"/>
                            </w:rPr>
                          </w:pPr>
                          <w:r>
                            <w:rPr>
                              <w:rStyle w:val="5"/>
                            </w:rPr>
                            <w:t xml:space="preserve">— </w:t>
                          </w:r>
                          <w:r>
                            <w:rPr>
                              <w:rStyle w:val="5"/>
                            </w:rPr>
                            <w:fldChar w:fldCharType="begin"/>
                          </w:r>
                          <w:r>
                            <w:rPr>
                              <w:rStyle w:val="5"/>
                            </w:rPr>
                            <w:instrText xml:space="preserve"> PAGE  \* MERGEFORMAT </w:instrText>
                          </w:r>
                          <w:r>
                            <w:rPr>
                              <w:rStyle w:val="5"/>
                            </w:rPr>
                            <w:fldChar w:fldCharType="separate"/>
                          </w:r>
                          <w:r>
                            <w:rPr>
                              <w:rStyle w:val="5"/>
                            </w:rPr>
                            <w:t>1</w:t>
                          </w:r>
                          <w:r>
                            <w:rPr>
                              <w:rStyle w:val="5"/>
                            </w:rPr>
                            <w:fldChar w:fldCharType="end"/>
                          </w:r>
                          <w:r>
                            <w:rPr>
                              <w:rStyle w:val="5"/>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Style w:val="5"/>
                      </w:rPr>
                    </w:pPr>
                    <w:r>
                      <w:rPr>
                        <w:rStyle w:val="5"/>
                      </w:rPr>
                      <w:t xml:space="preserve">— </w:t>
                    </w:r>
                    <w:r>
                      <w:rPr>
                        <w:rStyle w:val="5"/>
                      </w:rPr>
                      <w:fldChar w:fldCharType="begin"/>
                    </w:r>
                    <w:r>
                      <w:rPr>
                        <w:rStyle w:val="5"/>
                      </w:rPr>
                      <w:instrText xml:space="preserve"> PAGE  \* MERGEFORMAT </w:instrText>
                    </w:r>
                    <w:r>
                      <w:rPr>
                        <w:rStyle w:val="5"/>
                      </w:rPr>
                      <w:fldChar w:fldCharType="separate"/>
                    </w:r>
                    <w:r>
                      <w:rPr>
                        <w:rStyle w:val="5"/>
                      </w:rPr>
                      <w:t>1</w:t>
                    </w:r>
                    <w:r>
                      <w:rPr>
                        <w:rStyle w:val="5"/>
                      </w:rPr>
                      <w:fldChar w:fldCharType="end"/>
                    </w:r>
                    <w:r>
                      <w:rPr>
                        <w:rStyle w:val="5"/>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CF65B"/>
    <w:multiLevelType w:val="singleLevel"/>
    <w:tmpl w:val="962CF65B"/>
    <w:lvl w:ilvl="0" w:tentative="0">
      <w:start w:val="1"/>
      <w:numFmt w:val="chineseCounting"/>
      <w:suff w:val="nothing"/>
      <w:lvlText w:val="%1、"/>
      <w:lvlJc w:val="left"/>
      <w:rPr>
        <w:rFonts w:hint="eastAsia"/>
      </w:rPr>
    </w:lvl>
  </w:abstractNum>
  <w:abstractNum w:abstractNumId="1">
    <w:nsid w:val="AFFC2DCC"/>
    <w:multiLevelType w:val="singleLevel"/>
    <w:tmpl w:val="AFFC2DCC"/>
    <w:lvl w:ilvl="0" w:tentative="0">
      <w:start w:val="1"/>
      <w:numFmt w:val="chineseCounting"/>
      <w:suff w:val="nothing"/>
      <w:lvlText w:val="%1、"/>
      <w:lvlJc w:val="left"/>
      <w:rPr>
        <w:rFonts w:hint="eastAsia"/>
      </w:r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MDhlMTM5ZGU3YTBlNDgxMzFhOWE0OWQ0NDliYTEifQ=="/>
  </w:docVars>
  <w:rsids>
    <w:rsidRoot w:val="00000000"/>
    <w:rsid w:val="04194AFA"/>
    <w:rsid w:val="0902043D"/>
    <w:rsid w:val="0B884C29"/>
    <w:rsid w:val="146F5F2D"/>
    <w:rsid w:val="19C04915"/>
    <w:rsid w:val="27F80C28"/>
    <w:rsid w:val="2A8D09F9"/>
    <w:rsid w:val="2D2A36BE"/>
    <w:rsid w:val="46C03A97"/>
    <w:rsid w:val="49495768"/>
    <w:rsid w:val="55417488"/>
    <w:rsid w:val="5ED136FF"/>
    <w:rsid w:val="65AE1DB5"/>
    <w:rsid w:val="68046104"/>
    <w:rsid w:val="6AB85F92"/>
    <w:rsid w:val="796F0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 w:type="paragraph" w:customStyle="1" w:styleId="6">
    <w:name w:val="WPSOffice手动目录 1"/>
    <w:autoRedefine/>
    <w:qFormat/>
    <w:uiPriority w:val="0"/>
    <w:rPr>
      <w:rFonts w:ascii="Times New Roman" w:hAnsi="Times New Roman" w:eastAsia="宋体" w:cs="Times New Roman"/>
      <w:lang w:val="en-US" w:eastAsia="zh-CN" w:bidi="ar-SA"/>
    </w:rPr>
  </w:style>
  <w:style w:type="paragraph" w:customStyle="1" w:styleId="7">
    <w:name w:val="WPSOffice手动目录 2"/>
    <w:autoRedefine/>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2023-12-13T13:59:22Z</dcterms:created>
  <dc:creator>5686</dc:creator>
  <cp:lastModifiedBy>5686</cp:lastModifiedBy>
  <dcterms:modified xsi:type="dcterms:W3CDTF">2023-12-15T15:47:26Z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C329BBD578834F458E570549EFED6408_12</vt:lpwstr>
  </property>
</Properties>
</file>