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HAnsi" w:hAnsiTheme="minorHAnsi" w:eastAsiaTheme="minorEastAsia" w:cstheme="minorBidi"/>
          <w:b/>
          <w:sz w:val="42"/>
          <w:szCs w:val="42"/>
        </w:rPr>
      </w:pPr>
      <w:r>
        <w:rPr>
          <w:rFonts w:asciiTheme="minorHAnsi" w:hAnsiTheme="minorHAnsi" w:eastAsiaTheme="minorEastAsia" w:cstheme="minorBidi"/>
          <w:b/>
          <w:sz w:val="42"/>
          <w:szCs w:val="42"/>
        </w:rPr>
        <w:t>琼海市博鳌镇大灵湖区域土地开发整理项目</w:t>
      </w:r>
      <w:bookmarkStart w:id="0" w:name="_GoBack"/>
      <w:bookmarkEnd w:id="0"/>
      <w:r>
        <w:rPr>
          <w:rFonts w:hint="eastAsia" w:asciiTheme="minorHAnsi" w:hAnsiTheme="minorHAnsi" w:eastAsiaTheme="minorEastAsia" w:cstheme="minorBidi"/>
          <w:b/>
          <w:sz w:val="42"/>
          <w:szCs w:val="42"/>
        </w:rPr>
        <w:t>202</w:t>
      </w:r>
      <w:r>
        <w:rPr>
          <w:rFonts w:hint="eastAsia" w:asciiTheme="minorHAnsi" w:hAnsiTheme="minorHAnsi" w:eastAsiaTheme="minorEastAsia" w:cstheme="minorBidi"/>
          <w:b/>
          <w:sz w:val="42"/>
          <w:szCs w:val="42"/>
          <w:lang w:val="en-US" w:eastAsia="zh-CN"/>
        </w:rPr>
        <w:t>4</w:t>
      </w:r>
      <w:r>
        <w:rPr>
          <w:rFonts w:hint="eastAsia" w:asciiTheme="minorHAnsi" w:hAnsiTheme="minorHAnsi" w:eastAsiaTheme="minorEastAsia" w:cstheme="minorBidi"/>
          <w:b/>
          <w:sz w:val="42"/>
          <w:szCs w:val="42"/>
        </w:rPr>
        <w:t>年度绩效自评报告</w:t>
      </w:r>
    </w:p>
    <w:p>
      <w:pPr>
        <w:jc w:val="center"/>
        <w:rPr>
          <w:rFonts w:asciiTheme="minorHAnsi" w:hAnsiTheme="minorHAnsi" w:eastAsiaTheme="minorEastAsia" w:cstheme="minorBidi"/>
          <w:b/>
          <w:sz w:val="42"/>
          <w:szCs w:val="42"/>
        </w:rPr>
      </w:pPr>
    </w:p>
    <w:p>
      <w:pPr>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rPr>
        <w:t>一、</w:t>
      </w:r>
      <w:r>
        <w:rPr>
          <w:rFonts w:hint="eastAsia" w:asciiTheme="minorEastAsia" w:hAnsiTheme="minorEastAsia" w:eastAsiaTheme="minorEastAsia" w:cstheme="minorEastAsia"/>
          <w:b/>
          <w:sz w:val="30"/>
          <w:szCs w:val="30"/>
          <w:lang w:eastAsia="zh-CN"/>
        </w:rPr>
        <w:t>基本情况</w:t>
      </w:r>
    </w:p>
    <w:p>
      <w:pPr>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rPr>
        <w:t>（一）项目</w:t>
      </w:r>
      <w:r>
        <w:rPr>
          <w:rFonts w:hint="eastAsia" w:asciiTheme="minorEastAsia" w:hAnsiTheme="minorEastAsia" w:eastAsiaTheme="minorEastAsia" w:cstheme="minorEastAsia"/>
          <w:b/>
          <w:sz w:val="30"/>
          <w:szCs w:val="30"/>
          <w:lang w:eastAsia="zh-CN"/>
        </w:rPr>
        <w:t>基本概况</w:t>
      </w:r>
    </w:p>
    <w:p>
      <w:pPr>
        <w:ind w:firstLine="600" w:firstLineChars="200"/>
        <w:outlineLvl w:val="0"/>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琼海市博鳌镇大灵湖区域土地开发整理项目是利用收回闲置万泉河沿岸生态敏感区的博鳌滨水度假区、滨水旅游区和大灵湖温泉酒店</w:t>
      </w:r>
      <w:r>
        <w:rPr>
          <w:rFonts w:hint="eastAsia" w:ascii="仿宋_GB2312" w:hAnsi="华文仿宋" w:eastAsia="仿宋_GB2312" w:cs="华文仿宋"/>
          <w:color w:val="000000"/>
          <w:sz w:val="30"/>
          <w:szCs w:val="30"/>
          <w:lang w:eastAsia="zh-CN"/>
        </w:rPr>
        <w:t>等</w:t>
      </w:r>
      <w:r>
        <w:rPr>
          <w:rFonts w:hint="eastAsia" w:ascii="仿宋_GB2312" w:hAnsi="华文仿宋" w:eastAsia="仿宋_GB2312" w:cs="华文仿宋"/>
          <w:color w:val="000000"/>
          <w:sz w:val="30"/>
          <w:szCs w:val="30"/>
        </w:rPr>
        <w:t>3个地块，结合美丽乡村建设，包装的土地开发整理项目，项目的主管单位是琼海市自然资源和规划局，实施单位是琼海市土地储备整理交易中心。</w:t>
      </w:r>
    </w:p>
    <w:p>
      <w:pPr>
        <w:ind w:firstLine="600" w:firstLineChars="200"/>
        <w:outlineLvl w:val="0"/>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琼海市博鳌镇大灵湖区域土地开发整理项目</w:t>
      </w:r>
      <w:r>
        <w:rPr>
          <w:rFonts w:hint="eastAsia" w:ascii="仿宋_GB2312" w:hAnsi="华文仿宋" w:eastAsia="仿宋_GB2312" w:cs="华文仿宋"/>
          <w:color w:val="000000"/>
          <w:sz w:val="30"/>
          <w:szCs w:val="30"/>
          <w:lang w:eastAsia="zh-CN"/>
        </w:rPr>
        <w:t>的</w:t>
      </w:r>
      <w:r>
        <w:rPr>
          <w:rFonts w:hint="eastAsia" w:ascii="仿宋_GB2312" w:hAnsi="华文仿宋" w:eastAsia="仿宋_GB2312" w:cs="华文仿宋"/>
          <w:color w:val="000000"/>
          <w:sz w:val="30"/>
          <w:szCs w:val="30"/>
        </w:rPr>
        <w:t>建设规模</w:t>
      </w:r>
      <w:r>
        <w:rPr>
          <w:rFonts w:hint="eastAsia" w:ascii="仿宋_GB2312" w:hAnsi="华文仿宋" w:eastAsia="仿宋_GB2312" w:cs="华文仿宋"/>
          <w:color w:val="000000"/>
          <w:sz w:val="30"/>
          <w:szCs w:val="30"/>
          <w:lang w:eastAsia="zh-CN"/>
        </w:rPr>
        <w:t>为</w:t>
      </w:r>
      <w:r>
        <w:rPr>
          <w:rFonts w:hint="eastAsia" w:ascii="仿宋_GB2312" w:hAnsi="华文仿宋" w:eastAsia="仿宋_GB2312" w:cs="华文仿宋"/>
          <w:color w:val="000000"/>
          <w:sz w:val="30"/>
          <w:szCs w:val="30"/>
        </w:rPr>
        <w:t>2</w:t>
      </w:r>
      <w:r>
        <w:rPr>
          <w:rFonts w:hint="eastAsia" w:ascii="仿宋_GB2312" w:hAnsi="华文仿宋" w:eastAsia="仿宋_GB2312" w:cs="华文仿宋"/>
          <w:color w:val="000000"/>
          <w:sz w:val="30"/>
          <w:szCs w:val="30"/>
          <w:lang w:val="en-US" w:eastAsia="zh-CN"/>
        </w:rPr>
        <w:t>,</w:t>
      </w:r>
      <w:r>
        <w:rPr>
          <w:rFonts w:hint="eastAsia" w:ascii="仿宋_GB2312" w:hAnsi="华文仿宋" w:eastAsia="仿宋_GB2312" w:cs="华文仿宋"/>
          <w:color w:val="000000"/>
          <w:sz w:val="30"/>
          <w:szCs w:val="30"/>
        </w:rPr>
        <w:t>791.61亩，预计新增耕地561.29亩</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涉及朝烈、中南和仰大三个村委会，主要建设内容</w:t>
      </w:r>
      <w:r>
        <w:rPr>
          <w:rFonts w:hint="eastAsia" w:ascii="仿宋_GB2312" w:hAnsi="华文仿宋" w:eastAsia="仿宋_GB2312" w:cs="华文仿宋"/>
          <w:color w:val="000000"/>
          <w:sz w:val="30"/>
          <w:szCs w:val="30"/>
          <w:lang w:eastAsia="zh-CN"/>
        </w:rPr>
        <w:t>为</w:t>
      </w:r>
      <w:r>
        <w:rPr>
          <w:rFonts w:hint="eastAsia" w:ascii="仿宋_GB2312" w:hAnsi="华文仿宋" w:eastAsia="仿宋_GB2312" w:cs="华文仿宋"/>
          <w:color w:val="000000"/>
          <w:sz w:val="30"/>
          <w:szCs w:val="30"/>
        </w:rPr>
        <w:t>土地平整工程、灌溉和排水工程、田间道路工程和乡村改造工程。项目</w:t>
      </w:r>
      <w:r>
        <w:rPr>
          <w:rFonts w:hint="eastAsia" w:ascii="仿宋_GB2312" w:hAnsi="华文仿宋" w:eastAsia="仿宋_GB2312" w:cs="华文仿宋"/>
          <w:color w:val="000000"/>
          <w:sz w:val="30"/>
          <w:szCs w:val="30"/>
          <w:lang w:val="en-US" w:eastAsia="zh-CN"/>
        </w:rPr>
        <w:t>概算</w:t>
      </w:r>
      <w:r>
        <w:rPr>
          <w:rFonts w:hint="eastAsia" w:ascii="仿宋_GB2312" w:hAnsi="华文仿宋" w:eastAsia="仿宋_GB2312" w:cs="华文仿宋"/>
          <w:color w:val="000000"/>
          <w:sz w:val="30"/>
          <w:szCs w:val="30"/>
        </w:rPr>
        <w:t>总投资</w:t>
      </w:r>
      <w:r>
        <w:rPr>
          <w:rFonts w:hint="eastAsia" w:ascii="仿宋_GB2312" w:hAnsi="华文仿宋" w:eastAsia="仿宋_GB2312" w:cs="华文仿宋"/>
          <w:color w:val="000000"/>
          <w:sz w:val="30"/>
          <w:szCs w:val="30"/>
          <w:lang w:val="en-US" w:eastAsia="zh-CN"/>
        </w:rPr>
        <w:t>2,380.90</w:t>
      </w:r>
      <w:r>
        <w:rPr>
          <w:rFonts w:hint="eastAsia" w:ascii="仿宋_GB2312" w:hAnsi="华文仿宋" w:eastAsia="仿宋_GB2312" w:cs="华文仿宋"/>
          <w:color w:val="000000"/>
          <w:sz w:val="30"/>
          <w:szCs w:val="30"/>
        </w:rPr>
        <w:t>万元，其中：工程</w:t>
      </w:r>
      <w:r>
        <w:rPr>
          <w:rFonts w:hint="eastAsia" w:ascii="仿宋_GB2312" w:hAnsi="华文仿宋" w:eastAsia="仿宋_GB2312" w:cs="华文仿宋"/>
          <w:color w:val="000000"/>
          <w:sz w:val="30"/>
          <w:szCs w:val="30"/>
          <w:lang w:val="en-US" w:eastAsia="zh-CN"/>
        </w:rPr>
        <w:t>施工</w:t>
      </w:r>
      <w:r>
        <w:rPr>
          <w:rFonts w:hint="eastAsia" w:ascii="仿宋_GB2312" w:hAnsi="华文仿宋" w:eastAsia="仿宋_GB2312" w:cs="华文仿宋"/>
          <w:color w:val="000000"/>
          <w:sz w:val="30"/>
          <w:szCs w:val="30"/>
        </w:rPr>
        <w:t>费</w:t>
      </w:r>
      <w:r>
        <w:rPr>
          <w:rFonts w:hint="eastAsia" w:ascii="仿宋_GB2312" w:hAnsi="华文仿宋" w:eastAsia="仿宋_GB2312" w:cs="华文仿宋"/>
          <w:color w:val="000000"/>
          <w:sz w:val="30"/>
          <w:szCs w:val="30"/>
          <w:lang w:val="en-US" w:eastAsia="zh-CN"/>
        </w:rPr>
        <w:t>1,929.05</w:t>
      </w:r>
      <w:r>
        <w:rPr>
          <w:rFonts w:hint="eastAsia" w:ascii="仿宋_GB2312" w:hAnsi="华文仿宋" w:eastAsia="仿宋_GB2312" w:cs="华文仿宋"/>
          <w:color w:val="000000"/>
          <w:sz w:val="30"/>
          <w:szCs w:val="30"/>
        </w:rPr>
        <w:t>万元</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lang w:val="en-US" w:eastAsia="zh-CN"/>
        </w:rPr>
        <w:t>设备购置费5.10万元、</w:t>
      </w:r>
      <w:r>
        <w:rPr>
          <w:rFonts w:hint="eastAsia" w:ascii="仿宋_GB2312" w:hAnsi="华文仿宋" w:eastAsia="仿宋_GB2312" w:cs="华文仿宋"/>
          <w:color w:val="000000"/>
          <w:sz w:val="30"/>
          <w:szCs w:val="30"/>
        </w:rPr>
        <w:t>工程建设其他费</w:t>
      </w:r>
      <w:r>
        <w:rPr>
          <w:rFonts w:hint="eastAsia" w:ascii="仿宋_GB2312" w:hAnsi="华文仿宋" w:eastAsia="仿宋_GB2312" w:cs="华文仿宋"/>
          <w:color w:val="000000"/>
          <w:sz w:val="30"/>
          <w:szCs w:val="30"/>
          <w:lang w:val="en-US" w:eastAsia="zh-CN"/>
        </w:rPr>
        <w:t>377.41</w:t>
      </w:r>
      <w:r>
        <w:rPr>
          <w:rFonts w:hint="eastAsia" w:ascii="仿宋_GB2312" w:hAnsi="华文仿宋" w:eastAsia="仿宋_GB2312" w:cs="华文仿宋"/>
          <w:color w:val="000000"/>
          <w:sz w:val="30"/>
          <w:szCs w:val="30"/>
        </w:rPr>
        <w:t>万元</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lang w:val="en-US" w:eastAsia="zh-CN"/>
        </w:rPr>
        <w:t>不可预见</w:t>
      </w:r>
      <w:r>
        <w:rPr>
          <w:rFonts w:hint="eastAsia" w:ascii="仿宋_GB2312" w:hAnsi="华文仿宋" w:eastAsia="仿宋_GB2312" w:cs="华文仿宋"/>
          <w:color w:val="000000"/>
          <w:sz w:val="30"/>
          <w:szCs w:val="30"/>
        </w:rPr>
        <w:t>费</w:t>
      </w:r>
      <w:r>
        <w:rPr>
          <w:rFonts w:hint="eastAsia" w:ascii="仿宋_GB2312" w:hAnsi="华文仿宋" w:eastAsia="仿宋_GB2312" w:cs="华文仿宋"/>
          <w:color w:val="000000"/>
          <w:sz w:val="30"/>
          <w:szCs w:val="30"/>
          <w:lang w:val="en-US" w:eastAsia="zh-CN"/>
        </w:rPr>
        <w:t>69.35万</w:t>
      </w:r>
      <w:r>
        <w:rPr>
          <w:rFonts w:hint="eastAsia" w:ascii="仿宋_GB2312" w:hAnsi="华文仿宋" w:eastAsia="仿宋_GB2312" w:cs="华文仿宋"/>
          <w:color w:val="000000"/>
          <w:sz w:val="30"/>
          <w:szCs w:val="30"/>
        </w:rPr>
        <w:t>元</w:t>
      </w:r>
      <w:r>
        <w:rPr>
          <w:rFonts w:hint="eastAsia" w:ascii="仿宋_GB2312" w:hAnsi="华文仿宋" w:eastAsia="仿宋_GB2312" w:cs="华文仿宋"/>
          <w:color w:val="000000"/>
          <w:sz w:val="30"/>
          <w:szCs w:val="30"/>
          <w:lang w:eastAsia="zh-CN"/>
        </w:rPr>
        <w:t>，项目</w:t>
      </w:r>
      <w:r>
        <w:rPr>
          <w:rFonts w:hint="eastAsia" w:ascii="仿宋_GB2312" w:hAnsi="华文仿宋" w:eastAsia="仿宋_GB2312" w:cs="华文仿宋"/>
          <w:color w:val="000000"/>
          <w:sz w:val="30"/>
          <w:szCs w:val="30"/>
        </w:rPr>
        <w:t>资金来源</w:t>
      </w:r>
      <w:r>
        <w:rPr>
          <w:rFonts w:hint="eastAsia" w:ascii="仿宋_GB2312" w:hAnsi="华文仿宋" w:eastAsia="仿宋_GB2312" w:cs="华文仿宋"/>
          <w:color w:val="000000"/>
          <w:sz w:val="30"/>
          <w:szCs w:val="30"/>
          <w:lang w:val="en-US" w:eastAsia="zh-CN"/>
        </w:rPr>
        <w:t>为市级财政资金</w:t>
      </w:r>
      <w:r>
        <w:rPr>
          <w:rFonts w:hint="eastAsia" w:ascii="仿宋_GB2312" w:hAnsi="华文仿宋" w:eastAsia="仿宋_GB2312" w:cs="华文仿宋"/>
          <w:color w:val="000000"/>
          <w:sz w:val="30"/>
          <w:szCs w:val="30"/>
        </w:rPr>
        <w:t>。</w:t>
      </w:r>
    </w:p>
    <w:p>
      <w:pPr>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val="en-US" w:eastAsia="zh-CN"/>
        </w:rPr>
        <w:t>绩效目标情况</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1</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项目年度预算绩效目标：</w:t>
      </w:r>
      <w:r>
        <w:rPr>
          <w:rFonts w:hint="eastAsia" w:ascii="仿宋_GB2312" w:hAnsi="华文仿宋" w:eastAsia="仿宋_GB2312" w:cs="华文仿宋"/>
          <w:color w:val="000000"/>
          <w:sz w:val="30"/>
          <w:szCs w:val="30"/>
          <w:lang w:eastAsia="zh-CN"/>
        </w:rPr>
        <w:t>按批准设计任务完成实施并通过检验，有效改善项目区生产条件，提高耕地质量，降低农业生产成本，提升项目区农业结构调整和耕地保护，对促进农业增效、农民增收具有重大意义。</w:t>
      </w:r>
    </w:p>
    <w:p>
      <w:pPr>
        <w:ind w:firstLine="600" w:firstLineChars="200"/>
        <w:outlineLvl w:val="0"/>
        <w:rPr>
          <w:rFonts w:hint="eastAsia" w:ascii="仿宋_GB2312" w:hAnsi="华文仿宋" w:eastAsia="仿宋_GB2312" w:cs="华文仿宋"/>
          <w:color w:val="000000"/>
          <w:sz w:val="30"/>
          <w:szCs w:val="30"/>
          <w:lang w:eastAsia="zh-CN"/>
        </w:rPr>
      </w:pPr>
      <w:r>
        <w:rPr>
          <w:rFonts w:hint="eastAsia" w:ascii="仿宋_GB2312" w:hAnsi="华文仿宋" w:eastAsia="仿宋_GB2312" w:cs="华文仿宋"/>
          <w:color w:val="000000"/>
          <w:sz w:val="30"/>
          <w:szCs w:val="30"/>
        </w:rPr>
        <w:t>2</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绩效指标设定情况：</w:t>
      </w:r>
      <w:r>
        <w:rPr>
          <w:rFonts w:hint="default" w:ascii="仿宋_GB2312" w:hAnsi="华文仿宋" w:eastAsia="仿宋_GB2312" w:cs="华文仿宋"/>
          <w:color w:val="000000"/>
          <w:sz w:val="30"/>
          <w:szCs w:val="30"/>
          <w:lang w:eastAsia="zh-CN"/>
        </w:rPr>
        <w:t>①</w:t>
      </w:r>
      <w:r>
        <w:rPr>
          <w:rFonts w:hint="eastAsia" w:ascii="仿宋_GB2312" w:hAnsi="华文仿宋" w:eastAsia="仿宋_GB2312" w:cs="华文仿宋"/>
          <w:color w:val="000000"/>
          <w:sz w:val="30"/>
          <w:szCs w:val="30"/>
          <w:lang w:eastAsia="zh-CN"/>
        </w:rPr>
        <w:t>新增耕地指标</w:t>
      </w:r>
      <w:r>
        <w:rPr>
          <w:rFonts w:hint="eastAsia" w:ascii="仿宋_GB2312" w:hAnsi="华文仿宋" w:eastAsia="仿宋_GB2312" w:cs="华文仿宋"/>
          <w:color w:val="000000"/>
          <w:sz w:val="30"/>
          <w:szCs w:val="30"/>
          <w:lang w:val="en-US" w:eastAsia="zh-CN"/>
        </w:rPr>
        <w:t>＝415.96亩</w:t>
      </w:r>
      <w:r>
        <w:rPr>
          <w:rFonts w:hint="eastAsia" w:ascii="仿宋_GB2312" w:hAnsi="华文仿宋" w:eastAsia="仿宋_GB2312" w:cs="华文仿宋"/>
          <w:color w:val="000000"/>
          <w:sz w:val="30"/>
          <w:szCs w:val="30"/>
          <w:lang w:eastAsia="zh-CN"/>
        </w:rPr>
        <w:t>，</w:t>
      </w:r>
      <w:r>
        <w:rPr>
          <w:rFonts w:hint="default" w:ascii="仿宋_GB2312" w:hAnsi="华文仿宋" w:eastAsia="仿宋_GB2312" w:cs="华文仿宋"/>
          <w:color w:val="000000"/>
          <w:sz w:val="30"/>
          <w:szCs w:val="30"/>
          <w:lang w:eastAsia="zh-CN"/>
        </w:rPr>
        <w:t>②</w:t>
      </w:r>
      <w:r>
        <w:rPr>
          <w:rFonts w:hint="eastAsia" w:ascii="仿宋_GB2312" w:hAnsi="华文仿宋" w:eastAsia="仿宋_GB2312" w:cs="华文仿宋"/>
          <w:color w:val="000000"/>
          <w:sz w:val="30"/>
          <w:szCs w:val="30"/>
          <w:lang w:eastAsia="zh-CN"/>
        </w:rPr>
        <w:t>竣工验收通过率</w:t>
      </w:r>
      <w:r>
        <w:rPr>
          <w:rFonts w:hint="eastAsia" w:ascii="仿宋_GB2312" w:hAnsi="华文仿宋" w:eastAsia="仿宋_GB2312" w:cs="华文仿宋"/>
          <w:color w:val="000000"/>
          <w:sz w:val="30"/>
          <w:szCs w:val="30"/>
          <w:lang w:val="en-US" w:eastAsia="zh-CN"/>
        </w:rPr>
        <w:t>＝100%</w:t>
      </w:r>
      <w:r>
        <w:rPr>
          <w:rFonts w:hint="eastAsia" w:ascii="仿宋_GB2312" w:hAnsi="华文仿宋" w:eastAsia="仿宋_GB2312" w:cs="华文仿宋"/>
          <w:color w:val="000000"/>
          <w:sz w:val="30"/>
          <w:szCs w:val="30"/>
          <w:lang w:eastAsia="zh-CN"/>
        </w:rPr>
        <w:t>，</w:t>
      </w:r>
      <w:r>
        <w:rPr>
          <w:rFonts w:hint="eastAsia" w:ascii="宋体" w:hAnsi="宋体" w:eastAsia="宋体" w:cs="宋体"/>
          <w:color w:val="000000"/>
          <w:sz w:val="30"/>
          <w:szCs w:val="30"/>
          <w:lang w:eastAsia="zh-CN"/>
        </w:rPr>
        <w:t>③</w:t>
      </w:r>
      <w:r>
        <w:rPr>
          <w:rFonts w:hint="eastAsia" w:ascii="仿宋_GB2312" w:hAnsi="华文仿宋" w:eastAsia="仿宋_GB2312" w:cs="华文仿宋"/>
          <w:color w:val="000000"/>
          <w:sz w:val="30"/>
          <w:szCs w:val="30"/>
          <w:lang w:eastAsia="zh-CN"/>
        </w:rPr>
        <w:t>项目综合利用率≥</w:t>
      </w:r>
      <w:r>
        <w:rPr>
          <w:rFonts w:hint="eastAsia" w:ascii="仿宋_GB2312" w:hAnsi="华文仿宋" w:eastAsia="仿宋_GB2312" w:cs="华文仿宋"/>
          <w:color w:val="000000"/>
          <w:sz w:val="30"/>
          <w:szCs w:val="30"/>
          <w:lang w:val="en-US" w:eastAsia="zh-CN"/>
        </w:rPr>
        <w:t>90%，</w:t>
      </w:r>
      <w:r>
        <w:rPr>
          <w:rFonts w:hint="eastAsia" w:ascii="宋体" w:hAnsi="宋体" w:eastAsia="宋体" w:cs="宋体"/>
          <w:color w:val="000000"/>
          <w:sz w:val="30"/>
          <w:szCs w:val="30"/>
          <w:lang w:val="en-US" w:eastAsia="zh-CN"/>
        </w:rPr>
        <w:t>④</w:t>
      </w:r>
      <w:r>
        <w:rPr>
          <w:rFonts w:hint="eastAsia" w:ascii="仿宋_GB2312" w:hAnsi="华文仿宋" w:eastAsia="仿宋_GB2312" w:cs="华文仿宋"/>
          <w:color w:val="000000"/>
          <w:sz w:val="30"/>
          <w:szCs w:val="30"/>
          <w:lang w:val="en-US" w:eastAsia="zh-CN"/>
        </w:rPr>
        <w:t>项目建设成本≤2074.88万元</w:t>
      </w:r>
      <w:r>
        <w:rPr>
          <w:rFonts w:hint="eastAsia" w:ascii="仿宋_GB2312" w:hAnsi="华文仿宋" w:eastAsia="仿宋_GB2312" w:cs="华文仿宋"/>
          <w:color w:val="000000"/>
          <w:sz w:val="30"/>
          <w:szCs w:val="30"/>
          <w:lang w:eastAsia="zh-CN"/>
        </w:rPr>
        <w:t>。</w:t>
      </w:r>
    </w:p>
    <w:p>
      <w:pPr>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rPr>
        <w:t>二、</w:t>
      </w:r>
      <w:r>
        <w:rPr>
          <w:rFonts w:hint="eastAsia" w:asciiTheme="minorEastAsia" w:hAnsiTheme="minorEastAsia" w:eastAsiaTheme="minorEastAsia" w:cstheme="minorEastAsia"/>
          <w:b/>
          <w:sz w:val="30"/>
          <w:szCs w:val="30"/>
          <w:lang w:eastAsia="zh-CN"/>
        </w:rPr>
        <w:t>综合评价结论</w:t>
      </w:r>
    </w:p>
    <w:p>
      <w:pPr>
        <w:ind w:firstLine="600" w:firstLineChars="200"/>
        <w:outlineLvl w:val="0"/>
        <w:rPr>
          <w:rFonts w:hint="eastAsia" w:ascii="仿宋_GB2312" w:hAnsi="华文仿宋" w:eastAsia="仿宋_GB2312" w:cs="华文仿宋"/>
          <w:color w:val="000000"/>
          <w:sz w:val="30"/>
          <w:szCs w:val="30"/>
          <w:lang w:eastAsia="zh-CN"/>
        </w:rPr>
      </w:pPr>
      <w:r>
        <w:rPr>
          <w:rFonts w:hint="eastAsia" w:ascii="仿宋_GB2312" w:hAnsi="华文仿宋" w:eastAsia="仿宋_GB2312" w:cs="华文仿宋"/>
          <w:color w:val="000000"/>
          <w:sz w:val="30"/>
          <w:szCs w:val="30"/>
          <w:lang w:eastAsia="zh-CN"/>
        </w:rPr>
        <w:t>琼海市博鳌镇大灵湖区域土地开发整理项目建设的主要内容包括土地平整、农田水利和田间道路工程等。通过对农用地的平整、改良，可以将原先的园地、未利用地等改造成水田和旱地等；围绕新增水田和旱地，配套建设排水和灌溉设施，保证新增水田、旱地的种植条件；同时，配套建设田间道路设施，满足群众生产生活的需要。</w:t>
      </w:r>
    </w:p>
    <w:p>
      <w:pPr>
        <w:ind w:firstLine="600" w:firstLineChars="200"/>
        <w:outlineLvl w:val="0"/>
        <w:rPr>
          <w:rFonts w:hint="eastAsia" w:ascii="仿宋_GB2312" w:hAnsi="华文仿宋" w:eastAsia="仿宋_GB2312" w:cs="华文仿宋"/>
          <w:color w:val="000000"/>
          <w:sz w:val="30"/>
          <w:szCs w:val="30"/>
          <w:lang w:eastAsia="zh-CN"/>
        </w:rPr>
      </w:pPr>
      <w:r>
        <w:rPr>
          <w:rFonts w:hint="eastAsia" w:ascii="仿宋_GB2312" w:hAnsi="华文仿宋" w:eastAsia="仿宋_GB2312" w:cs="华文仿宋"/>
          <w:color w:val="000000"/>
          <w:sz w:val="30"/>
          <w:szCs w:val="30"/>
          <w:lang w:eastAsia="zh-CN"/>
        </w:rPr>
        <w:t>琼海市博鳌镇大灵湖区域土地开发整理项目按批准设计任务完成实施并通过检验，有效改善项目区生产条件，提高耕地质量，降低农业生产成本，提升项目区农业结构调整和耕地保护，对促进农业增效、农民增收具有重大意义。</w:t>
      </w:r>
    </w:p>
    <w:p>
      <w:pPr>
        <w:ind w:firstLine="600" w:firstLineChars="200"/>
        <w:outlineLvl w:val="0"/>
        <w:rPr>
          <w:rFonts w:hint="default" w:ascii="仿宋_GB2312" w:hAnsi="华文仿宋" w:eastAsia="仿宋_GB2312" w:cs="华文仿宋"/>
          <w:color w:val="000000"/>
          <w:sz w:val="30"/>
          <w:szCs w:val="30"/>
          <w:lang w:val="en-US" w:eastAsia="zh-CN"/>
        </w:rPr>
      </w:pPr>
      <w:r>
        <w:rPr>
          <w:rFonts w:hint="eastAsia" w:ascii="仿宋_GB2312" w:hAnsi="华文仿宋" w:eastAsia="仿宋_GB2312" w:cs="华文仿宋"/>
          <w:color w:val="000000"/>
          <w:sz w:val="30"/>
          <w:szCs w:val="30"/>
          <w:lang w:eastAsia="zh-CN"/>
        </w:rPr>
        <w:t>琼海市博鳌镇大灵湖区域土地开发整理项目</w:t>
      </w:r>
      <w:r>
        <w:rPr>
          <w:rFonts w:hint="eastAsia" w:ascii="仿宋_GB2312" w:hAnsi="华文仿宋" w:eastAsia="仿宋_GB2312" w:cs="华文仿宋"/>
          <w:color w:val="000000"/>
          <w:sz w:val="30"/>
          <w:szCs w:val="30"/>
          <w:lang w:val="en-US" w:eastAsia="zh-CN"/>
        </w:rPr>
        <w:t>2024年度绩效自评分数为90分，主要原因为该项目资金已置换从其他项目支出。</w:t>
      </w:r>
    </w:p>
    <w:p>
      <w:pPr>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eastAsia="zh-CN"/>
        </w:rPr>
        <w:t>三</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绩效情况分析</w:t>
      </w:r>
    </w:p>
    <w:p>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（一）资金</w:t>
      </w:r>
      <w:r>
        <w:rPr>
          <w:rFonts w:hint="eastAsia" w:asciiTheme="minorEastAsia" w:hAnsiTheme="minorEastAsia" w:eastAsiaTheme="minorEastAsia" w:cstheme="minorEastAsia"/>
          <w:b/>
          <w:sz w:val="30"/>
          <w:szCs w:val="30"/>
          <w:lang w:eastAsia="zh-CN"/>
        </w:rPr>
        <w:t>到位执行</w:t>
      </w:r>
      <w:r>
        <w:rPr>
          <w:rFonts w:hint="eastAsia" w:asciiTheme="minorEastAsia" w:hAnsiTheme="minorEastAsia" w:eastAsiaTheme="minorEastAsia" w:cstheme="minorEastAsia"/>
          <w:b/>
          <w:sz w:val="30"/>
          <w:szCs w:val="30"/>
        </w:rPr>
        <w:t>情况分析</w:t>
      </w:r>
    </w:p>
    <w:p>
      <w:pPr>
        <w:ind w:firstLine="600" w:firstLineChars="200"/>
        <w:outlineLvl w:val="0"/>
        <w:rPr>
          <w:rFonts w:hint="eastAsia" w:ascii="仿宋_GB2312" w:hAnsi="华文仿宋" w:eastAsia="仿宋_GB2312" w:cs="华文仿宋"/>
          <w:color w:val="000000"/>
          <w:sz w:val="30"/>
          <w:szCs w:val="30"/>
        </w:rPr>
      </w:pPr>
      <w:r>
        <w:rPr>
          <w:rFonts w:hint="eastAsia" w:ascii="仿宋_GB2312" w:hAnsi="华文仿宋" w:eastAsia="仿宋_GB2312" w:cs="华文仿宋"/>
          <w:color w:val="000000"/>
          <w:sz w:val="30"/>
          <w:szCs w:val="30"/>
        </w:rPr>
        <w:t>根据《</w:t>
      </w:r>
      <w:r>
        <w:rPr>
          <w:rFonts w:hint="eastAsia" w:ascii="仿宋_GB2312" w:hAnsi="华文仿宋" w:eastAsia="仿宋_GB2312" w:cs="华文仿宋"/>
          <w:color w:val="000000"/>
          <w:sz w:val="30"/>
          <w:szCs w:val="30"/>
          <w:lang w:eastAsia="zh-CN"/>
        </w:rPr>
        <w:t>关于</w:t>
      </w:r>
      <w:r>
        <w:rPr>
          <w:rFonts w:hint="eastAsia" w:ascii="仿宋_GB2312" w:hAnsi="华文仿宋" w:eastAsia="仿宋_GB2312" w:cs="华文仿宋"/>
          <w:color w:val="000000"/>
          <w:sz w:val="30"/>
          <w:szCs w:val="30"/>
        </w:rPr>
        <w:t>琼海市博鳌镇大灵湖区域土地开发整理项目竣工财务决算审计报告》（华宇审〔2022〕015号），</w:t>
      </w:r>
      <w:r>
        <w:rPr>
          <w:rFonts w:hint="eastAsia" w:ascii="仿宋_GB2312" w:hAnsi="华文仿宋" w:eastAsia="仿宋_GB2312" w:cs="华文仿宋"/>
          <w:color w:val="000000"/>
          <w:sz w:val="30"/>
          <w:szCs w:val="30"/>
          <w:lang w:eastAsia="zh-CN"/>
        </w:rPr>
        <w:t>决算</w:t>
      </w:r>
      <w:r>
        <w:rPr>
          <w:rFonts w:hint="eastAsia" w:ascii="仿宋_GB2312" w:hAnsi="华文仿宋" w:eastAsia="仿宋_GB2312" w:cs="华文仿宋"/>
          <w:color w:val="000000"/>
          <w:sz w:val="30"/>
          <w:szCs w:val="30"/>
        </w:rPr>
        <w:t>审计金额为19</w:t>
      </w:r>
      <w:r>
        <w:rPr>
          <w:rFonts w:hint="eastAsia" w:ascii="仿宋_GB2312" w:hAnsi="华文仿宋" w:eastAsia="仿宋_GB2312" w:cs="华文仿宋"/>
          <w:color w:val="000000"/>
          <w:sz w:val="30"/>
          <w:szCs w:val="30"/>
          <w:lang w:val="en-US" w:eastAsia="zh-CN"/>
        </w:rPr>
        <w:t>,</w:t>
      </w:r>
      <w:r>
        <w:rPr>
          <w:rFonts w:hint="eastAsia" w:ascii="仿宋_GB2312" w:hAnsi="华文仿宋" w:eastAsia="仿宋_GB2312" w:cs="华文仿宋"/>
          <w:color w:val="000000"/>
          <w:sz w:val="30"/>
          <w:szCs w:val="30"/>
        </w:rPr>
        <w:t>140</w:t>
      </w:r>
      <w:r>
        <w:rPr>
          <w:rFonts w:hint="eastAsia" w:ascii="仿宋_GB2312" w:hAnsi="华文仿宋" w:eastAsia="仿宋_GB2312" w:cs="华文仿宋"/>
          <w:color w:val="000000"/>
          <w:sz w:val="30"/>
          <w:szCs w:val="30"/>
          <w:lang w:val="en-US" w:eastAsia="zh-CN"/>
        </w:rPr>
        <w:t>,</w:t>
      </w:r>
      <w:r>
        <w:rPr>
          <w:rFonts w:hint="eastAsia" w:ascii="仿宋_GB2312" w:hAnsi="华文仿宋" w:eastAsia="仿宋_GB2312" w:cs="华文仿宋"/>
          <w:color w:val="000000"/>
          <w:sz w:val="30"/>
          <w:szCs w:val="30"/>
        </w:rPr>
        <w:t>719.83元</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其中</w:t>
      </w:r>
      <w:r>
        <w:rPr>
          <w:rFonts w:hint="eastAsia" w:ascii="仿宋_GB2312" w:hAnsi="华文仿宋" w:eastAsia="仿宋_GB2312" w:cs="华文仿宋"/>
          <w:color w:val="000000"/>
          <w:sz w:val="30"/>
          <w:szCs w:val="30"/>
          <w:lang w:eastAsia="zh-CN"/>
        </w:rPr>
        <w:t>：</w:t>
      </w:r>
      <w:r>
        <w:rPr>
          <w:rFonts w:hint="eastAsia" w:ascii="仿宋_GB2312" w:hAnsi="华文仿宋" w:eastAsia="仿宋_GB2312" w:cs="华文仿宋"/>
          <w:color w:val="000000"/>
          <w:sz w:val="30"/>
          <w:szCs w:val="30"/>
        </w:rPr>
        <w:t>工程施工费16</w:t>
      </w:r>
      <w:r>
        <w:rPr>
          <w:rFonts w:hint="eastAsia" w:ascii="仿宋_GB2312" w:hAnsi="华文仿宋" w:eastAsia="仿宋_GB2312" w:cs="华文仿宋"/>
          <w:color w:val="000000"/>
          <w:sz w:val="30"/>
          <w:szCs w:val="30"/>
          <w:lang w:val="en-US" w:eastAsia="zh-CN"/>
        </w:rPr>
        <w:t>,</w:t>
      </w:r>
      <w:r>
        <w:rPr>
          <w:rFonts w:hint="eastAsia" w:ascii="仿宋_GB2312" w:hAnsi="华文仿宋" w:eastAsia="仿宋_GB2312" w:cs="华文仿宋"/>
          <w:color w:val="000000"/>
          <w:sz w:val="30"/>
          <w:szCs w:val="30"/>
        </w:rPr>
        <w:t>219</w:t>
      </w:r>
      <w:r>
        <w:rPr>
          <w:rFonts w:hint="eastAsia" w:ascii="仿宋_GB2312" w:hAnsi="华文仿宋" w:eastAsia="仿宋_GB2312" w:cs="华文仿宋"/>
          <w:color w:val="000000"/>
          <w:sz w:val="30"/>
          <w:szCs w:val="30"/>
          <w:lang w:val="en-US" w:eastAsia="zh-CN"/>
        </w:rPr>
        <w:t>,</w:t>
      </w:r>
      <w:r>
        <w:rPr>
          <w:rFonts w:hint="eastAsia" w:ascii="仿宋_GB2312" w:hAnsi="华文仿宋" w:eastAsia="仿宋_GB2312" w:cs="华文仿宋"/>
          <w:color w:val="000000"/>
          <w:sz w:val="30"/>
          <w:szCs w:val="30"/>
        </w:rPr>
        <w:t>196.62元</w:t>
      </w:r>
      <w:r>
        <w:rPr>
          <w:rFonts w:hint="eastAsia" w:ascii="仿宋_GB2312" w:hAnsi="华文仿宋" w:eastAsia="仿宋_GB2312" w:cs="华文仿宋"/>
          <w:color w:val="000000"/>
          <w:sz w:val="30"/>
          <w:szCs w:val="30"/>
          <w:lang w:eastAsia="zh-CN"/>
        </w:rPr>
        <w:t>、工程建设其他费用</w:t>
      </w:r>
      <w:r>
        <w:rPr>
          <w:rFonts w:hint="eastAsia" w:ascii="仿宋_GB2312" w:hAnsi="华文仿宋" w:eastAsia="仿宋_GB2312" w:cs="华文仿宋"/>
          <w:color w:val="000000"/>
          <w:sz w:val="30"/>
          <w:szCs w:val="30"/>
          <w:lang w:val="en-US" w:eastAsia="zh-CN"/>
        </w:rPr>
        <w:t>2,921,523.21</w:t>
      </w:r>
      <w:r>
        <w:rPr>
          <w:rFonts w:hint="eastAsia" w:ascii="仿宋_GB2312" w:hAnsi="华文仿宋" w:eastAsia="仿宋_GB2312" w:cs="华文仿宋"/>
          <w:color w:val="000000"/>
          <w:sz w:val="30"/>
          <w:szCs w:val="30"/>
        </w:rPr>
        <w:t>元。</w:t>
      </w:r>
    </w:p>
    <w:p>
      <w:pPr>
        <w:ind w:firstLine="600" w:firstLineChars="200"/>
        <w:rPr>
          <w:rFonts w:hint="default" w:eastAsia="仿宋_GB2312" w:asciiTheme="minorEastAsia" w:hAnsiTheme="minorEastAsia" w:cstheme="minorEastAsia"/>
          <w:color w:val="0000FF"/>
          <w:sz w:val="30"/>
          <w:szCs w:val="30"/>
          <w:lang w:val="en-US" w:eastAsia="zh-CN"/>
        </w:rPr>
      </w:pPr>
      <w:r>
        <w:rPr>
          <w:rFonts w:hint="eastAsia" w:ascii="仿宋_GB2312" w:hAnsi="华文仿宋" w:eastAsia="仿宋_GB2312" w:cs="华文仿宋"/>
          <w:color w:val="000000"/>
          <w:sz w:val="30"/>
          <w:szCs w:val="30"/>
        </w:rPr>
        <w:t>截至202</w:t>
      </w:r>
      <w:r>
        <w:rPr>
          <w:rFonts w:hint="eastAsia" w:ascii="仿宋_GB2312" w:hAnsi="华文仿宋" w:eastAsia="仿宋_GB2312" w:cs="华文仿宋"/>
          <w:color w:val="000000"/>
          <w:sz w:val="30"/>
          <w:szCs w:val="30"/>
          <w:lang w:val="en-US" w:eastAsia="zh-CN"/>
        </w:rPr>
        <w:t>4</w:t>
      </w:r>
      <w:r>
        <w:rPr>
          <w:rFonts w:hint="eastAsia" w:ascii="仿宋_GB2312" w:hAnsi="华文仿宋" w:eastAsia="仿宋_GB2312" w:cs="华文仿宋"/>
          <w:color w:val="000000"/>
          <w:sz w:val="30"/>
          <w:szCs w:val="30"/>
        </w:rPr>
        <w:t>年12月31日，我中心已</w:t>
      </w:r>
      <w:r>
        <w:rPr>
          <w:rFonts w:hint="eastAsia" w:ascii="仿宋_GB2312" w:hAnsi="华文仿宋" w:eastAsia="仿宋_GB2312" w:cs="华文仿宋"/>
          <w:color w:val="000000"/>
          <w:sz w:val="30"/>
          <w:szCs w:val="30"/>
          <w:lang w:eastAsia="zh-CN"/>
        </w:rPr>
        <w:t>全部</w:t>
      </w:r>
      <w:r>
        <w:rPr>
          <w:rFonts w:hint="eastAsia" w:ascii="仿宋_GB2312" w:hAnsi="华文仿宋" w:eastAsia="仿宋_GB2312" w:cs="华文仿宋"/>
          <w:color w:val="000000"/>
          <w:sz w:val="30"/>
          <w:szCs w:val="30"/>
        </w:rPr>
        <w:t>完成</w:t>
      </w:r>
      <w:r>
        <w:rPr>
          <w:rFonts w:hint="eastAsia" w:ascii="仿宋_GB2312" w:hAnsi="华文仿宋" w:eastAsia="仿宋_GB2312" w:cs="华文仿宋"/>
          <w:color w:val="000000"/>
          <w:sz w:val="30"/>
          <w:szCs w:val="30"/>
          <w:lang w:eastAsia="zh-CN"/>
        </w:rPr>
        <w:t>了</w:t>
      </w:r>
      <w:r>
        <w:rPr>
          <w:rFonts w:hint="eastAsia" w:ascii="仿宋_GB2312" w:hAnsi="华文仿宋" w:eastAsia="仿宋_GB2312" w:cs="华文仿宋"/>
          <w:color w:val="000000"/>
          <w:sz w:val="30"/>
          <w:szCs w:val="30"/>
        </w:rPr>
        <w:t>琼海市博鳌镇大灵湖区域土地开发整理项目19</w:t>
      </w:r>
      <w:r>
        <w:rPr>
          <w:rFonts w:hint="eastAsia" w:ascii="仿宋_GB2312" w:hAnsi="华文仿宋" w:eastAsia="仿宋_GB2312" w:cs="华文仿宋"/>
          <w:color w:val="000000"/>
          <w:sz w:val="30"/>
          <w:szCs w:val="30"/>
          <w:lang w:val="en-US" w:eastAsia="zh-CN"/>
        </w:rPr>
        <w:t>,</w:t>
      </w:r>
      <w:r>
        <w:rPr>
          <w:rFonts w:hint="eastAsia" w:ascii="仿宋_GB2312" w:hAnsi="华文仿宋" w:eastAsia="仿宋_GB2312" w:cs="华文仿宋"/>
          <w:color w:val="000000"/>
          <w:sz w:val="30"/>
          <w:szCs w:val="30"/>
        </w:rPr>
        <w:t>140</w:t>
      </w:r>
      <w:r>
        <w:rPr>
          <w:rFonts w:hint="eastAsia" w:ascii="仿宋_GB2312" w:hAnsi="华文仿宋" w:eastAsia="仿宋_GB2312" w:cs="华文仿宋"/>
          <w:color w:val="000000"/>
          <w:sz w:val="30"/>
          <w:szCs w:val="30"/>
          <w:lang w:val="en-US" w:eastAsia="zh-CN"/>
        </w:rPr>
        <w:t>,</w:t>
      </w:r>
      <w:r>
        <w:rPr>
          <w:rFonts w:hint="eastAsia" w:ascii="仿宋_GB2312" w:hAnsi="华文仿宋" w:eastAsia="仿宋_GB2312" w:cs="华文仿宋"/>
          <w:color w:val="000000"/>
          <w:sz w:val="30"/>
          <w:szCs w:val="30"/>
        </w:rPr>
        <w:t>719.83元的支出。</w:t>
      </w:r>
      <w:r>
        <w:rPr>
          <w:rFonts w:hint="eastAsia" w:ascii="仿宋_GB2312" w:hAnsi="华文仿宋" w:eastAsia="仿宋_GB2312" w:cs="华文仿宋"/>
          <w:color w:val="000000"/>
          <w:sz w:val="30"/>
          <w:szCs w:val="30"/>
          <w:lang w:eastAsia="zh-CN"/>
        </w:rPr>
        <w:t>其中，</w:t>
      </w:r>
      <w:r>
        <w:rPr>
          <w:rFonts w:hint="eastAsia" w:ascii="仿宋_GB2312" w:hAnsi="华文仿宋" w:eastAsia="仿宋_GB2312" w:cs="华文仿宋"/>
          <w:color w:val="000000"/>
          <w:sz w:val="30"/>
          <w:szCs w:val="30"/>
          <w:lang w:val="en-US" w:eastAsia="zh-CN"/>
        </w:rPr>
        <w:t>2024年度完成1,549,925.43元的项目支出，包括工程施工费尾款（含质保金）1,152,807.62元、项目设计费尾款76,300.00元、工程复核费（质量检测费）101,400.00元、结算审计费169,517.81元和土地重估登记费49,900.00元。</w:t>
      </w:r>
    </w:p>
    <w:p>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二</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资金使用</w:t>
      </w:r>
      <w:r>
        <w:rPr>
          <w:rFonts w:hint="eastAsia" w:asciiTheme="minorEastAsia" w:hAnsiTheme="minorEastAsia" w:eastAsiaTheme="minorEastAsia" w:cstheme="minorEastAsia"/>
          <w:b/>
          <w:sz w:val="30"/>
          <w:szCs w:val="30"/>
        </w:rPr>
        <w:t>管理情况分析</w:t>
      </w:r>
    </w:p>
    <w:p>
      <w:pPr>
        <w:ind w:firstLine="600" w:firstLineChars="200"/>
        <w:rPr>
          <w:rFonts w:hint="eastAsia" w:ascii="仿宋_GB2312" w:hAnsi="华文仿宋" w:eastAsia="仿宋_GB2312" w:cs="华文仿宋"/>
          <w:color w:val="000000"/>
          <w:sz w:val="30"/>
          <w:szCs w:val="30"/>
          <w:lang w:eastAsia="zh-CN"/>
        </w:rPr>
      </w:pPr>
      <w:r>
        <w:rPr>
          <w:rFonts w:hint="eastAsia" w:ascii="仿宋_GB2312" w:hAnsi="华文仿宋" w:eastAsia="仿宋_GB2312" w:cs="华文仿宋"/>
          <w:color w:val="000000"/>
          <w:sz w:val="30"/>
          <w:szCs w:val="30"/>
        </w:rPr>
        <w:t>一是</w:t>
      </w:r>
      <w:r>
        <w:rPr>
          <w:rFonts w:hint="eastAsia" w:ascii="仿宋_GB2312" w:hAnsi="华文仿宋" w:eastAsia="仿宋_GB2312" w:cs="华文仿宋"/>
          <w:color w:val="000000"/>
          <w:sz w:val="30"/>
          <w:szCs w:val="30"/>
          <w:lang w:eastAsia="zh-CN"/>
        </w:rPr>
        <w:t>严格按照专款专用原则，该项目资金全部用于</w:t>
      </w:r>
      <w:r>
        <w:rPr>
          <w:rFonts w:hint="eastAsia" w:ascii="仿宋_GB2312" w:hAnsi="华文仿宋" w:eastAsia="仿宋_GB2312" w:cs="华文仿宋"/>
          <w:color w:val="000000"/>
          <w:sz w:val="30"/>
          <w:szCs w:val="30"/>
        </w:rPr>
        <w:t>琼海市博鳌镇大灵湖区域土地开发整理项目</w:t>
      </w:r>
      <w:r>
        <w:rPr>
          <w:rFonts w:hint="eastAsia" w:ascii="仿宋_GB2312" w:hAnsi="华文仿宋" w:eastAsia="仿宋_GB2312" w:cs="华文仿宋"/>
          <w:color w:val="000000"/>
          <w:sz w:val="30"/>
          <w:szCs w:val="30"/>
          <w:lang w:eastAsia="zh-CN"/>
        </w:rPr>
        <w:t>支出。</w:t>
      </w:r>
      <w:r>
        <w:rPr>
          <w:rFonts w:hint="eastAsia" w:ascii="仿宋_GB2312" w:hAnsi="华文仿宋" w:eastAsia="仿宋_GB2312" w:cs="华文仿宋"/>
          <w:color w:val="000000"/>
          <w:sz w:val="30"/>
          <w:szCs w:val="30"/>
        </w:rPr>
        <w:t>二是严格按</w:t>
      </w:r>
      <w:r>
        <w:rPr>
          <w:rFonts w:hint="eastAsia" w:ascii="仿宋_GB2312" w:hAnsi="华文仿宋" w:eastAsia="仿宋_GB2312" w:cs="华文仿宋"/>
          <w:color w:val="000000"/>
          <w:sz w:val="30"/>
          <w:szCs w:val="30"/>
          <w:lang w:eastAsia="zh-CN"/>
        </w:rPr>
        <w:t>照</w:t>
      </w:r>
      <w:r>
        <w:rPr>
          <w:rFonts w:hint="eastAsia" w:ascii="仿宋_GB2312" w:hAnsi="华文仿宋" w:eastAsia="仿宋_GB2312" w:cs="华文仿宋"/>
          <w:color w:val="000000"/>
          <w:sz w:val="30"/>
          <w:szCs w:val="30"/>
        </w:rPr>
        <w:t>合同支付工程进度款，支付进度款前，我中心组织监理、施工三方到项目现场对该阶段完成工程量和工程资料进行确认，</w:t>
      </w:r>
      <w:r>
        <w:rPr>
          <w:rFonts w:hint="eastAsia" w:ascii="仿宋_GB2312" w:hAnsi="华文仿宋" w:eastAsia="仿宋_GB2312" w:cs="华文仿宋"/>
          <w:color w:val="000000"/>
          <w:sz w:val="30"/>
          <w:szCs w:val="30"/>
          <w:lang w:eastAsia="zh-CN"/>
        </w:rPr>
        <w:t>根据</w:t>
      </w:r>
      <w:r>
        <w:rPr>
          <w:rFonts w:hint="eastAsia" w:ascii="仿宋_GB2312" w:hAnsi="华文仿宋" w:eastAsia="仿宋_GB2312" w:cs="华文仿宋"/>
          <w:color w:val="000000"/>
          <w:sz w:val="30"/>
          <w:szCs w:val="30"/>
        </w:rPr>
        <w:t>预算单价和完成工程量确定工程进度款，由项目业主代表、总监办理进度款确认手续。</w:t>
      </w:r>
      <w:r>
        <w:rPr>
          <w:rFonts w:hint="eastAsia" w:ascii="仿宋_GB2312" w:hAnsi="华文仿宋" w:eastAsia="仿宋_GB2312" w:cs="华文仿宋"/>
          <w:color w:val="000000"/>
          <w:sz w:val="30"/>
          <w:szCs w:val="30"/>
          <w:lang w:eastAsia="zh-CN"/>
        </w:rPr>
        <w:t>三是严格执行政府会计准则制度，落实请拨款制度，严密监督资金拨付情况，保证项目资金合理规范支出。</w:t>
      </w:r>
    </w:p>
    <w:p>
      <w:pPr>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三</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总体目标完成</w:t>
      </w:r>
      <w:r>
        <w:rPr>
          <w:rFonts w:hint="eastAsia" w:asciiTheme="minorEastAsia" w:hAnsiTheme="minorEastAsia" w:eastAsiaTheme="minorEastAsia" w:cstheme="minorEastAsia"/>
          <w:b/>
          <w:sz w:val="30"/>
          <w:szCs w:val="30"/>
        </w:rPr>
        <w:t>情况分析</w:t>
      </w:r>
    </w:p>
    <w:p>
      <w:pPr>
        <w:pStyle w:val="2"/>
        <w:spacing w:line="240" w:lineRule="auto"/>
        <w:ind w:firstLine="640"/>
        <w:rPr>
          <w:rFonts w:asciiTheme="minorEastAsia" w:hAnsiTheme="minorEastAsia" w:eastAsiaTheme="minorEastAsia" w:cstheme="minorEastAsia"/>
          <w:szCs w:val="32"/>
        </w:rPr>
      </w:pPr>
      <w:r>
        <w:rPr>
          <w:rFonts w:hint="eastAsia" w:ascii="仿宋_GB2312" w:hAnsi="华文仿宋" w:eastAsia="仿宋_GB2312" w:cs="华文仿宋"/>
          <w:color w:val="000000"/>
          <w:kern w:val="2"/>
          <w:sz w:val="30"/>
          <w:szCs w:val="30"/>
          <w:lang w:val="en-US" w:eastAsia="zh-CN" w:bidi="ar-SA"/>
        </w:rPr>
        <w:t>琼海市博鳌镇大灵湖区域土地开发整理项目基本按批准规划设计任务完成实施，通过自验，工程质量符合设计要求，竣工资料编制完整。通过实施净新增耕地面积27.9422公顷，均为水田，平均质量等别为6.0等。项目建设成效主要体现在以下方面：一是通过土地平整以及将未利用地开发整理为耕地，建设为标准化条田，增加了耕地面积，提高了耕地等级和土地节约集约利用水平；二是通过灌溉与排水设施建设，提高了项目区内的农田水利化程度，提高了耕地的单产水平和高产稳产能力，增强了农田防洪除涝能力和农业发展的后劲；三是通过田间道路工程建设，使项目区的基础设施更加完善，推动了项目区内现代农业的发展；四是通过农田防护工程的建设，增强了项目区内农业的抗灾防灾能力，在保护农作物的同时还优化了区域的生态环境，改善了区域生态小气候，提高了项目区内的生态环境承载能力；五是通过项目建设，增加了就业机会，降低了农业成产成本，改善了农民的生产生活水平。综合来看，高标准农田项目建设具有显著的经济效益、社会效益和生态效益。</w:t>
      </w:r>
    </w:p>
    <w:p>
      <w:pPr>
        <w:rPr>
          <w:rFonts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四</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绩效指标完成</w:t>
      </w:r>
      <w:r>
        <w:rPr>
          <w:rFonts w:hint="eastAsia" w:asciiTheme="minorEastAsia" w:hAnsiTheme="minorEastAsia" w:eastAsiaTheme="minorEastAsia" w:cstheme="minorEastAsia"/>
          <w:b/>
          <w:sz w:val="30"/>
          <w:szCs w:val="30"/>
        </w:rPr>
        <w:t>情况分析</w:t>
      </w:r>
    </w:p>
    <w:p>
      <w:pPr>
        <w:ind w:firstLine="600" w:firstLineChars="200"/>
        <w:rPr>
          <w:rFonts w:hint="eastAsia" w:ascii="仿宋_GB2312" w:hAnsi="华文仿宋" w:eastAsia="楷体" w:cs="华文仿宋"/>
          <w:color w:val="000000"/>
          <w:kern w:val="2"/>
          <w:sz w:val="30"/>
          <w:szCs w:val="30"/>
          <w:lang w:val="en-US" w:eastAsia="zh-CN" w:bidi="ar-SA"/>
        </w:rPr>
      </w:pPr>
      <w:r>
        <w:rPr>
          <w:rFonts w:hint="eastAsia" w:ascii="仿宋_GB2312" w:hAnsi="华文仿宋" w:eastAsia="仿宋_GB2312" w:cs="华文仿宋"/>
          <w:color w:val="000000"/>
          <w:sz w:val="30"/>
          <w:szCs w:val="30"/>
          <w:lang w:eastAsia="zh-CN"/>
        </w:rPr>
        <w:t>新增耕地指标</w:t>
      </w:r>
      <w:r>
        <w:rPr>
          <w:rFonts w:hint="eastAsia" w:ascii="仿宋_GB2312" w:hAnsi="华文仿宋" w:eastAsia="仿宋_GB2312" w:cs="华文仿宋"/>
          <w:color w:val="000000"/>
          <w:sz w:val="30"/>
          <w:szCs w:val="30"/>
          <w:lang w:val="en-US" w:eastAsia="zh-CN"/>
        </w:rPr>
        <w:t>＝415.96亩</w:t>
      </w:r>
      <w:r>
        <w:rPr>
          <w:rFonts w:hint="eastAsia" w:ascii="仿宋_GB2312" w:hAnsi="华文仿宋" w:eastAsia="仿宋_GB2312" w:cs="华文仿宋"/>
          <w:color w:val="000000"/>
          <w:sz w:val="30"/>
          <w:szCs w:val="30"/>
          <w:lang w:eastAsia="zh-CN"/>
        </w:rPr>
        <w:t>，竣工验收通过率</w:t>
      </w:r>
      <w:r>
        <w:rPr>
          <w:rFonts w:hint="eastAsia" w:ascii="仿宋_GB2312" w:hAnsi="华文仿宋" w:eastAsia="仿宋_GB2312" w:cs="华文仿宋"/>
          <w:color w:val="000000"/>
          <w:sz w:val="30"/>
          <w:szCs w:val="30"/>
          <w:lang w:val="en-US" w:eastAsia="zh-CN"/>
        </w:rPr>
        <w:t>＝100%</w:t>
      </w:r>
      <w:r>
        <w:rPr>
          <w:rFonts w:hint="eastAsia" w:ascii="仿宋_GB2312" w:hAnsi="华文仿宋" w:eastAsia="仿宋_GB2312" w:cs="华文仿宋"/>
          <w:color w:val="000000"/>
          <w:sz w:val="30"/>
          <w:szCs w:val="30"/>
          <w:lang w:eastAsia="zh-CN"/>
        </w:rPr>
        <w:t>，项目综合利用率≥</w:t>
      </w:r>
      <w:r>
        <w:rPr>
          <w:rFonts w:hint="eastAsia" w:ascii="仿宋_GB2312" w:hAnsi="华文仿宋" w:eastAsia="仿宋_GB2312" w:cs="华文仿宋"/>
          <w:color w:val="000000"/>
          <w:sz w:val="30"/>
          <w:szCs w:val="30"/>
          <w:lang w:val="en-US" w:eastAsia="zh-CN"/>
        </w:rPr>
        <w:t>90%，项目建设成本1914.07万元＜2074.88万元</w:t>
      </w:r>
      <w:r>
        <w:rPr>
          <w:rFonts w:hint="eastAsia" w:ascii="仿宋_GB2312" w:hAnsi="华文仿宋" w:eastAsia="仿宋_GB2312" w:cs="华文仿宋"/>
          <w:color w:val="000000"/>
          <w:sz w:val="30"/>
          <w:szCs w:val="30"/>
          <w:lang w:eastAsia="zh-CN"/>
        </w:rPr>
        <w:t>。</w:t>
      </w:r>
    </w:p>
    <w:p>
      <w:pPr>
        <w:rPr>
          <w:rFonts w:hint="eastAsia" w:asciiTheme="minorEastAsia" w:hAnsiTheme="minorEastAsia" w:eastAsiaTheme="minorEastAsia" w:cstheme="minorEastAsia"/>
          <w:b/>
          <w:sz w:val="30"/>
          <w:szCs w:val="30"/>
          <w:lang w:eastAsia="zh-CN"/>
        </w:rPr>
      </w:pPr>
      <w:r>
        <w:rPr>
          <w:rFonts w:hint="eastAsia" w:asciiTheme="minorEastAsia" w:hAnsiTheme="minorEastAsia" w:eastAsiaTheme="minorEastAsia" w:cstheme="minorEastAsia"/>
          <w:b/>
          <w:sz w:val="30"/>
          <w:szCs w:val="30"/>
          <w:lang w:eastAsia="zh-CN"/>
        </w:rPr>
        <w:t>四</w:t>
      </w:r>
      <w:r>
        <w:rPr>
          <w:rFonts w:hint="eastAsia" w:asciiTheme="minorEastAsia" w:hAnsiTheme="minorEastAsia" w:eastAsiaTheme="minorEastAsia" w:cstheme="minorEastAsia"/>
          <w:b/>
          <w:sz w:val="30"/>
          <w:szCs w:val="30"/>
        </w:rPr>
        <w:t>、</w:t>
      </w:r>
      <w:r>
        <w:rPr>
          <w:rFonts w:hint="eastAsia" w:asciiTheme="minorEastAsia" w:hAnsiTheme="minorEastAsia" w:eastAsiaTheme="minorEastAsia" w:cstheme="minorEastAsia"/>
          <w:b/>
          <w:sz w:val="30"/>
          <w:szCs w:val="30"/>
          <w:lang w:eastAsia="zh-CN"/>
        </w:rPr>
        <w:t>发现问题和改进措施</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（一）加强前期工作的管理，设计单位应多到现场了解情况，测量单位要提高成果质量</w:t>
      </w:r>
      <w:r>
        <w:rPr>
          <w:rFonts w:hint="eastAsia" w:hAnsi="华文仿宋" w:cs="华文仿宋"/>
          <w:color w:val="000000"/>
          <w:kern w:val="2"/>
          <w:sz w:val="30"/>
          <w:szCs w:val="30"/>
          <w:lang w:val="en-US" w:eastAsia="zh-CN" w:bidi="ar-SA"/>
        </w:rPr>
        <w:t>，</w:t>
      </w:r>
      <w:r>
        <w:rPr>
          <w:rFonts w:hint="eastAsia" w:ascii="仿宋_GB2312" w:hAnsi="华文仿宋" w:eastAsia="仿宋_GB2312" w:cs="华文仿宋"/>
          <w:color w:val="000000"/>
          <w:kern w:val="2"/>
          <w:sz w:val="30"/>
          <w:szCs w:val="30"/>
          <w:lang w:val="en-US" w:eastAsia="zh-CN" w:bidi="ar-SA"/>
        </w:rPr>
        <w:t>适当加入青苗及地上附着物补偿预算，以减少工程实施过程中的各种变更及人为因素的影响。</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（二）严格监管工程施工进度</w:t>
      </w:r>
      <w:r>
        <w:rPr>
          <w:rFonts w:hint="eastAsia" w:hAnsi="华文仿宋" w:cs="华文仿宋"/>
          <w:color w:val="000000"/>
          <w:kern w:val="2"/>
          <w:sz w:val="30"/>
          <w:szCs w:val="30"/>
          <w:lang w:val="en-US" w:eastAsia="zh-CN" w:bidi="ar-SA"/>
        </w:rPr>
        <w:t>以</w:t>
      </w:r>
      <w:r>
        <w:rPr>
          <w:rFonts w:hint="eastAsia" w:ascii="仿宋_GB2312" w:hAnsi="华文仿宋" w:eastAsia="仿宋_GB2312" w:cs="华文仿宋"/>
          <w:color w:val="000000"/>
          <w:kern w:val="2"/>
          <w:sz w:val="30"/>
          <w:szCs w:val="30"/>
          <w:lang w:val="en-US" w:eastAsia="zh-CN" w:bidi="ar-SA"/>
        </w:rPr>
        <w:t>及资料完善情况，定期进行检查，对资料不完善的不报请工程进度款并要求及时完善资料。</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hAnsi="华文仿宋"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（三）建议对申报的有关工程变更部分，及时组织有关人员进行设计变更，办理变更手续</w:t>
      </w:r>
      <w:r>
        <w:rPr>
          <w:rFonts w:hint="eastAsia" w:hAnsi="华文仿宋" w:cs="华文仿宋"/>
          <w:color w:val="000000"/>
          <w:kern w:val="2"/>
          <w:sz w:val="30"/>
          <w:szCs w:val="30"/>
          <w:lang w:val="en-US" w:eastAsia="zh-CN" w:bidi="ar-SA"/>
        </w:rPr>
        <w:t>，</w:t>
      </w:r>
      <w:r>
        <w:rPr>
          <w:rFonts w:hint="eastAsia" w:ascii="仿宋_GB2312" w:hAnsi="华文仿宋" w:eastAsia="仿宋_GB2312" w:cs="华文仿宋"/>
          <w:color w:val="000000"/>
          <w:kern w:val="2"/>
          <w:sz w:val="30"/>
          <w:szCs w:val="30"/>
          <w:lang w:val="en-US" w:eastAsia="zh-CN" w:bidi="ar-SA"/>
        </w:rPr>
        <w:t>便于项目按期完成</w:t>
      </w:r>
      <w:r>
        <w:rPr>
          <w:rFonts w:hint="eastAsia" w:hAnsi="华文仿宋" w:cs="华文仿宋"/>
          <w:color w:val="000000"/>
          <w:kern w:val="2"/>
          <w:sz w:val="30"/>
          <w:szCs w:val="30"/>
          <w:lang w:val="en-US" w:eastAsia="zh-CN" w:bidi="ar-SA"/>
        </w:rPr>
        <w:t>。</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w:t>
      </w:r>
      <w:r>
        <w:rPr>
          <w:rFonts w:hint="eastAsia" w:hAnsi="华文仿宋" w:cs="华文仿宋"/>
          <w:color w:val="000000"/>
          <w:kern w:val="2"/>
          <w:sz w:val="30"/>
          <w:szCs w:val="30"/>
          <w:lang w:val="en-US" w:eastAsia="zh-CN" w:bidi="ar-SA"/>
        </w:rPr>
        <w:t>四</w:t>
      </w:r>
      <w:r>
        <w:rPr>
          <w:rFonts w:hint="eastAsia" w:ascii="仿宋_GB2312" w:hAnsi="华文仿宋" w:eastAsia="仿宋_GB2312" w:cs="华文仿宋"/>
          <w:color w:val="000000"/>
          <w:kern w:val="2"/>
          <w:sz w:val="30"/>
          <w:szCs w:val="30"/>
          <w:lang w:val="en-US" w:eastAsia="zh-CN" w:bidi="ar-SA"/>
        </w:rPr>
        <w:t>）对申请进行验收的工程项目，建议尽快组织</w:t>
      </w:r>
      <w:r>
        <w:rPr>
          <w:rFonts w:hint="eastAsia" w:hAnsi="华文仿宋" w:cs="华文仿宋"/>
          <w:color w:val="000000"/>
          <w:kern w:val="2"/>
          <w:sz w:val="30"/>
          <w:szCs w:val="30"/>
          <w:lang w:val="en-US" w:eastAsia="zh-CN" w:bidi="ar-SA"/>
        </w:rPr>
        <w:t>开展</w:t>
      </w:r>
      <w:r>
        <w:rPr>
          <w:rFonts w:hint="eastAsia" w:ascii="仿宋_GB2312" w:hAnsi="华文仿宋" w:eastAsia="仿宋_GB2312" w:cs="华文仿宋"/>
          <w:color w:val="000000"/>
          <w:kern w:val="2"/>
          <w:sz w:val="30"/>
          <w:szCs w:val="30"/>
          <w:lang w:val="en-US" w:eastAsia="zh-CN" w:bidi="ar-SA"/>
        </w:rPr>
        <w:t>验收，减少项目因时间问题</w:t>
      </w:r>
      <w:r>
        <w:rPr>
          <w:rFonts w:hint="eastAsia" w:hAnsi="华文仿宋" w:cs="华文仿宋"/>
          <w:color w:val="000000"/>
          <w:kern w:val="2"/>
          <w:sz w:val="30"/>
          <w:szCs w:val="30"/>
          <w:lang w:val="en-US" w:eastAsia="zh-CN" w:bidi="ar-SA"/>
        </w:rPr>
        <w:t>，</w:t>
      </w:r>
      <w:r>
        <w:rPr>
          <w:rFonts w:hint="eastAsia" w:ascii="仿宋_GB2312" w:hAnsi="华文仿宋" w:eastAsia="仿宋_GB2312" w:cs="华文仿宋"/>
          <w:color w:val="000000"/>
          <w:kern w:val="2"/>
          <w:sz w:val="30"/>
          <w:szCs w:val="30"/>
          <w:lang w:val="en-US" w:eastAsia="zh-CN" w:bidi="ar-SA"/>
        </w:rPr>
        <w:t>受人为、气候环境影响造成的损失。</w:t>
      </w:r>
    </w:p>
    <w:p>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eastAsia="zh-CN"/>
        </w:rPr>
        <w:t>五、绩效自评结果公开情况</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绩效自评报告及时公开在政府网站上，接受社会监督。</w:t>
      </w:r>
    </w:p>
    <w:p>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eastAsia="zh-CN"/>
        </w:rPr>
        <w:t>六、绩效自评工作开展情况</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ascii="仿宋_GB2312" w:hAnsi="华文仿宋" w:eastAsia="仿宋_GB2312" w:cs="华文仿宋"/>
          <w:color w:val="000000"/>
          <w:kern w:val="2"/>
          <w:sz w:val="30"/>
          <w:szCs w:val="30"/>
          <w:lang w:val="en-US" w:eastAsia="zh-CN" w:bidi="ar-SA"/>
        </w:rPr>
      </w:pPr>
      <w:r>
        <w:rPr>
          <w:rFonts w:hint="eastAsia" w:ascii="仿宋_GB2312" w:hAnsi="华文仿宋" w:eastAsia="仿宋_GB2312" w:cs="华文仿宋"/>
          <w:color w:val="000000"/>
          <w:kern w:val="2"/>
          <w:sz w:val="30"/>
          <w:szCs w:val="30"/>
          <w:lang w:val="en-US" w:eastAsia="zh-CN" w:bidi="ar-SA"/>
        </w:rPr>
        <w:t>严格按照琼海市财政预算绩效管理</w:t>
      </w:r>
      <w:r>
        <w:rPr>
          <w:rFonts w:hint="eastAsia" w:hAnsi="华文仿宋" w:cs="华文仿宋"/>
          <w:color w:val="000000"/>
          <w:kern w:val="2"/>
          <w:sz w:val="30"/>
          <w:szCs w:val="30"/>
          <w:lang w:val="en-US" w:eastAsia="zh-CN" w:bidi="ar-SA"/>
        </w:rPr>
        <w:t>工作</w:t>
      </w:r>
      <w:r>
        <w:rPr>
          <w:rFonts w:hint="eastAsia" w:ascii="仿宋_GB2312" w:hAnsi="华文仿宋" w:eastAsia="仿宋_GB2312" w:cs="华文仿宋"/>
          <w:color w:val="000000"/>
          <w:kern w:val="2"/>
          <w:sz w:val="30"/>
          <w:szCs w:val="30"/>
          <w:lang w:val="en-US" w:eastAsia="zh-CN" w:bidi="ar-SA"/>
        </w:rPr>
        <w:t>要求，一是目标管理规范化，建立以绩效目标为导向的预算编制机制，开展项目事前绩效评估和绩效目标指标管理，全面覆盖部门整体支出、单位及政策项目，明确产出指标（数量、质量、时效）和效益指标（经济效益、社会效益、</w:t>
      </w:r>
      <w:r>
        <w:rPr>
          <w:rFonts w:hint="eastAsia" w:hAnsi="华文仿宋" w:cs="华文仿宋"/>
          <w:color w:val="000000"/>
          <w:kern w:val="2"/>
          <w:sz w:val="30"/>
          <w:szCs w:val="30"/>
          <w:lang w:val="en-US" w:eastAsia="zh-CN" w:bidi="ar-SA"/>
        </w:rPr>
        <w:t>生态效益、</w:t>
      </w:r>
      <w:r>
        <w:rPr>
          <w:rFonts w:hint="eastAsia" w:ascii="仿宋_GB2312" w:hAnsi="华文仿宋" w:eastAsia="仿宋_GB2312" w:cs="华文仿宋"/>
          <w:color w:val="000000"/>
          <w:kern w:val="2"/>
          <w:sz w:val="30"/>
          <w:szCs w:val="30"/>
          <w:lang w:val="en-US" w:eastAsia="zh-CN" w:bidi="ar-SA"/>
        </w:rPr>
        <w:t>可持续</w:t>
      </w:r>
      <w:r>
        <w:rPr>
          <w:rFonts w:hint="eastAsia" w:hAnsi="华文仿宋" w:cs="华文仿宋"/>
          <w:color w:val="000000"/>
          <w:kern w:val="2"/>
          <w:sz w:val="30"/>
          <w:szCs w:val="30"/>
          <w:lang w:val="en-US" w:eastAsia="zh-CN" w:bidi="ar-SA"/>
        </w:rPr>
        <w:t>影响</w:t>
      </w:r>
      <w:r>
        <w:rPr>
          <w:rFonts w:hint="eastAsia" w:ascii="仿宋_GB2312" w:hAnsi="华文仿宋" w:eastAsia="仿宋_GB2312" w:cs="华文仿宋"/>
          <w:color w:val="000000"/>
          <w:kern w:val="2"/>
          <w:sz w:val="30"/>
          <w:szCs w:val="30"/>
          <w:lang w:val="en-US" w:eastAsia="zh-CN" w:bidi="ar-SA"/>
        </w:rPr>
        <w:t>）</w:t>
      </w:r>
      <w:r>
        <w:rPr>
          <w:rFonts w:hint="eastAsia" w:hAnsi="华文仿宋" w:cs="华文仿宋"/>
          <w:color w:val="000000"/>
          <w:kern w:val="2"/>
          <w:sz w:val="30"/>
          <w:szCs w:val="30"/>
          <w:lang w:val="en-US" w:eastAsia="zh-CN" w:bidi="ar-SA"/>
        </w:rPr>
        <w:t>等</w:t>
      </w:r>
      <w:r>
        <w:rPr>
          <w:rFonts w:hint="eastAsia" w:ascii="仿宋_GB2312" w:hAnsi="华文仿宋" w:eastAsia="仿宋_GB2312" w:cs="华文仿宋"/>
          <w:color w:val="000000"/>
          <w:kern w:val="2"/>
          <w:sz w:val="30"/>
          <w:szCs w:val="30"/>
          <w:lang w:val="en-US" w:eastAsia="zh-CN" w:bidi="ar-SA"/>
        </w:rPr>
        <w:t>；二是过程监控体系化，预算执行过程中，开展项目绩效运行监控，对项目执行情况进行分析，动态追踪目标完成情况；三是结果应用导向化，年度预算完成后，开展项目绩效自评工作，评价项目整体绩效情况。</w:t>
      </w:r>
      <w:r>
        <w:rPr>
          <w:rFonts w:hint="eastAsia" w:ascii="仿宋_GB2312" w:hAnsi="华文仿宋" w:eastAsia="仿宋_GB2312" w:cs="华文仿宋"/>
          <w:color w:val="000000"/>
          <w:kern w:val="2"/>
          <w:sz w:val="30"/>
          <w:szCs w:val="30"/>
          <w:lang w:val="zh-CN" w:eastAsia="zh-CN" w:bidi="ar-SA"/>
        </w:rPr>
        <w:t>建立有效的项目支出绩效评价机制：一是制定年度项目支出绩效评价工作计划，定期公布项目支出情况，督促项目管理责任人抓好项目实施进度；二是建立重点项目的追踪问效机制，加强项目资金的管控，有效促进财政性资金使用发挥最大效益。</w:t>
      </w:r>
    </w:p>
    <w:p>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七、其他需要说明的问题</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hAnsi="华文仿宋" w:cs="华文仿宋"/>
          <w:color w:val="000000"/>
          <w:kern w:val="2"/>
          <w:sz w:val="30"/>
          <w:szCs w:val="30"/>
          <w:lang w:val="en-US" w:eastAsia="zh-CN" w:bidi="ar-SA"/>
        </w:rPr>
      </w:pPr>
      <w:r>
        <w:rPr>
          <w:rFonts w:hint="eastAsia" w:hAnsi="华文仿宋" w:cs="华文仿宋"/>
          <w:color w:val="000000"/>
          <w:kern w:val="2"/>
          <w:sz w:val="30"/>
          <w:szCs w:val="30"/>
          <w:lang w:val="en-US" w:eastAsia="zh-CN" w:bidi="ar-SA"/>
        </w:rPr>
        <w:t>无</w:t>
      </w:r>
    </w:p>
    <w:p>
      <w:pPr>
        <w:rPr>
          <w:rFonts w:hint="eastAsia" w:asciiTheme="minorEastAsia" w:hAnsiTheme="minorEastAsia" w:eastAsiaTheme="minorEastAsia" w:cstheme="minorEastAsia"/>
          <w:b/>
          <w:sz w:val="30"/>
          <w:szCs w:val="30"/>
          <w:lang w:val="en-US" w:eastAsia="zh-CN"/>
        </w:rPr>
      </w:pPr>
      <w:r>
        <w:rPr>
          <w:rFonts w:hint="eastAsia" w:asciiTheme="minorEastAsia" w:hAnsiTheme="minorEastAsia" w:eastAsiaTheme="minorEastAsia" w:cstheme="minorEastAsia"/>
          <w:b/>
          <w:sz w:val="30"/>
          <w:szCs w:val="30"/>
          <w:lang w:val="en-US" w:eastAsia="zh-CN"/>
        </w:rPr>
        <w:t>八、附件</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textAlignment w:val="auto"/>
        <w:rPr>
          <w:rFonts w:hint="eastAsia" w:hAnsi="华文仿宋" w:cs="华文仿宋"/>
          <w:color w:val="000000"/>
          <w:kern w:val="2"/>
          <w:sz w:val="30"/>
          <w:szCs w:val="30"/>
          <w:lang w:val="en-US" w:eastAsia="zh-CN" w:bidi="ar-SA"/>
        </w:rPr>
      </w:pPr>
      <w:r>
        <w:rPr>
          <w:rFonts w:hint="eastAsia" w:hAnsi="华文仿宋" w:cs="华文仿宋"/>
          <w:color w:val="000000"/>
          <w:kern w:val="2"/>
          <w:sz w:val="30"/>
          <w:szCs w:val="30"/>
          <w:lang w:val="en-US" w:eastAsia="zh-CN" w:bidi="ar-SA"/>
        </w:rPr>
        <w:t>《项目支出绩效自评表》</w:t>
      </w:r>
    </w:p>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Theme="minorEastAsia" w:hAnsiTheme="minorEastAsia" w:eastAsiaTheme="minorEastAsia" w:cstheme="minorEastAsia"/>
          <w:b/>
          <w:sz w:val="30"/>
          <w:szCs w:val="30"/>
          <w:lang w:val="en-US" w:eastAsia="zh-CN"/>
        </w:rPr>
      </w:pPr>
    </w:p>
    <w:p>
      <w:pPr>
        <w:pStyle w:val="2"/>
        <w:spacing w:line="240" w:lineRule="auto"/>
        <w:ind w:firstLine="643"/>
        <w:jc w:val="both"/>
        <w:rPr>
          <w:rFonts w:hint="eastAsia" w:ascii="仿宋_GB2312" w:hAnsi="华文仿宋" w:eastAsia="仿宋_GB2312" w:cs="华文仿宋"/>
          <w:color w:val="000000"/>
          <w:kern w:val="2"/>
          <w:sz w:val="30"/>
          <w:szCs w:val="30"/>
          <w:lang w:val="en-US" w:eastAsia="zh-CN" w:bidi="ar-SA"/>
        </w:rPr>
        <w:sectPr>
          <w:headerReference r:id="rId5" w:type="first"/>
          <w:footerReference r:id="rId8" w:type="first"/>
          <w:headerReference r:id="rId3" w:type="default"/>
          <w:footerReference r:id="rId6" w:type="default"/>
          <w:headerReference r:id="rId4" w:type="even"/>
          <w:footerReference r:id="rId7" w:type="even"/>
          <w:pgSz w:w="11906" w:h="16838"/>
          <w:pgMar w:top="1531" w:right="1746" w:bottom="1531" w:left="1746" w:header="851" w:footer="992" w:gutter="0"/>
          <w:pgBorders w:offsetFrom="page">
            <w:top w:val="none" w:sz="0" w:space="0"/>
            <w:left w:val="none" w:sz="0" w:space="0"/>
            <w:bottom w:val="none" w:sz="0" w:space="0"/>
            <w:right w:val="none" w:sz="0" w:space="0"/>
          </w:pgBorders>
          <w:pgNumType w:fmt="numberInDash"/>
          <w:cols w:space="0" w:num="1"/>
          <w:rtlGutter w:val="0"/>
          <w:docGrid w:type="lines" w:linePitch="312" w:charSpace="0"/>
        </w:sectPr>
      </w:pPr>
    </w:p>
    <w:tbl>
      <w:tblPr>
        <w:tblStyle w:val="5"/>
        <w:tblW w:w="151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81"/>
        <w:gridCol w:w="2114"/>
        <w:gridCol w:w="1880"/>
        <w:gridCol w:w="460"/>
        <w:gridCol w:w="820"/>
        <w:gridCol w:w="1160"/>
        <w:gridCol w:w="780"/>
        <w:gridCol w:w="1160"/>
        <w:gridCol w:w="1410"/>
        <w:gridCol w:w="1108"/>
        <w:gridCol w:w="1108"/>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88" w:hRule="atLeast"/>
          <w:jc w:val="center"/>
        </w:trPr>
        <w:tc>
          <w:tcPr>
            <w:tcW w:w="15153" w:type="dxa"/>
            <w:gridSpan w:val="1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60" w:lineRule="exact"/>
              <w:ind w:left="0" w:right="0"/>
              <w:jc w:val="center"/>
              <w:textAlignment w:val="center"/>
              <w:rPr>
                <w:rFonts w:hint="default" w:ascii="等线" w:hAnsi="等线" w:eastAsia="等线" w:cs="等线"/>
                <w:b/>
                <w:bCs/>
                <w:i w:val="0"/>
                <w:iCs w:val="0"/>
                <w:color w:val="000000"/>
                <w:sz w:val="40"/>
                <w:szCs w:val="40"/>
                <w:u w:val="none"/>
              </w:rPr>
            </w:pPr>
            <w:r>
              <w:rPr>
                <w:rFonts w:hint="default" w:ascii="等线" w:hAnsi="等线" w:eastAsia="等线" w:cs="等线"/>
                <w:b/>
                <w:bCs/>
                <w:i w:val="0"/>
                <w:iCs w:val="0"/>
                <w:color w:val="000000"/>
                <w:kern w:val="0"/>
                <w:sz w:val="40"/>
                <w:szCs w:val="40"/>
                <w:u w:val="none"/>
                <w:lang w:val="en-US" w:eastAsia="zh-CN" w:bidi="ar"/>
              </w:rPr>
              <w:t>项目支出绩效自评表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138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项目名称:</w:t>
            </w:r>
          </w:p>
        </w:tc>
        <w:tc>
          <w:tcPr>
            <w:tcW w:w="4454"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46900221T000000110145-琼海市博鳌镇大灵湖区域土地开发整理项目</w:t>
            </w:r>
          </w:p>
        </w:tc>
        <w:tc>
          <w:tcPr>
            <w:tcW w:w="198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填报人:</w:t>
            </w:r>
          </w:p>
        </w:tc>
        <w:tc>
          <w:tcPr>
            <w:tcW w:w="194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吴慧_QH</w:t>
            </w:r>
          </w:p>
        </w:tc>
        <w:tc>
          <w:tcPr>
            <w:tcW w:w="14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联系方式:</w:t>
            </w:r>
          </w:p>
        </w:tc>
        <w:tc>
          <w:tcPr>
            <w:tcW w:w="3988"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0898-62811911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138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主管部门:</w:t>
            </w:r>
          </w:p>
        </w:tc>
        <w:tc>
          <w:tcPr>
            <w:tcW w:w="4454"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121-琼海市自然资源和规划局</w:t>
            </w:r>
          </w:p>
        </w:tc>
        <w:tc>
          <w:tcPr>
            <w:tcW w:w="198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实施单位:</w:t>
            </w:r>
          </w:p>
        </w:tc>
        <w:tc>
          <w:tcPr>
            <w:tcW w:w="7338" w:type="dxa"/>
            <w:gridSpan w:val="6"/>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121018-琼海市土地储备整理交易中心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3495"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资金构成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18"/>
                <w:szCs w:val="18"/>
                <w:u w:val="none"/>
                <w:lang w:val="en-US" w:eastAsia="zh-CN" w:bidi="ar"/>
              </w:rPr>
              <w:t>（元）</w:t>
            </w:r>
          </w:p>
        </w:tc>
        <w:tc>
          <w:tcPr>
            <w:tcW w:w="18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年初预算数</w:t>
            </w:r>
          </w:p>
        </w:tc>
        <w:tc>
          <w:tcPr>
            <w:tcW w:w="244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全年预算数</w:t>
            </w:r>
          </w:p>
        </w:tc>
        <w:tc>
          <w:tcPr>
            <w:tcW w:w="3350" w:type="dxa"/>
            <w:gridSpan w:val="3"/>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执行数</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分值</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执行率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18"/>
                <w:szCs w:val="18"/>
                <w:u w:val="none"/>
                <w:lang w:val="en-US" w:eastAsia="zh-CN" w:bidi="ar"/>
              </w:rPr>
              <w:t>（%）</w:t>
            </w:r>
          </w:p>
        </w:tc>
        <w:tc>
          <w:tcPr>
            <w:tcW w:w="17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495"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资金总额：</w:t>
            </w:r>
          </w:p>
        </w:tc>
        <w:tc>
          <w:tcPr>
            <w:tcW w:w="18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1,550,000.00</w:t>
            </w:r>
          </w:p>
        </w:tc>
        <w:tc>
          <w:tcPr>
            <w:tcW w:w="244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1,550,000.00</w:t>
            </w:r>
          </w:p>
        </w:tc>
        <w:tc>
          <w:tcPr>
            <w:tcW w:w="3350" w:type="dxa"/>
            <w:gridSpan w:val="3"/>
            <w:tcBorders>
              <w:tl2br w:val="nil"/>
              <w:tr2bl w:val="nil"/>
            </w:tcBorders>
            <w:shd w:val="clear" w:color="auto" w:fill="auto"/>
            <w:vAlign w:val="center"/>
          </w:tcPr>
          <w:p>
            <w:pPr>
              <w:keepNext w:val="0"/>
              <w:keepLines w:val="0"/>
              <w:suppressLineNumbers w:val="0"/>
              <w:spacing w:before="0" w:beforeAutospacing="0" w:after="0" w:afterAutospacing="0"/>
              <w:ind w:left="0" w:right="0"/>
              <w:jc w:val="right"/>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17.81</w:t>
            </w:r>
          </w:p>
        </w:tc>
        <w:tc>
          <w:tcPr>
            <w:tcW w:w="1108"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 xml:space="preserve">10.00 </w:t>
            </w:r>
          </w:p>
        </w:tc>
        <w:tc>
          <w:tcPr>
            <w:tcW w:w="1108"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right"/>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0</w:t>
            </w:r>
          </w:p>
        </w:tc>
        <w:tc>
          <w:tcPr>
            <w:tcW w:w="177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495"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其中：财政资金：</w:t>
            </w:r>
          </w:p>
        </w:tc>
        <w:tc>
          <w:tcPr>
            <w:tcW w:w="18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1,550,000.00</w:t>
            </w:r>
          </w:p>
        </w:tc>
        <w:tc>
          <w:tcPr>
            <w:tcW w:w="244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1,550,000.00</w:t>
            </w:r>
          </w:p>
        </w:tc>
        <w:tc>
          <w:tcPr>
            <w:tcW w:w="335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17.81</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c>
          <w:tcPr>
            <w:tcW w:w="1108"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right"/>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0</w:t>
            </w:r>
          </w:p>
        </w:tc>
        <w:tc>
          <w:tcPr>
            <w:tcW w:w="17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495"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财政专户管理资金：</w:t>
            </w:r>
          </w:p>
        </w:tc>
        <w:tc>
          <w:tcPr>
            <w:tcW w:w="18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0.00</w:t>
            </w:r>
          </w:p>
        </w:tc>
        <w:tc>
          <w:tcPr>
            <w:tcW w:w="244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0.00</w:t>
            </w:r>
          </w:p>
        </w:tc>
        <w:tc>
          <w:tcPr>
            <w:tcW w:w="335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c>
          <w:tcPr>
            <w:tcW w:w="1108"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right"/>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0</w:t>
            </w:r>
          </w:p>
        </w:tc>
        <w:tc>
          <w:tcPr>
            <w:tcW w:w="17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3495"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单位资金：</w:t>
            </w:r>
          </w:p>
        </w:tc>
        <w:tc>
          <w:tcPr>
            <w:tcW w:w="18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0.00</w:t>
            </w:r>
          </w:p>
        </w:tc>
        <w:tc>
          <w:tcPr>
            <w:tcW w:w="244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0.00</w:t>
            </w:r>
          </w:p>
        </w:tc>
        <w:tc>
          <w:tcPr>
            <w:tcW w:w="3350"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0</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c>
          <w:tcPr>
            <w:tcW w:w="1108"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right"/>
              <w:rPr>
                <w:rFonts w:hint="eastAsia" w:ascii="等线" w:hAnsi="等线" w:eastAsia="等线" w:cs="等线"/>
                <w:i w:val="0"/>
                <w:iCs w:val="0"/>
                <w:color w:val="000000"/>
                <w:sz w:val="22"/>
                <w:szCs w:val="22"/>
                <w:u w:val="none"/>
                <w:lang w:val="en-US" w:eastAsia="zh-CN"/>
              </w:rPr>
            </w:pPr>
            <w:r>
              <w:rPr>
                <w:rFonts w:hint="eastAsia" w:ascii="等线" w:hAnsi="等线" w:eastAsia="等线" w:cs="等线"/>
                <w:i w:val="0"/>
                <w:iCs w:val="0"/>
                <w:color w:val="000000"/>
                <w:sz w:val="22"/>
                <w:szCs w:val="22"/>
                <w:u w:val="none"/>
                <w:lang w:val="en-US" w:eastAsia="zh-CN"/>
              </w:rPr>
              <w:t>0</w:t>
            </w:r>
          </w:p>
        </w:tc>
        <w:tc>
          <w:tcPr>
            <w:tcW w:w="17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right"/>
              <w:textAlignment w:val="center"/>
              <w:rPr>
                <w:rFonts w:hint="default"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815" w:type="dxa"/>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年度目标</w:t>
            </w:r>
          </w:p>
        </w:tc>
        <w:tc>
          <w:tcPr>
            <w:tcW w:w="7338" w:type="dxa"/>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年度目标完成情况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4" w:hRule="atLeast"/>
          <w:jc w:val="center"/>
        </w:trPr>
        <w:tc>
          <w:tcPr>
            <w:tcW w:w="7815" w:type="dxa"/>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等线" w:hAnsi="等线" w:eastAsia="等线" w:cs="等线"/>
                <w:i w:val="0"/>
                <w:iCs w:val="0"/>
                <w:color w:val="000000"/>
                <w:kern w:val="0"/>
                <w:sz w:val="16"/>
                <w:szCs w:val="16"/>
                <w:u w:val="none"/>
                <w:lang w:val="en-US" w:eastAsia="zh-CN" w:bidi="ar"/>
              </w:rPr>
            </w:pPr>
            <w:r>
              <w:rPr>
                <w:rFonts w:hint="default" w:ascii="等线" w:hAnsi="等线" w:eastAsia="等线" w:cs="等线"/>
                <w:i w:val="0"/>
                <w:iCs w:val="0"/>
                <w:color w:val="000000"/>
                <w:kern w:val="0"/>
                <w:sz w:val="16"/>
                <w:szCs w:val="16"/>
                <w:u w:val="none"/>
                <w:lang w:val="en-US" w:eastAsia="zh-CN" w:bidi="ar"/>
              </w:rPr>
              <w:t>琼海市博鳌镇大灵湖区域土地开发整理项目建设主要内容包括土地平整、农田水利和田间道路工程等。通过对农用地的平整、改良，可以将原先的园地、未利用地等改造成水田和旱地等；围绕新增水田和旱地，配套建设排水和灌溉设施，保证新增水田、旱地的种植条件；同时，配套建设田间道路设施，满足群众生产生活的需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琼海市博鳌镇大灵湖区域土地开发整理项目按批准设计任务完成实施并通过检验，有效改善项目区生产条件，提高耕地质量，降低农业生产成本，提升项目区农业结构调整和耕地保护，对促进农业增效、农民增收具有重大意义。</w:t>
            </w:r>
          </w:p>
        </w:tc>
        <w:tc>
          <w:tcPr>
            <w:tcW w:w="7338" w:type="dxa"/>
            <w:gridSpan w:val="6"/>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等线" w:hAnsi="等线" w:eastAsia="等线" w:cs="等线"/>
                <w:i w:val="0"/>
                <w:iCs w:val="0"/>
                <w:color w:val="000000"/>
                <w:kern w:val="0"/>
                <w:sz w:val="16"/>
                <w:szCs w:val="16"/>
                <w:u w:val="none"/>
                <w:lang w:val="en-US" w:eastAsia="zh-CN" w:bidi="ar"/>
              </w:rPr>
            </w:pPr>
            <w:r>
              <w:rPr>
                <w:rFonts w:hint="default" w:ascii="等线" w:hAnsi="等线" w:eastAsia="等线" w:cs="等线"/>
                <w:i w:val="0"/>
                <w:iCs w:val="0"/>
                <w:color w:val="000000"/>
                <w:kern w:val="0"/>
                <w:sz w:val="16"/>
                <w:szCs w:val="16"/>
                <w:u w:val="none"/>
                <w:lang w:val="en-US" w:eastAsia="zh-CN" w:bidi="ar"/>
              </w:rPr>
              <w:t>琼海市博鳌镇大灵湖区域土地开发整理项目建设主要内容包括土地平整、农田水利和田间道路工程等。通过对农用地的平整、改良，可以将原先的园地、未利用地等改造成水田和旱地等；围绕新增水田和旱地，配套建设排水和灌溉设施，保证新增水田、旱地的种植条件；同时，配套建设田间道路设施，满足群众生产生活的需要。</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both"/>
              <w:textAlignment w:val="center"/>
              <w:rPr>
                <w:rFonts w:hint="default" w:ascii="等线" w:hAnsi="等线" w:eastAsia="等线" w:cs="等线"/>
                <w:i w:val="0"/>
                <w:iCs w:val="0"/>
                <w:color w:val="000000"/>
                <w:sz w:val="16"/>
                <w:szCs w:val="16"/>
                <w:u w:val="none"/>
              </w:rPr>
            </w:pPr>
            <w:r>
              <w:rPr>
                <w:rFonts w:hint="default" w:ascii="等线" w:hAnsi="等线" w:eastAsia="等线" w:cs="等线"/>
                <w:i w:val="0"/>
                <w:iCs w:val="0"/>
                <w:color w:val="000000"/>
                <w:kern w:val="0"/>
                <w:sz w:val="16"/>
                <w:szCs w:val="16"/>
                <w:u w:val="none"/>
                <w:lang w:val="en-US" w:eastAsia="zh-CN" w:bidi="ar"/>
              </w:rPr>
              <w:t>琼海市博鳌镇大灵湖区域土地开发整理项目按批准设计任务完成实施并通过检验，有效改善项目区生产条件，提高耕地质量，降低农业生产成本，提升项目区农业结构调整和耕地保护，对促进农业增效、农民增收具有重大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381"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一级指标</w:t>
            </w:r>
          </w:p>
        </w:tc>
        <w:tc>
          <w:tcPr>
            <w:tcW w:w="2114"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二级指标</w:t>
            </w:r>
          </w:p>
        </w:tc>
        <w:tc>
          <w:tcPr>
            <w:tcW w:w="2340" w:type="dxa"/>
            <w:gridSpan w:val="2"/>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三级指标</w:t>
            </w:r>
          </w:p>
        </w:tc>
        <w:tc>
          <w:tcPr>
            <w:tcW w:w="82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指标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性质</w:t>
            </w:r>
          </w:p>
        </w:tc>
        <w:tc>
          <w:tcPr>
            <w:tcW w:w="1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年度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指标值</w:t>
            </w:r>
          </w:p>
        </w:tc>
        <w:tc>
          <w:tcPr>
            <w:tcW w:w="78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度量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单位</w:t>
            </w:r>
          </w:p>
        </w:tc>
        <w:tc>
          <w:tcPr>
            <w:tcW w:w="116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实际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完成值</w:t>
            </w:r>
          </w:p>
        </w:tc>
        <w:tc>
          <w:tcPr>
            <w:tcW w:w="1410"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完成率</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分值</w:t>
            </w:r>
          </w:p>
        </w:tc>
        <w:tc>
          <w:tcPr>
            <w:tcW w:w="1108"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得分</w:t>
            </w:r>
          </w:p>
        </w:tc>
        <w:tc>
          <w:tcPr>
            <w:tcW w:w="1772" w:type="dxa"/>
            <w:tcBorders>
              <w:tl2br w:val="nil"/>
              <w:tr2bl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kern w:val="0"/>
                <w:sz w:val="24"/>
                <w:szCs w:val="24"/>
                <w:u w:val="none"/>
                <w:lang w:val="en-US" w:eastAsia="zh-CN" w:bidi="ar"/>
              </w:rPr>
            </w:pPr>
            <w:r>
              <w:rPr>
                <w:rFonts w:hint="default" w:ascii="等线" w:hAnsi="等线" w:eastAsia="等线" w:cs="等线"/>
                <w:b/>
                <w:bCs/>
                <w:i w:val="0"/>
                <w:iCs w:val="0"/>
                <w:color w:val="000000"/>
                <w:kern w:val="0"/>
                <w:sz w:val="24"/>
                <w:szCs w:val="24"/>
                <w:u w:val="none"/>
                <w:lang w:val="en-US" w:eastAsia="zh-CN" w:bidi="ar"/>
              </w:rPr>
              <w:t>未完成</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60" w:lineRule="exact"/>
              <w:ind w:left="0" w:right="0"/>
              <w:jc w:val="center"/>
              <w:textAlignment w:val="center"/>
              <w:rPr>
                <w:rFonts w:hint="default" w:ascii="等线" w:hAnsi="等线" w:eastAsia="等线" w:cs="等线"/>
                <w:b/>
                <w:bCs/>
                <w:i w:val="0"/>
                <w:iCs w:val="0"/>
                <w:color w:val="000000"/>
                <w:sz w:val="24"/>
                <w:szCs w:val="24"/>
                <w:u w:val="none"/>
              </w:rPr>
            </w:pPr>
            <w:r>
              <w:rPr>
                <w:rFonts w:hint="default" w:ascii="等线" w:hAnsi="等线" w:eastAsia="等线" w:cs="等线"/>
                <w:b/>
                <w:bCs/>
                <w:i w:val="0"/>
                <w:iCs w:val="0"/>
                <w:color w:val="000000"/>
                <w:kern w:val="0"/>
                <w:sz w:val="24"/>
                <w:szCs w:val="24"/>
                <w:u w:val="none"/>
                <w:lang w:val="en-US" w:eastAsia="zh-CN" w:bidi="ar"/>
              </w:rPr>
              <w:t>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8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产出指标</w:t>
            </w:r>
          </w:p>
        </w:tc>
        <w:tc>
          <w:tcPr>
            <w:tcW w:w="211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数量指标</w:t>
            </w:r>
          </w:p>
        </w:tc>
        <w:tc>
          <w:tcPr>
            <w:tcW w:w="234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新增耕地指标</w:t>
            </w:r>
          </w:p>
        </w:tc>
        <w:tc>
          <w:tcPr>
            <w:tcW w:w="82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415.96</w:t>
            </w:r>
          </w:p>
        </w:tc>
        <w:tc>
          <w:tcPr>
            <w:tcW w:w="7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亩</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415.96</w:t>
            </w:r>
          </w:p>
        </w:tc>
        <w:tc>
          <w:tcPr>
            <w:tcW w:w="14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100.00%</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20.00</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c>
          <w:tcPr>
            <w:tcW w:w="17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8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产出指标</w:t>
            </w:r>
          </w:p>
        </w:tc>
        <w:tc>
          <w:tcPr>
            <w:tcW w:w="211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质量指标</w:t>
            </w:r>
          </w:p>
        </w:tc>
        <w:tc>
          <w:tcPr>
            <w:tcW w:w="234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竣工验收通过率</w:t>
            </w:r>
          </w:p>
        </w:tc>
        <w:tc>
          <w:tcPr>
            <w:tcW w:w="82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w:t>
            </w:r>
          </w:p>
        </w:tc>
        <w:tc>
          <w:tcPr>
            <w:tcW w:w="7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w:t>
            </w:r>
          </w:p>
        </w:tc>
        <w:tc>
          <w:tcPr>
            <w:tcW w:w="14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100.00%</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20.00</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c>
          <w:tcPr>
            <w:tcW w:w="177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8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效益指标</w:t>
            </w:r>
          </w:p>
        </w:tc>
        <w:tc>
          <w:tcPr>
            <w:tcW w:w="211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社会效益指标</w:t>
            </w:r>
          </w:p>
        </w:tc>
        <w:tc>
          <w:tcPr>
            <w:tcW w:w="234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项目综合利用率</w:t>
            </w:r>
          </w:p>
        </w:tc>
        <w:tc>
          <w:tcPr>
            <w:tcW w:w="82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90</w:t>
            </w:r>
          </w:p>
        </w:tc>
        <w:tc>
          <w:tcPr>
            <w:tcW w:w="7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93</w:t>
            </w:r>
          </w:p>
        </w:tc>
        <w:tc>
          <w:tcPr>
            <w:tcW w:w="14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100.00%</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30.00</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30</w:t>
            </w:r>
          </w:p>
        </w:tc>
        <w:tc>
          <w:tcPr>
            <w:tcW w:w="177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38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成本指标</w:t>
            </w:r>
          </w:p>
        </w:tc>
        <w:tc>
          <w:tcPr>
            <w:tcW w:w="2114"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经济成本指标</w:t>
            </w:r>
          </w:p>
        </w:tc>
        <w:tc>
          <w:tcPr>
            <w:tcW w:w="2340"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项目建设成本</w:t>
            </w:r>
          </w:p>
        </w:tc>
        <w:tc>
          <w:tcPr>
            <w:tcW w:w="82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2074.88</w:t>
            </w:r>
          </w:p>
        </w:tc>
        <w:tc>
          <w:tcPr>
            <w:tcW w:w="78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万元</w:t>
            </w:r>
          </w:p>
        </w:tc>
        <w:tc>
          <w:tcPr>
            <w:tcW w:w="116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1914.07</w:t>
            </w:r>
          </w:p>
        </w:tc>
        <w:tc>
          <w:tcPr>
            <w:tcW w:w="1410"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100.00%</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20.00</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20</w:t>
            </w:r>
          </w:p>
        </w:tc>
        <w:tc>
          <w:tcPr>
            <w:tcW w:w="1772"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14"/>
                <w:szCs w:val="1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1165" w:type="dxa"/>
            <w:gridSpan w:val="9"/>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合   计</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100.00</w:t>
            </w:r>
          </w:p>
        </w:tc>
        <w:tc>
          <w:tcPr>
            <w:tcW w:w="1108"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r>
              <w:rPr>
                <w:rFonts w:hint="default" w:ascii="等线" w:hAnsi="等线" w:eastAsia="等线" w:cs="等线"/>
                <w:i w:val="0"/>
                <w:iCs w:val="0"/>
                <w:color w:val="000000"/>
                <w:kern w:val="0"/>
                <w:sz w:val="22"/>
                <w:szCs w:val="22"/>
                <w:u w:val="none"/>
                <w:lang w:val="en-US" w:eastAsia="zh-CN" w:bidi="ar"/>
              </w:rPr>
              <w:t>90</w:t>
            </w:r>
          </w:p>
        </w:tc>
        <w:tc>
          <w:tcPr>
            <w:tcW w:w="1772" w:type="dxa"/>
            <w:tcBorders>
              <w:tl2br w:val="nil"/>
              <w:tr2bl w:val="nil"/>
            </w:tcBorders>
            <w:shd w:val="clear" w:color="auto" w:fill="auto"/>
            <w:noWrap/>
            <w:vAlign w:val="center"/>
          </w:tcPr>
          <w:p>
            <w:pPr>
              <w:keepNext w:val="0"/>
              <w:keepLines w:val="0"/>
              <w:widowControl/>
              <w:suppressLineNumbers w:val="0"/>
              <w:spacing w:before="0" w:beforeAutospacing="0" w:after="0" w:afterAutospacing="0"/>
              <w:ind w:left="0" w:right="0"/>
              <w:jc w:val="center"/>
              <w:textAlignment w:val="center"/>
              <w:rPr>
                <w:rFonts w:hint="default" w:ascii="等线" w:hAnsi="等线" w:eastAsia="等线" w:cs="等线"/>
                <w:i w:val="0"/>
                <w:iCs w:val="0"/>
                <w:color w:val="000000"/>
                <w:sz w:val="22"/>
                <w:szCs w:val="22"/>
                <w:u w:val="none"/>
              </w:rPr>
            </w:pPr>
          </w:p>
        </w:tc>
      </w:tr>
    </w:tbl>
    <w:p>
      <w:pPr>
        <w:pStyle w:val="2"/>
        <w:keepNext w:val="0"/>
        <w:keepLines w:val="0"/>
        <w:pageBreakBefore w:val="0"/>
        <w:widowControl w:val="0"/>
        <w:kinsoku/>
        <w:wordWrap/>
        <w:overflowPunct/>
        <w:topLinePunct w:val="0"/>
        <w:autoSpaceDE/>
        <w:autoSpaceDN/>
        <w:bidi w:val="0"/>
        <w:adjustRightInd/>
        <w:snapToGrid/>
        <w:spacing w:line="160" w:lineRule="exact"/>
        <w:ind w:firstLine="0"/>
        <w:jc w:val="both"/>
        <w:textAlignment w:val="auto"/>
        <w:rPr>
          <w:rFonts w:hint="eastAsia" w:ascii="仿宋_GB2312" w:hAnsi="华文仿宋" w:eastAsia="仿宋_GB2312" w:cs="华文仿宋"/>
          <w:color w:val="000000"/>
          <w:kern w:val="2"/>
          <w:sz w:val="30"/>
          <w:szCs w:val="30"/>
          <w:lang w:val="en-US" w:eastAsia="zh-CN" w:bidi="ar-SA"/>
        </w:rPr>
      </w:pPr>
    </w:p>
    <w:sectPr>
      <w:footerReference r:id="rId9" w:type="default"/>
      <w:pgSz w:w="16838" w:h="11906" w:orient="landscape"/>
      <w:pgMar w:top="340" w:right="1304" w:bottom="170" w:left="1304" w:header="737" w:footer="340" w:gutter="0"/>
      <w:pgBorders w:offsetFrom="page">
        <w:top w:val="none" w:sz="0" w:space="0"/>
        <w:left w:val="none" w:sz="0" w:space="0"/>
        <w:bottom w:val="none" w:sz="0" w:space="0"/>
        <w:right w:val="none" w:sz="0" w:space="0"/>
      </w:pgBorders>
      <w:pgNumType w:fmt="numberInDash"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hint="eastAsia" w:ascii="仿宋" w:hAnsi="仿宋" w:eastAsia="仿宋" w:cs="仿宋"/>
                        <w:sz w:val="24"/>
                        <w:szCs w:val="24"/>
                      </w:rPr>
                      <w:t>1</w:t>
                    </w:r>
                    <w:r>
                      <w:rPr>
                        <w:rFonts w:hint="eastAsia" w:ascii="仿宋" w:hAnsi="仿宋" w:eastAsia="仿宋" w:cs="仿宋"/>
                        <w:sz w:val="24"/>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isplayBackgroundShape w:val="1"/>
  <w:embedSystemFonts/>
  <w:bordersDoNotSurroundHeader w:val="0"/>
  <w:bordersDoNotSurroundFooter w:val="0"/>
  <w:doNotTrackMoves/>
  <w:attachedTemplate r:id="rId1"/>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wODBmYTc5Mzk4NmFjZDcwOWE2OTVlNjBlZjFmNjAifQ=="/>
  </w:docVars>
  <w:rsids>
    <w:rsidRoot w:val="58104367"/>
    <w:rsid w:val="00212CE9"/>
    <w:rsid w:val="002506AA"/>
    <w:rsid w:val="00281C42"/>
    <w:rsid w:val="003536F6"/>
    <w:rsid w:val="004879C7"/>
    <w:rsid w:val="00650E5B"/>
    <w:rsid w:val="007805F3"/>
    <w:rsid w:val="007A04A6"/>
    <w:rsid w:val="00852739"/>
    <w:rsid w:val="008E7C73"/>
    <w:rsid w:val="0090794E"/>
    <w:rsid w:val="009935B6"/>
    <w:rsid w:val="009F7FEC"/>
    <w:rsid w:val="00A550AC"/>
    <w:rsid w:val="00A60510"/>
    <w:rsid w:val="00A8250F"/>
    <w:rsid w:val="00D22D28"/>
    <w:rsid w:val="00D84D74"/>
    <w:rsid w:val="00D86AD0"/>
    <w:rsid w:val="00E959E5"/>
    <w:rsid w:val="00ED0532"/>
    <w:rsid w:val="00EF405E"/>
    <w:rsid w:val="00F94B73"/>
    <w:rsid w:val="02144EFE"/>
    <w:rsid w:val="07E73CB2"/>
    <w:rsid w:val="08FE60D5"/>
    <w:rsid w:val="0A164E5C"/>
    <w:rsid w:val="0A244C36"/>
    <w:rsid w:val="0A983FAE"/>
    <w:rsid w:val="0C6C279D"/>
    <w:rsid w:val="0E93417A"/>
    <w:rsid w:val="1A1B310D"/>
    <w:rsid w:val="22E23088"/>
    <w:rsid w:val="24091A73"/>
    <w:rsid w:val="2D581254"/>
    <w:rsid w:val="313366CE"/>
    <w:rsid w:val="332B07E2"/>
    <w:rsid w:val="33842402"/>
    <w:rsid w:val="351A2211"/>
    <w:rsid w:val="3E1501EB"/>
    <w:rsid w:val="3F65534E"/>
    <w:rsid w:val="446B27D3"/>
    <w:rsid w:val="455C6D98"/>
    <w:rsid w:val="4B676407"/>
    <w:rsid w:val="4C2A265D"/>
    <w:rsid w:val="4C591F7B"/>
    <w:rsid w:val="576A07E6"/>
    <w:rsid w:val="58104367"/>
    <w:rsid w:val="58AE5EF9"/>
    <w:rsid w:val="5B3D1119"/>
    <w:rsid w:val="5CC82931"/>
    <w:rsid w:val="62AA71DF"/>
    <w:rsid w:val="64A232AA"/>
    <w:rsid w:val="69B45116"/>
    <w:rsid w:val="6A344CAE"/>
    <w:rsid w:val="6D535020"/>
    <w:rsid w:val="6E002293"/>
    <w:rsid w:val="76351DA6"/>
    <w:rsid w:val="773C52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Indent 2"/>
    <w:basedOn w:val="1"/>
    <w:link w:val="8"/>
    <w:autoRedefine/>
    <w:qFormat/>
    <w:uiPriority w:val="99"/>
    <w:pPr>
      <w:spacing w:line="500" w:lineRule="exact"/>
      <w:ind w:firstLine="645"/>
    </w:pPr>
    <w:rPr>
      <w:rFonts w:ascii="仿宋_GB2312" w:eastAsia="仿宋_GB2312"/>
      <w:sz w:val="32"/>
    </w:rPr>
  </w:style>
  <w:style w:type="paragraph" w:styleId="3">
    <w:name w:val="footer"/>
    <w:basedOn w:val="1"/>
    <w:link w:val="11"/>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locked/>
    <w:uiPriority w:val="0"/>
    <w:rPr>
      <w:b/>
    </w:rPr>
  </w:style>
  <w:style w:type="character" w:customStyle="1" w:styleId="8">
    <w:name w:val="正文文本缩进 2 Char"/>
    <w:basedOn w:val="6"/>
    <w:link w:val="2"/>
    <w:autoRedefine/>
    <w:semiHidden/>
    <w:qFormat/>
    <w:uiPriority w:val="99"/>
    <w:rPr>
      <w:rFonts w:ascii="Calibri" w:hAnsi="Calibri" w:cs="Arial"/>
    </w:rPr>
  </w:style>
  <w:style w:type="paragraph" w:styleId="9">
    <w:name w:val="List Paragraph"/>
    <w:basedOn w:val="1"/>
    <w:autoRedefine/>
    <w:qFormat/>
    <w:uiPriority w:val="99"/>
    <w:pPr>
      <w:ind w:firstLine="420" w:firstLineChars="200"/>
    </w:pPr>
  </w:style>
  <w:style w:type="character" w:customStyle="1" w:styleId="10">
    <w:name w:val="页眉 Char"/>
    <w:basedOn w:val="6"/>
    <w:link w:val="4"/>
    <w:autoRedefine/>
    <w:semiHidden/>
    <w:qFormat/>
    <w:uiPriority w:val="99"/>
    <w:rPr>
      <w:rFonts w:ascii="Calibri" w:hAnsi="Calibri" w:cs="Arial"/>
      <w:sz w:val="18"/>
      <w:szCs w:val="18"/>
    </w:rPr>
  </w:style>
  <w:style w:type="character" w:customStyle="1" w:styleId="11">
    <w:name w:val="页脚 Char"/>
    <w:basedOn w:val="6"/>
    <w:link w:val="3"/>
    <w:autoRedefine/>
    <w:semiHidden/>
    <w:qFormat/>
    <w:uiPriority w:val="99"/>
    <w:rPr>
      <w:rFonts w:ascii="Calibri" w:hAnsi="Calibri" w:cs="Arial"/>
      <w:sz w:val="18"/>
      <w:szCs w:val="18"/>
    </w:rPr>
  </w:style>
  <w:style w:type="paragraph" w:customStyle="1" w:styleId="12">
    <w:name w:val="p0"/>
    <w:basedOn w:val="1"/>
    <w:autoRedefine/>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Company>HP</Company>
  <Pages>7</Pages>
  <Words>3009</Words>
  <Characters>3197</Characters>
  <Lines>24</Lines>
  <Paragraphs>7</Paragraphs>
  <TotalTime>42</TotalTime>
  <ScaleCrop>false</ScaleCrop>
  <LinksUpToDate>false</LinksUpToDate>
  <CharactersWithSpaces>3227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2018-07-05T01:24:00Z</dcterms:created>
  <dc:creator>Administrator</dc:creator>
  <cp:lastModifiedBy>Sanny</cp:lastModifiedBy>
  <cp:lastPrinted>2022-08-03T06:58:00Z</cp:lastPrinted>
  <dcterms:modified xsi:type="dcterms:W3CDTF">2025-03-13T03:33:13Z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3244B1EDE15A43A9B1DA61C8E30CE2AF_13</vt:lpwstr>
  </property>
</Properties>
</file>