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84621A">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ˎ̥" w:eastAsia="黑体"/>
          <w:sz w:val="44"/>
          <w:szCs w:val="44"/>
          <w:highlight w:val="none"/>
        </w:rPr>
      </w:pPr>
      <w:r>
        <w:rPr>
          <w:rFonts w:hint="eastAsia" w:ascii="黑体" w:hAnsi="ˎ̥" w:eastAsia="黑体"/>
          <w:sz w:val="44"/>
          <w:szCs w:val="44"/>
          <w:highlight w:val="none"/>
          <w:lang w:val="en-US" w:eastAsia="zh-CN"/>
        </w:rPr>
        <w:t>琼海市渔政事务服务中心</w:t>
      </w:r>
      <w:r>
        <w:rPr>
          <w:rFonts w:hint="eastAsia" w:ascii="黑体" w:hAnsi="ˎ̥" w:eastAsia="黑体"/>
          <w:sz w:val="44"/>
          <w:szCs w:val="44"/>
          <w:highlight w:val="none"/>
        </w:rPr>
        <w:t>202</w:t>
      </w:r>
      <w:r>
        <w:rPr>
          <w:rFonts w:ascii="黑体" w:hAnsi="ˎ̥" w:eastAsia="黑体"/>
          <w:sz w:val="44"/>
          <w:szCs w:val="44"/>
          <w:highlight w:val="none"/>
        </w:rPr>
        <w:t>4</w:t>
      </w:r>
      <w:r>
        <w:rPr>
          <w:rFonts w:hint="eastAsia" w:ascii="黑体" w:hAnsi="ˎ̥" w:eastAsia="黑体"/>
          <w:sz w:val="44"/>
          <w:szCs w:val="44"/>
          <w:highlight w:val="none"/>
        </w:rPr>
        <w:t>年度</w:t>
      </w:r>
    </w:p>
    <w:p w14:paraId="1511F33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ˎ̥" w:eastAsia="黑体"/>
          <w:sz w:val="44"/>
          <w:szCs w:val="44"/>
          <w:highlight w:val="none"/>
        </w:rPr>
      </w:pPr>
      <w:r>
        <w:rPr>
          <w:rFonts w:hint="eastAsia" w:ascii="黑体" w:hAnsi="ˎ̥" w:eastAsia="黑体"/>
          <w:sz w:val="44"/>
          <w:szCs w:val="44"/>
          <w:highlight w:val="none"/>
          <w:lang w:val="en-US" w:eastAsia="zh-CN"/>
        </w:rPr>
        <w:t>单位</w:t>
      </w:r>
      <w:r>
        <w:rPr>
          <w:rFonts w:hint="eastAsia" w:ascii="黑体" w:hAnsi="ˎ̥" w:eastAsia="黑体"/>
          <w:sz w:val="44"/>
          <w:szCs w:val="44"/>
          <w:highlight w:val="none"/>
        </w:rPr>
        <w:t>决算公开</w:t>
      </w:r>
      <w:r>
        <w:rPr>
          <w:rFonts w:ascii="黑体" w:hAnsi="ˎ̥" w:eastAsia="黑体"/>
          <w:sz w:val="44"/>
          <w:szCs w:val="44"/>
          <w:highlight w:val="none"/>
        </w:rPr>
        <w:t>报告</w:t>
      </w:r>
    </w:p>
    <w:p w14:paraId="638D77A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ˎ̥" w:eastAsia="黑体"/>
          <w:b/>
          <w:sz w:val="32"/>
          <w:szCs w:val="32"/>
          <w:highlight w:val="none"/>
        </w:rPr>
      </w:pPr>
    </w:p>
    <w:p w14:paraId="00F0DD8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44"/>
          <w:szCs w:val="44"/>
          <w:highlight w:val="none"/>
        </w:rPr>
      </w:pPr>
      <w:bookmarkStart w:id="0" w:name="_Toc11440_WPSOffice_Type2"/>
      <w:r>
        <w:rPr>
          <w:rFonts w:hint="eastAsia" w:ascii="黑体" w:hAnsi="黑体" w:eastAsia="黑体" w:cs="黑体"/>
          <w:sz w:val="44"/>
          <w:szCs w:val="44"/>
          <w:highlight w:val="none"/>
        </w:rPr>
        <w:t>目  录</w:t>
      </w:r>
    </w:p>
    <w:p w14:paraId="280FAEBE">
      <w:pPr>
        <w:pStyle w:val="6"/>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rFonts w:hint="eastAsia"/>
          <w:sz w:val="32"/>
          <w:szCs w:val="32"/>
          <w:highlight w:val="none"/>
        </w:rPr>
      </w:pPr>
      <w:r>
        <w:rPr>
          <w:sz w:val="32"/>
          <w:szCs w:val="32"/>
          <w:highlight w:val="none"/>
        </w:rPr>
        <w:fldChar w:fldCharType="begin"/>
      </w:r>
      <w:r>
        <w:rPr>
          <w:sz w:val="32"/>
          <w:szCs w:val="32"/>
          <w:highlight w:val="none"/>
        </w:rPr>
        <w:instrText xml:space="preserve"> HYPERLINK \l _Toc1704_WPSOffice_Level1 </w:instrText>
      </w:r>
      <w:r>
        <w:rPr>
          <w:sz w:val="32"/>
          <w:szCs w:val="32"/>
          <w:highlight w:val="none"/>
        </w:rPr>
        <w:fldChar w:fldCharType="separate"/>
      </w:r>
      <w:r>
        <w:rPr>
          <w:rFonts w:hint="eastAsia" w:ascii="黑体" w:hAnsi="ˎ̥" w:eastAsia="黑体"/>
          <w:sz w:val="32"/>
          <w:szCs w:val="32"/>
          <w:highlight w:val="none"/>
        </w:rPr>
        <w:t>第一部分 基本情况</w:t>
      </w:r>
      <w:r>
        <w:rPr>
          <w:sz w:val="32"/>
          <w:szCs w:val="32"/>
          <w:highlight w:val="none"/>
        </w:rPr>
        <w:tab/>
      </w:r>
      <w:r>
        <w:rPr>
          <w:sz w:val="32"/>
          <w:szCs w:val="32"/>
          <w:highlight w:val="none"/>
        </w:rPr>
        <w:fldChar w:fldCharType="end"/>
      </w:r>
      <w:r>
        <w:rPr>
          <w:rFonts w:hint="eastAsia"/>
          <w:sz w:val="32"/>
          <w:szCs w:val="32"/>
          <w:highlight w:val="none"/>
        </w:rPr>
        <w:t>2</w:t>
      </w:r>
    </w:p>
    <w:p w14:paraId="02E5C6C1">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_Toc20274_WPSOffice_Level2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一、</w:t>
      </w:r>
      <w:r>
        <w:rPr>
          <w:rFonts w:hint="default" w:ascii="仿宋" w:hAnsi="仿宋" w:eastAsia="仿宋" w:cs="仿宋"/>
          <w:sz w:val="32"/>
          <w:szCs w:val="32"/>
          <w:highlight w:val="none"/>
          <w:lang w:val="en-US"/>
        </w:rPr>
        <w:t>单位</w:t>
      </w:r>
      <w:r>
        <w:rPr>
          <w:rFonts w:hint="eastAsia" w:ascii="仿宋" w:hAnsi="仿宋" w:eastAsia="仿宋" w:cs="仿宋"/>
          <w:sz w:val="32"/>
          <w:szCs w:val="32"/>
          <w:highlight w:val="none"/>
          <w:lang w:val="en-US" w:eastAsia="zh-CN"/>
        </w:rPr>
        <w:t>单位</w:t>
      </w:r>
      <w:r>
        <w:rPr>
          <w:rFonts w:hint="eastAsia" w:ascii="仿宋" w:hAnsi="仿宋" w:eastAsia="仿宋" w:cs="仿宋"/>
          <w:sz w:val="32"/>
          <w:szCs w:val="32"/>
          <w:highlight w:val="none"/>
        </w:rPr>
        <w:t>职责</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2</w:t>
      </w:r>
    </w:p>
    <w:p w14:paraId="78B09E5D">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_Toc4833_WPSOffice_Level2 </w:instrText>
      </w:r>
      <w:r>
        <w:rPr>
          <w:rFonts w:hint="eastAsia" w:ascii="仿宋" w:hAnsi="仿宋" w:eastAsia="仿宋" w:cs="仿宋"/>
          <w:sz w:val="32"/>
          <w:szCs w:val="32"/>
          <w:highlight w:val="none"/>
        </w:rPr>
        <w:fldChar w:fldCharType="separate"/>
      </w:r>
      <w:r>
        <w:rPr>
          <w:rFonts w:hint="eastAsia" w:ascii="仿宋" w:hAnsi="仿宋" w:eastAsia="仿宋" w:cs="仿宋"/>
          <w:sz w:val="32"/>
          <w:szCs w:val="32"/>
          <w:highlight w:val="none"/>
        </w:rPr>
        <w:t>二、机构设置</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2</w:t>
      </w:r>
    </w:p>
    <w:p w14:paraId="446535A0">
      <w:pPr>
        <w:pStyle w:val="6"/>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rFonts w:hint="eastAsia"/>
          <w:sz w:val="32"/>
          <w:szCs w:val="32"/>
          <w:highlight w:val="none"/>
        </w:rPr>
      </w:pPr>
      <w:r>
        <w:rPr>
          <w:sz w:val="32"/>
          <w:szCs w:val="32"/>
          <w:highlight w:val="none"/>
        </w:rPr>
        <w:fldChar w:fldCharType="begin"/>
      </w:r>
      <w:r>
        <w:rPr>
          <w:sz w:val="32"/>
          <w:szCs w:val="32"/>
          <w:highlight w:val="none"/>
        </w:rPr>
        <w:instrText xml:space="preserve"> HYPERLINK \l _Toc28253_WPSOffice_Level1 </w:instrText>
      </w:r>
      <w:r>
        <w:rPr>
          <w:sz w:val="32"/>
          <w:szCs w:val="32"/>
          <w:highlight w:val="none"/>
        </w:rPr>
        <w:fldChar w:fldCharType="separate"/>
      </w:r>
      <w:r>
        <w:rPr>
          <w:rFonts w:hint="eastAsia" w:ascii="黑体" w:hAnsi="ˎ̥" w:eastAsia="黑体"/>
          <w:sz w:val="32"/>
          <w:szCs w:val="32"/>
          <w:highlight w:val="none"/>
        </w:rPr>
        <w:t>第二部分  202</w:t>
      </w:r>
      <w:r>
        <w:rPr>
          <w:rFonts w:ascii="黑体" w:hAnsi="ˎ̥" w:eastAsia="黑体"/>
          <w:sz w:val="32"/>
          <w:szCs w:val="32"/>
          <w:highlight w:val="none"/>
        </w:rPr>
        <w:t>4</w:t>
      </w:r>
      <w:r>
        <w:rPr>
          <w:rFonts w:hint="eastAsia" w:ascii="黑体" w:hAnsi="ˎ̥" w:eastAsia="黑体"/>
          <w:sz w:val="32"/>
          <w:szCs w:val="32"/>
          <w:highlight w:val="none"/>
        </w:rPr>
        <w:t>年度</w:t>
      </w:r>
      <w:r>
        <w:rPr>
          <w:rFonts w:hint="eastAsia" w:ascii="黑体" w:hAnsi="ˎ̥" w:eastAsia="黑体"/>
          <w:sz w:val="32"/>
          <w:szCs w:val="32"/>
          <w:highlight w:val="none"/>
          <w:lang w:val="en-US" w:eastAsia="zh-CN"/>
        </w:rPr>
        <w:t>单位</w:t>
      </w:r>
      <w:r>
        <w:rPr>
          <w:rFonts w:hint="eastAsia" w:ascii="黑体" w:hAnsi="ˎ̥" w:eastAsia="黑体"/>
          <w:sz w:val="32"/>
          <w:szCs w:val="32"/>
          <w:highlight w:val="none"/>
        </w:rPr>
        <w:t>决算公开表</w:t>
      </w:r>
      <w:r>
        <w:rPr>
          <w:sz w:val="32"/>
          <w:szCs w:val="32"/>
          <w:highlight w:val="none"/>
        </w:rPr>
        <w:tab/>
      </w:r>
      <w:r>
        <w:rPr>
          <w:sz w:val="32"/>
          <w:szCs w:val="32"/>
          <w:highlight w:val="none"/>
        </w:rPr>
        <w:fldChar w:fldCharType="end"/>
      </w:r>
      <w:r>
        <w:rPr>
          <w:rFonts w:hint="eastAsia"/>
          <w:sz w:val="32"/>
          <w:szCs w:val="32"/>
          <w:highlight w:val="none"/>
        </w:rPr>
        <w:t>2</w:t>
      </w:r>
    </w:p>
    <w:p w14:paraId="5C630B56">
      <w:pPr>
        <w:pStyle w:val="6"/>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rFonts w:hint="eastAsia"/>
          <w:sz w:val="32"/>
          <w:szCs w:val="32"/>
          <w:highlight w:val="none"/>
        </w:rPr>
      </w:pPr>
      <w:r>
        <w:rPr>
          <w:sz w:val="32"/>
          <w:szCs w:val="32"/>
          <w:highlight w:val="none"/>
        </w:rPr>
        <w:fldChar w:fldCharType="begin"/>
      </w:r>
      <w:r>
        <w:rPr>
          <w:sz w:val="32"/>
          <w:szCs w:val="32"/>
          <w:highlight w:val="none"/>
        </w:rPr>
        <w:instrText xml:space="preserve"> HYPERLINK \l _Toc27590_WPSOffice_Level1 </w:instrText>
      </w:r>
      <w:r>
        <w:rPr>
          <w:sz w:val="32"/>
          <w:szCs w:val="32"/>
          <w:highlight w:val="none"/>
        </w:rPr>
        <w:fldChar w:fldCharType="separate"/>
      </w:r>
      <w:r>
        <w:rPr>
          <w:rFonts w:hint="eastAsia" w:ascii="黑体" w:hAnsi="黑体" w:eastAsia="黑体" w:cs="黑体"/>
          <w:sz w:val="32"/>
          <w:szCs w:val="32"/>
          <w:highlight w:val="none"/>
        </w:rPr>
        <w:t>第三部分</w:t>
      </w:r>
      <w:r>
        <w:rPr>
          <w:rFonts w:hint="eastAsia"/>
          <w:sz w:val="32"/>
          <w:szCs w:val="32"/>
          <w:highlight w:val="none"/>
        </w:rPr>
        <w:t xml:space="preserve">  </w:t>
      </w:r>
      <w:r>
        <w:rPr>
          <w:rFonts w:hint="eastAsia" w:ascii="黑体" w:hAnsi="ˎ̥" w:eastAsia="黑体"/>
          <w:sz w:val="32"/>
          <w:szCs w:val="32"/>
          <w:highlight w:val="none"/>
        </w:rPr>
        <w:t>202</w:t>
      </w:r>
      <w:r>
        <w:rPr>
          <w:rFonts w:ascii="黑体" w:hAnsi="ˎ̥" w:eastAsia="黑体"/>
          <w:sz w:val="32"/>
          <w:szCs w:val="32"/>
          <w:highlight w:val="none"/>
        </w:rPr>
        <w:t>4</w:t>
      </w:r>
      <w:r>
        <w:rPr>
          <w:rFonts w:hint="eastAsia" w:ascii="黑体" w:hAnsi="ˎ̥" w:eastAsia="黑体"/>
          <w:sz w:val="32"/>
          <w:szCs w:val="32"/>
          <w:highlight w:val="none"/>
        </w:rPr>
        <w:t>年度</w:t>
      </w:r>
      <w:r>
        <w:rPr>
          <w:rFonts w:hint="eastAsia" w:ascii="黑体" w:hAnsi="ˎ̥" w:eastAsia="黑体"/>
          <w:sz w:val="32"/>
          <w:szCs w:val="32"/>
          <w:highlight w:val="none"/>
          <w:lang w:val="en-US" w:eastAsia="zh-CN"/>
        </w:rPr>
        <w:t>单位</w:t>
      </w:r>
      <w:r>
        <w:rPr>
          <w:rFonts w:hint="eastAsia" w:ascii="黑体" w:hAnsi="ˎ̥" w:eastAsia="黑体"/>
          <w:sz w:val="32"/>
          <w:szCs w:val="32"/>
          <w:highlight w:val="none"/>
        </w:rPr>
        <w:t>决算情况说明</w:t>
      </w:r>
      <w:r>
        <w:rPr>
          <w:sz w:val="32"/>
          <w:szCs w:val="32"/>
          <w:highlight w:val="none"/>
        </w:rPr>
        <w:tab/>
      </w:r>
      <w:r>
        <w:rPr>
          <w:sz w:val="32"/>
          <w:szCs w:val="32"/>
          <w:highlight w:val="none"/>
        </w:rPr>
        <w:fldChar w:fldCharType="end"/>
      </w:r>
      <w:r>
        <w:rPr>
          <w:rFonts w:hint="eastAsia"/>
          <w:sz w:val="32"/>
          <w:szCs w:val="32"/>
          <w:highlight w:val="none"/>
        </w:rPr>
        <w:t>3</w:t>
      </w:r>
    </w:p>
    <w:p w14:paraId="50E1CE6F">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_Toc21737_WPSOffice_Level2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一、收入支出总体情况说明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3</w:t>
      </w:r>
    </w:p>
    <w:p w14:paraId="5F35F479">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二、收入决算情况说明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4</w:t>
      </w:r>
    </w:p>
    <w:p w14:paraId="44E28144">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三、支出决算情况说明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4</w:t>
      </w:r>
    </w:p>
    <w:p w14:paraId="025A9911">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四、财政拨款收入支出决算</w:t>
      </w:r>
      <w:r>
        <w:rPr>
          <w:rFonts w:hint="eastAsia" w:ascii="仿宋" w:hAnsi="仿宋" w:eastAsia="仿宋" w:cs="仿宋"/>
          <w:bCs/>
          <w:color w:val="000000"/>
          <w:sz w:val="32"/>
          <w:szCs w:val="32"/>
          <w:highlight w:val="none"/>
          <w:lang w:eastAsia="zh-CN"/>
        </w:rPr>
        <w:t>总体</w:t>
      </w:r>
      <w:r>
        <w:rPr>
          <w:rFonts w:hint="eastAsia" w:ascii="仿宋" w:hAnsi="仿宋" w:eastAsia="仿宋" w:cs="仿宋"/>
          <w:bCs/>
          <w:sz w:val="32"/>
          <w:szCs w:val="32"/>
          <w:highlight w:val="none"/>
        </w:rPr>
        <w:t>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4</w:t>
      </w:r>
      <w:r>
        <w:rPr>
          <w:rFonts w:hint="eastAsia" w:ascii="仿宋" w:hAnsi="仿宋" w:eastAsia="仿宋" w:cs="仿宋"/>
          <w:sz w:val="32"/>
          <w:szCs w:val="32"/>
          <w:highlight w:val="none"/>
          <w:lang w:val="en-US" w:eastAsia="zh-CN"/>
        </w:rPr>
        <w:t xml:space="preserve">                                                                                                                                                                                                                                                                                                                                                                                                                                                                                                                                                                                                                                                                                                                                                                                                                                                                                                                                                                                                                                                                                                                                                                                                                                                                                                                                                                                                                                                                                                                                                                                                                                                                                                                                                                                                                                                                                                                                                                                                                                                </w:t>
      </w:r>
    </w:p>
    <w:p w14:paraId="550EDAC1">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五、一般公共预算财政拨款支出决算情况说明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5</w:t>
      </w:r>
    </w:p>
    <w:p w14:paraId="46059A9D">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六、一般公共预算财政拨款基本支出决算情况说明</w:t>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ab/>
      </w:r>
      <w:r>
        <w:rPr>
          <w:rFonts w:hint="eastAsia" w:ascii="仿宋" w:hAnsi="仿宋" w:eastAsia="仿宋" w:cs="仿宋"/>
          <w:sz w:val="32"/>
          <w:szCs w:val="32"/>
          <w:highlight w:val="none"/>
        </w:rPr>
        <w:t>6</w:t>
      </w:r>
    </w:p>
    <w:p w14:paraId="6AC659AB">
      <w:pPr>
        <w:pStyle w:val="7"/>
        <w:keepNext w:val="0"/>
        <w:keepLines w:val="0"/>
        <w:pageBreakBefore w:val="0"/>
        <w:numPr>
          <w:ilvl w:val="0"/>
          <w:numId w:val="1"/>
        </w:numPr>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政府性基金预算财政拨款支出决算情况说明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t>7</w:t>
      </w:r>
    </w:p>
    <w:p w14:paraId="1D3DC783">
      <w:pPr>
        <w:pStyle w:val="7"/>
        <w:keepNext w:val="0"/>
        <w:keepLines w:val="0"/>
        <w:pageBreakBefore w:val="0"/>
        <w:numPr>
          <w:ilvl w:val="0"/>
          <w:numId w:val="1"/>
        </w:numPr>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国有资本经营预算财政拨款支出决算情况说明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t>8</w:t>
      </w:r>
    </w:p>
    <w:p w14:paraId="35BD03B6">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九、财政拨款“三公”经费支出决算情况说明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9</w:t>
      </w:r>
    </w:p>
    <w:p w14:paraId="04D4A8AD">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\l _Toc19535_WPSOffice_Level2 </w:instrText>
      </w:r>
      <w:r>
        <w:rPr>
          <w:rFonts w:hint="eastAsia" w:ascii="仿宋" w:hAnsi="仿宋" w:eastAsia="仿宋" w:cs="仿宋"/>
          <w:sz w:val="32"/>
          <w:szCs w:val="32"/>
          <w:highlight w:val="none"/>
        </w:rPr>
        <w:fldChar w:fldCharType="separate"/>
      </w:r>
      <w:r>
        <w:rPr>
          <w:rFonts w:hint="eastAsia" w:ascii="仿宋" w:hAnsi="仿宋" w:eastAsia="仿宋" w:cs="仿宋"/>
          <w:bCs/>
          <w:sz w:val="32"/>
          <w:szCs w:val="32"/>
          <w:highlight w:val="none"/>
        </w:rPr>
        <w:t>十、预算绩效情况说明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fldChar w:fldCharType="end"/>
      </w:r>
      <w:r>
        <w:rPr>
          <w:rFonts w:hint="eastAsia" w:ascii="仿宋" w:hAnsi="仿宋" w:eastAsia="仿宋" w:cs="仿宋"/>
          <w:sz w:val="32"/>
          <w:szCs w:val="32"/>
          <w:highlight w:val="none"/>
        </w:rPr>
        <w:t>11</w:t>
      </w:r>
    </w:p>
    <w:p w14:paraId="6775EA31">
      <w:pPr>
        <w:pStyle w:val="7"/>
        <w:keepNext w:val="0"/>
        <w:keepLines w:val="0"/>
        <w:pageBreakBefore w:val="0"/>
        <w:tabs>
          <w:tab w:val="right" w:leader="dot" w:pos="8306"/>
        </w:tabs>
        <w:kinsoku/>
        <w:wordWrap/>
        <w:overflowPunct/>
        <w:topLinePunct w:val="0"/>
        <w:autoSpaceDE/>
        <w:autoSpaceDN/>
        <w:bidi w:val="0"/>
        <w:adjustRightInd/>
        <w:snapToGrid/>
        <w:spacing w:line="520" w:lineRule="exact"/>
        <w:ind w:leftChars="0"/>
        <w:textAlignment w:val="auto"/>
        <w:rPr>
          <w:rFonts w:hint="eastAsia" w:ascii="仿宋" w:hAnsi="仿宋" w:eastAsia="仿宋" w:cs="仿宋"/>
          <w:sz w:val="32"/>
          <w:szCs w:val="32"/>
          <w:highlight w:val="none"/>
        </w:rPr>
      </w:pPr>
      <w:r>
        <w:rPr>
          <w:rFonts w:hint="eastAsia" w:ascii="仿宋" w:hAnsi="仿宋" w:eastAsia="仿宋" w:cs="仿宋"/>
          <w:bCs/>
          <w:sz w:val="32"/>
          <w:szCs w:val="32"/>
          <w:highlight w:val="none"/>
        </w:rPr>
        <w:t>十一、其他重要事项情况说明</w:t>
      </w:r>
      <w:r>
        <w:rPr>
          <w:rFonts w:hint="eastAsia" w:ascii="仿宋" w:hAnsi="仿宋" w:eastAsia="仿宋" w:cs="仿宋"/>
          <w:sz w:val="32"/>
          <w:szCs w:val="32"/>
          <w:highlight w:val="none"/>
        </w:rPr>
        <w:tab/>
      </w:r>
      <w:r>
        <w:rPr>
          <w:rFonts w:hint="eastAsia" w:ascii="仿宋" w:hAnsi="仿宋" w:eastAsia="仿宋" w:cs="仿宋"/>
          <w:sz w:val="32"/>
          <w:szCs w:val="32"/>
          <w:highlight w:val="none"/>
        </w:rPr>
        <w:t>13</w:t>
      </w:r>
    </w:p>
    <w:p w14:paraId="7E92F16F">
      <w:pPr>
        <w:pStyle w:val="6"/>
        <w:keepNext w:val="0"/>
        <w:keepLines w:val="0"/>
        <w:pageBreakBefore w:val="0"/>
        <w:tabs>
          <w:tab w:val="right" w:leader="dot" w:pos="8306"/>
        </w:tabs>
        <w:kinsoku/>
        <w:wordWrap/>
        <w:overflowPunct/>
        <w:topLinePunct w:val="0"/>
        <w:autoSpaceDE/>
        <w:autoSpaceDN/>
        <w:bidi w:val="0"/>
        <w:adjustRightInd/>
        <w:snapToGrid/>
        <w:spacing w:line="520" w:lineRule="exact"/>
        <w:textAlignment w:val="auto"/>
        <w:rPr>
          <w:rFonts w:hint="eastAsia" w:ascii="黑体" w:hAnsi="ˎ̥" w:eastAsia="黑体"/>
          <w:sz w:val="32"/>
          <w:szCs w:val="32"/>
          <w:highlight w:val="none"/>
        </w:rPr>
      </w:pPr>
      <w:r>
        <w:rPr>
          <w:sz w:val="32"/>
          <w:szCs w:val="32"/>
          <w:highlight w:val="none"/>
        </w:rPr>
        <w:fldChar w:fldCharType="begin"/>
      </w:r>
      <w:r>
        <w:rPr>
          <w:sz w:val="32"/>
          <w:szCs w:val="32"/>
          <w:highlight w:val="none"/>
        </w:rPr>
        <w:instrText xml:space="preserve"> HYPERLINK \l _Toc15425_WPSOffice_Level1 </w:instrText>
      </w:r>
      <w:r>
        <w:rPr>
          <w:sz w:val="32"/>
          <w:szCs w:val="32"/>
          <w:highlight w:val="none"/>
        </w:rPr>
        <w:fldChar w:fldCharType="separate"/>
      </w:r>
      <w:r>
        <w:rPr>
          <w:rFonts w:hint="eastAsia" w:ascii="黑体" w:hAnsi="ˎ̥" w:eastAsia="黑体"/>
          <w:sz w:val="32"/>
          <w:szCs w:val="32"/>
          <w:highlight w:val="none"/>
        </w:rPr>
        <w:t>第四部分  名词解释</w:t>
      </w:r>
      <w:r>
        <w:rPr>
          <w:sz w:val="32"/>
          <w:szCs w:val="32"/>
          <w:highlight w:val="none"/>
        </w:rPr>
        <w:tab/>
      </w:r>
      <w:bookmarkStart w:id="1" w:name="_Toc15425_WPSOffice_Level1Page"/>
      <w:r>
        <w:rPr>
          <w:sz w:val="32"/>
          <w:szCs w:val="32"/>
          <w:highlight w:val="none"/>
        </w:rPr>
        <w:t>1</w:t>
      </w:r>
      <w:bookmarkEnd w:id="1"/>
      <w:r>
        <w:rPr>
          <w:sz w:val="32"/>
          <w:szCs w:val="32"/>
          <w:highlight w:val="none"/>
        </w:rPr>
        <w:fldChar w:fldCharType="end"/>
      </w:r>
      <w:bookmarkEnd w:id="0"/>
      <w:r>
        <w:rPr>
          <w:rFonts w:hint="eastAsia"/>
          <w:sz w:val="32"/>
          <w:szCs w:val="32"/>
          <w:highlight w:val="none"/>
        </w:rPr>
        <w:t>5</w:t>
      </w:r>
      <w:bookmarkStart w:id="2" w:name="_Toc10720_WPSOffice_Level1"/>
      <w:bookmarkStart w:id="3" w:name="_Toc22941_WPSOffice_Level1"/>
      <w:bookmarkStart w:id="4" w:name="_Toc1704_WPSOffice_Level1"/>
      <w:bookmarkStart w:id="5" w:name="_Toc23465_WPSOffice_Level1"/>
      <w:bookmarkStart w:id="6" w:name="_Toc10049_WPSOffice_Level1"/>
      <w:bookmarkStart w:id="7" w:name="_Toc32433_WPSOffice_Level1"/>
      <w:bookmarkStart w:id="8" w:name="_Toc32622_WPSOffice_Level2"/>
      <w:bookmarkStart w:id="9" w:name="_Toc20205_WPSOffice_Level2"/>
      <w:bookmarkStart w:id="10" w:name="_Toc26580_WPSOffice_Level2"/>
      <w:bookmarkStart w:id="11" w:name="_Toc20274_WPSOffice_Level2"/>
      <w:bookmarkStart w:id="12" w:name="_Toc14159_WPSOffice_Level2"/>
      <w:r>
        <w:rPr>
          <w:rFonts w:hint="eastAsia" w:ascii="黑体" w:hAnsi="ˎ̥" w:eastAsia="黑体"/>
          <w:sz w:val="32"/>
          <w:szCs w:val="32"/>
          <w:highlight w:val="none"/>
        </w:rPr>
        <w:br w:type="page"/>
      </w:r>
    </w:p>
    <w:p w14:paraId="20811164">
      <w:pPr>
        <w:spacing w:line="578" w:lineRule="exact"/>
        <w:jc w:val="center"/>
        <w:rPr>
          <w:rFonts w:hint="eastAsia" w:ascii="黑体" w:hAnsi="ˎ̥" w:eastAsia="黑体"/>
          <w:sz w:val="32"/>
          <w:szCs w:val="32"/>
          <w:highlight w:val="none"/>
        </w:rPr>
      </w:pPr>
      <w:r>
        <w:rPr>
          <w:rFonts w:hint="eastAsia" w:ascii="黑体" w:hAnsi="ˎ̥" w:eastAsia="黑体"/>
          <w:sz w:val="32"/>
          <w:szCs w:val="32"/>
          <w:highlight w:val="none"/>
        </w:rPr>
        <w:t xml:space="preserve">第一部分  </w:t>
      </w:r>
      <w:bookmarkEnd w:id="2"/>
      <w:bookmarkEnd w:id="3"/>
      <w:bookmarkEnd w:id="4"/>
      <w:bookmarkEnd w:id="5"/>
      <w:bookmarkEnd w:id="6"/>
      <w:bookmarkEnd w:id="7"/>
      <w:r>
        <w:rPr>
          <w:rFonts w:hint="eastAsia" w:ascii="黑体" w:hAnsi="ˎ̥" w:eastAsia="黑体"/>
          <w:sz w:val="32"/>
          <w:szCs w:val="32"/>
          <w:highlight w:val="none"/>
        </w:rPr>
        <w:t>基本情况</w:t>
      </w:r>
    </w:p>
    <w:p w14:paraId="0B6B499A">
      <w:pPr>
        <w:spacing w:line="578" w:lineRule="exact"/>
        <w:ind w:firstLine="0" w:firstLineChars="0"/>
        <w:rPr>
          <w:rFonts w:hint="eastAsia" w:ascii="楷体" w:hAnsi="楷体" w:eastAsia="楷体" w:cs="楷体"/>
          <w:sz w:val="32"/>
          <w:szCs w:val="32"/>
          <w:highlight w:val="none"/>
        </w:rPr>
      </w:pPr>
    </w:p>
    <w:p w14:paraId="04492D30">
      <w:pPr>
        <w:spacing w:line="578"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val="en-US" w:eastAsia="zh-CN"/>
        </w:rPr>
        <w:t>单位</w:t>
      </w:r>
      <w:r>
        <w:rPr>
          <w:rFonts w:hint="eastAsia" w:ascii="黑体" w:hAnsi="黑体" w:eastAsia="黑体" w:cs="黑体"/>
          <w:sz w:val="32"/>
          <w:szCs w:val="32"/>
          <w:highlight w:val="none"/>
        </w:rPr>
        <w:t>职责</w:t>
      </w:r>
      <w:bookmarkEnd w:id="8"/>
      <w:bookmarkEnd w:id="9"/>
      <w:bookmarkEnd w:id="10"/>
      <w:bookmarkEnd w:id="11"/>
      <w:bookmarkEnd w:id="12"/>
    </w:p>
    <w:p w14:paraId="576222F0">
      <w:pPr>
        <w:numPr>
          <w:ilvl w:val="0"/>
          <w:numId w:val="0"/>
        </w:numPr>
        <w:spacing w:line="240" w:lineRule="auto"/>
        <w:ind w:firstLine="640" w:firstLineChars="200"/>
        <w:rPr>
          <w:rFonts w:hint="eastAsia" w:ascii="黑体" w:hAnsi="黑体" w:eastAsia="黑体" w:cs="黑体"/>
          <w:sz w:val="32"/>
          <w:szCs w:val="32"/>
          <w:highlight w:val="none"/>
        </w:rPr>
      </w:pPr>
      <w:r>
        <w:rPr>
          <w:rFonts w:hint="eastAsia" w:ascii="仿宋" w:hAnsi="仿宋" w:eastAsia="仿宋" w:cs="楷体"/>
          <w:sz w:val="32"/>
          <w:szCs w:val="32"/>
        </w:rPr>
        <w:t>为渔政管理、渔港管理事务提供辅助性、专业技术性服务工作，负责渔业船舶检验监督管理工作，贯彻执行《渔业法》、《海上交通安全法》等法律法规； 担负全市渔业资源、水生野生动植物保护、伏季休渔、禁渔区、保护区、渔业无线电、渔港安全基础设施、渔业水域污染、海损事故等管理工作； 依法办理全市渔业船船所有权登记、四等职务船员及普通船员考试发证；办理渔业捕捞许可证年审；协助上级船检部门做好大中小型渔船检验管理； 办理渔业船舶进出渔港报备及外国籍船舶进出渔港的引航和检查等事宜； 配合属地政府及上级主管部门对全市渔民、渔船安全生产监督管理；协助处置渔业涉外事件，指导渔业保险工作； 组织渔民参加属地政府及上级主管部门举办的渔业安全生产、捕捞技能等培训工作； 协助参与上级主管部门开展南海维权护渔工作； 承办属地政府及上级主管部门交办的其他工作任务。</w:t>
      </w:r>
    </w:p>
    <w:p w14:paraId="3C8DB48F">
      <w:pPr>
        <w:spacing w:line="578" w:lineRule="exact"/>
        <w:ind w:firstLine="640" w:firstLineChars="200"/>
        <w:rPr>
          <w:rFonts w:hint="eastAsia" w:ascii="黑体" w:hAnsi="黑体" w:eastAsia="黑体" w:cs="黑体"/>
          <w:sz w:val="32"/>
          <w:szCs w:val="32"/>
          <w:highlight w:val="none"/>
        </w:rPr>
      </w:pPr>
      <w:bookmarkStart w:id="13" w:name="_Toc24474_WPSOffice_Level2"/>
      <w:bookmarkStart w:id="14" w:name="_Toc17796_WPSOffice_Level2"/>
      <w:bookmarkStart w:id="15" w:name="_Toc24059_WPSOffice_Level2"/>
      <w:bookmarkStart w:id="16" w:name="_Toc6572_WPSOffice_Level2"/>
      <w:bookmarkStart w:id="17" w:name="_Toc4833_WPSOffice_Level2"/>
      <w:r>
        <w:rPr>
          <w:rFonts w:hint="eastAsia" w:ascii="黑体" w:hAnsi="黑体" w:eastAsia="黑体" w:cs="黑体"/>
          <w:sz w:val="32"/>
          <w:szCs w:val="32"/>
          <w:highlight w:val="none"/>
        </w:rPr>
        <w:t>二、机构设置</w:t>
      </w:r>
      <w:bookmarkEnd w:id="13"/>
      <w:bookmarkEnd w:id="14"/>
      <w:bookmarkEnd w:id="15"/>
      <w:bookmarkEnd w:id="16"/>
      <w:bookmarkEnd w:id="17"/>
    </w:p>
    <w:p w14:paraId="56EB0823">
      <w:pPr>
        <w:spacing w:line="578" w:lineRule="exact"/>
        <w:ind w:firstLine="640" w:firstLineChars="200"/>
        <w:jc w:val="left"/>
        <w:rPr>
          <w:rFonts w:hint="eastAsia" w:ascii="黑体" w:hAnsi="ˎ̥" w:eastAsia="黑体"/>
          <w:sz w:val="32"/>
          <w:szCs w:val="32"/>
          <w:highlight w:val="none"/>
        </w:rPr>
      </w:pPr>
      <w:bookmarkStart w:id="18" w:name="_Toc24421_WPSOffice_Level2"/>
      <w:bookmarkStart w:id="19" w:name="_Toc25738_WPSOffice_Level2"/>
      <w:r>
        <w:rPr>
          <w:rFonts w:hint="eastAsia" w:ascii="仿宋" w:hAnsi="仿宋" w:eastAsia="仿宋" w:cs="仿宋"/>
          <w:sz w:val="32"/>
          <w:szCs w:val="32"/>
          <w:highlight w:val="none"/>
          <w:lang w:val="en-US" w:eastAsia="zh-CN"/>
        </w:rPr>
        <w:t>琼海市渔政事务服务中心无内设机构</w:t>
      </w:r>
      <w:bookmarkEnd w:id="18"/>
      <w:bookmarkEnd w:id="19"/>
      <w:bookmarkStart w:id="20" w:name="_Toc8164_WPSOffice_Level1"/>
      <w:bookmarkStart w:id="21" w:name="_Toc6234_WPSOffice_Level1"/>
      <w:bookmarkStart w:id="22" w:name="_Toc28253_WPSOffice_Level1"/>
      <w:bookmarkStart w:id="23" w:name="_Toc30451_WPSOffice_Level1"/>
      <w:bookmarkStart w:id="24" w:name="_Toc30690_WPSOffice_Level1"/>
      <w:bookmarkStart w:id="25" w:name="_Toc15521_WPSOffice_Level1"/>
      <w:bookmarkStart w:id="26" w:name="_Toc32695_WPSOffice_Level2"/>
      <w:bookmarkStart w:id="27" w:name="_Toc6211_WPSOffice_Level2"/>
      <w:bookmarkStart w:id="28" w:name="_Toc4029_WPSOffice_Level2"/>
      <w:bookmarkStart w:id="29" w:name="_Toc32472_WPSOffice_Level2"/>
      <w:bookmarkStart w:id="30" w:name="_Toc11518_WPSOffice_Level2"/>
      <w:bookmarkStart w:id="31" w:name="_Toc8867_WPSOffice_Level2"/>
    </w:p>
    <w:p w14:paraId="22787C7A">
      <w:pPr>
        <w:spacing w:line="578" w:lineRule="exact"/>
        <w:jc w:val="center"/>
        <w:rPr>
          <w:rFonts w:hint="eastAsia" w:ascii="黑体" w:hAnsi="ˎ̥" w:eastAsia="黑体"/>
          <w:sz w:val="32"/>
          <w:szCs w:val="32"/>
          <w:highlight w:val="none"/>
        </w:rPr>
      </w:pPr>
    </w:p>
    <w:p w14:paraId="0127DE9E">
      <w:pPr>
        <w:spacing w:line="578" w:lineRule="exact"/>
        <w:jc w:val="center"/>
        <w:rPr>
          <w:rFonts w:hint="eastAsia" w:ascii="黑体" w:hAnsi="ˎ̥" w:eastAsia="黑体"/>
          <w:sz w:val="32"/>
          <w:szCs w:val="32"/>
          <w:highlight w:val="none"/>
        </w:rPr>
      </w:pPr>
      <w:r>
        <w:rPr>
          <w:rFonts w:hint="eastAsia" w:ascii="黑体" w:hAnsi="ˎ̥" w:eastAsia="黑体"/>
          <w:sz w:val="32"/>
          <w:szCs w:val="32"/>
          <w:highlight w:val="none"/>
        </w:rPr>
        <w:t>第二部分  202</w:t>
      </w:r>
      <w:r>
        <w:rPr>
          <w:rFonts w:ascii="黑体" w:hAnsi="ˎ̥" w:eastAsia="黑体"/>
          <w:color w:val="000000"/>
          <w:sz w:val="32"/>
          <w:szCs w:val="32"/>
          <w:highlight w:val="none"/>
        </w:rPr>
        <w:t>4</w:t>
      </w:r>
      <w:r>
        <w:rPr>
          <w:rFonts w:hint="eastAsia" w:ascii="黑体" w:hAnsi="ˎ̥" w:eastAsia="黑体"/>
          <w:sz w:val="32"/>
          <w:szCs w:val="32"/>
          <w:highlight w:val="none"/>
        </w:rPr>
        <w:t>年度</w:t>
      </w:r>
      <w:r>
        <w:rPr>
          <w:rFonts w:hint="eastAsia" w:ascii="黑体" w:hAnsi="ˎ̥" w:eastAsia="黑体"/>
          <w:sz w:val="32"/>
          <w:szCs w:val="32"/>
          <w:highlight w:val="none"/>
          <w:lang w:val="en-US" w:eastAsia="zh-CN"/>
        </w:rPr>
        <w:t>单位</w:t>
      </w:r>
      <w:r>
        <w:rPr>
          <w:rFonts w:hint="eastAsia" w:ascii="黑体" w:hAnsi="ˎ̥" w:eastAsia="黑体"/>
          <w:sz w:val="32"/>
          <w:szCs w:val="32"/>
          <w:highlight w:val="none"/>
        </w:rPr>
        <w:t>决算公开报表</w:t>
      </w:r>
      <w:bookmarkEnd w:id="20"/>
      <w:bookmarkEnd w:id="21"/>
      <w:bookmarkEnd w:id="22"/>
      <w:bookmarkEnd w:id="23"/>
      <w:bookmarkEnd w:id="24"/>
      <w:bookmarkEnd w:id="25"/>
    </w:p>
    <w:p w14:paraId="1C5AD7F6">
      <w:pPr>
        <w:spacing w:line="578" w:lineRule="exact"/>
        <w:ind w:firstLine="645"/>
        <w:rPr>
          <w:rFonts w:hint="eastAsia" w:ascii="黑体" w:hAnsi="黑体" w:eastAsia="黑体" w:cs="黑体"/>
          <w:sz w:val="32"/>
          <w:szCs w:val="32"/>
          <w:highlight w:val="none"/>
        </w:rPr>
      </w:pPr>
    </w:p>
    <w:p w14:paraId="6F3BDBC9">
      <w:pPr>
        <w:spacing w:line="578" w:lineRule="exact"/>
        <w:ind w:firstLine="645"/>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一、收入支出决算公开表</w:t>
      </w:r>
      <w:bookmarkEnd w:id="26"/>
      <w:bookmarkEnd w:id="27"/>
      <w:bookmarkEnd w:id="28"/>
      <w:bookmarkEnd w:id="29"/>
      <w:bookmarkEnd w:id="30"/>
      <w:bookmarkEnd w:id="31"/>
    </w:p>
    <w:p w14:paraId="11E0AF88">
      <w:pPr>
        <w:spacing w:line="578" w:lineRule="exact"/>
        <w:ind w:firstLine="645"/>
        <w:rPr>
          <w:rFonts w:hint="eastAsia" w:ascii="黑体" w:hAnsi="黑体" w:eastAsia="黑体" w:cs="黑体"/>
          <w:sz w:val="32"/>
          <w:szCs w:val="32"/>
          <w:highlight w:val="none"/>
        </w:rPr>
      </w:pPr>
      <w:bookmarkStart w:id="32" w:name="_Toc26621_WPSOffice_Level2"/>
      <w:bookmarkStart w:id="33" w:name="_Toc14349_WPSOffice_Level2"/>
      <w:bookmarkStart w:id="34" w:name="_Toc30334_WPSOffice_Level2"/>
      <w:bookmarkStart w:id="35" w:name="_Toc28622_WPSOffice_Level2"/>
      <w:bookmarkStart w:id="36" w:name="_Toc25608_WPSOffice_Level2"/>
      <w:bookmarkStart w:id="37" w:name="_Toc23139_WPSOffice_Level2"/>
      <w:r>
        <w:rPr>
          <w:rFonts w:hint="eastAsia" w:ascii="黑体" w:hAnsi="黑体" w:eastAsia="黑体" w:cs="黑体"/>
          <w:sz w:val="32"/>
          <w:szCs w:val="32"/>
          <w:highlight w:val="none"/>
        </w:rPr>
        <w:t>二、收入决算公开表</w:t>
      </w:r>
      <w:bookmarkEnd w:id="32"/>
      <w:bookmarkEnd w:id="33"/>
      <w:bookmarkEnd w:id="34"/>
      <w:bookmarkEnd w:id="35"/>
      <w:bookmarkEnd w:id="36"/>
      <w:bookmarkEnd w:id="37"/>
      <w:bookmarkStart w:id="38" w:name="_Toc13854_WPSOffice_Level2"/>
      <w:bookmarkStart w:id="39" w:name="_Toc5489_WPSOffice_Level2"/>
      <w:bookmarkStart w:id="40" w:name="_Toc3262_WPSOffice_Level2"/>
      <w:bookmarkStart w:id="41" w:name="_Toc17626_WPSOffice_Level2"/>
      <w:bookmarkStart w:id="42" w:name="_Toc14658_WPSOffice_Level2"/>
      <w:bookmarkStart w:id="43" w:name="_Toc17858_WPSOffice_Level2"/>
    </w:p>
    <w:p w14:paraId="7D576F72">
      <w:pPr>
        <w:spacing w:line="578" w:lineRule="exact"/>
        <w:ind w:firstLine="645"/>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三、支出决算公开表</w:t>
      </w:r>
      <w:bookmarkEnd w:id="38"/>
      <w:bookmarkEnd w:id="39"/>
      <w:bookmarkEnd w:id="40"/>
      <w:bookmarkEnd w:id="41"/>
      <w:bookmarkEnd w:id="42"/>
      <w:bookmarkEnd w:id="43"/>
      <w:bookmarkStart w:id="44" w:name="_Toc4265_WPSOffice_Level2"/>
      <w:bookmarkStart w:id="45" w:name="_Toc7988_WPSOffice_Level2"/>
      <w:bookmarkStart w:id="46" w:name="_Toc23493_WPSOffice_Level2"/>
      <w:bookmarkStart w:id="47" w:name="_Toc21415_WPSOffice_Level2"/>
      <w:bookmarkStart w:id="48" w:name="_Toc23591_WPSOffice_Level2"/>
      <w:bookmarkStart w:id="49" w:name="_Toc13701_WPSOffice_Level2"/>
    </w:p>
    <w:p w14:paraId="25A09524">
      <w:pPr>
        <w:spacing w:line="578" w:lineRule="exact"/>
        <w:ind w:firstLine="645"/>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四、财政拨款收入支出决算公开表</w:t>
      </w:r>
      <w:bookmarkEnd w:id="44"/>
      <w:bookmarkEnd w:id="45"/>
      <w:bookmarkEnd w:id="46"/>
      <w:bookmarkEnd w:id="47"/>
      <w:bookmarkEnd w:id="48"/>
      <w:bookmarkEnd w:id="49"/>
    </w:p>
    <w:p w14:paraId="53B6B18D">
      <w:pPr>
        <w:spacing w:line="578" w:lineRule="exact"/>
        <w:ind w:firstLine="645"/>
        <w:rPr>
          <w:rFonts w:hint="eastAsia" w:ascii="黑体" w:hAnsi="黑体" w:eastAsia="黑体" w:cs="黑体"/>
          <w:sz w:val="32"/>
          <w:szCs w:val="32"/>
          <w:highlight w:val="none"/>
        </w:rPr>
      </w:pPr>
      <w:bookmarkStart w:id="50" w:name="_Toc23829_WPSOffice_Level2"/>
      <w:bookmarkStart w:id="51" w:name="_Toc25166_WPSOffice_Level2"/>
      <w:bookmarkStart w:id="52" w:name="_Toc22783_WPSOffice_Level2"/>
      <w:bookmarkStart w:id="53" w:name="_Toc7879_WPSOffice_Level2"/>
      <w:bookmarkStart w:id="54" w:name="_Toc2158_WPSOffice_Level2"/>
      <w:bookmarkStart w:id="55" w:name="_Toc13516_WPSOffice_Level2"/>
      <w:r>
        <w:rPr>
          <w:rFonts w:hint="eastAsia" w:ascii="黑体" w:hAnsi="黑体" w:eastAsia="黑体" w:cs="黑体"/>
          <w:sz w:val="32"/>
          <w:szCs w:val="32"/>
          <w:highlight w:val="none"/>
        </w:rPr>
        <w:t>五、一般公共预算财政拨款收入支出决算</w:t>
      </w:r>
      <w:bookmarkEnd w:id="50"/>
      <w:bookmarkEnd w:id="51"/>
      <w:bookmarkEnd w:id="52"/>
      <w:bookmarkEnd w:id="53"/>
      <w:r>
        <w:rPr>
          <w:rFonts w:hint="eastAsia" w:ascii="黑体" w:hAnsi="黑体" w:eastAsia="黑体" w:cs="黑体"/>
          <w:sz w:val="32"/>
          <w:szCs w:val="32"/>
          <w:highlight w:val="none"/>
        </w:rPr>
        <w:t>公开表</w:t>
      </w:r>
      <w:bookmarkEnd w:id="54"/>
      <w:bookmarkEnd w:id="55"/>
      <w:bookmarkStart w:id="56" w:name="_Toc5343_WPSOffice_Level2"/>
      <w:bookmarkStart w:id="57" w:name="_Toc17833_WPSOffice_Level2"/>
      <w:bookmarkStart w:id="58" w:name="_Toc25362_WPSOffice_Level2"/>
      <w:bookmarkStart w:id="59" w:name="_Toc8373_WPSOffice_Level2"/>
      <w:bookmarkStart w:id="60" w:name="_Toc17283_WPSOffice_Level2"/>
      <w:bookmarkStart w:id="61" w:name="_Toc2632_WPSOffice_Level2"/>
    </w:p>
    <w:p w14:paraId="7033B78C">
      <w:pPr>
        <w:spacing w:line="578" w:lineRule="exact"/>
        <w:ind w:firstLine="645"/>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w:t>
      </w:r>
      <w:bookmarkEnd w:id="56"/>
      <w:bookmarkEnd w:id="57"/>
      <w:bookmarkEnd w:id="58"/>
      <w:bookmarkEnd w:id="59"/>
      <w:bookmarkEnd w:id="60"/>
      <w:bookmarkEnd w:id="61"/>
      <w:r>
        <w:rPr>
          <w:rFonts w:hint="eastAsia" w:ascii="黑体" w:hAnsi="黑体" w:eastAsia="黑体" w:cs="黑体"/>
          <w:sz w:val="32"/>
          <w:szCs w:val="32"/>
          <w:highlight w:val="none"/>
        </w:rPr>
        <w:t>公开表</w:t>
      </w:r>
    </w:p>
    <w:p w14:paraId="5188F6EC">
      <w:pPr>
        <w:spacing w:line="578" w:lineRule="exact"/>
        <w:ind w:left="1118" w:leftChars="304" w:hanging="480" w:hangingChars="150"/>
        <w:rPr>
          <w:rFonts w:hint="eastAsia" w:ascii="黑体" w:hAnsi="黑体" w:eastAsia="黑体" w:cs="黑体"/>
          <w:sz w:val="32"/>
          <w:szCs w:val="32"/>
          <w:highlight w:val="none"/>
        </w:rPr>
      </w:pPr>
      <w:bookmarkStart w:id="62" w:name="_Toc21310_WPSOffice_Level2"/>
      <w:bookmarkStart w:id="63" w:name="_Toc1533_WPSOffice_Level2"/>
      <w:bookmarkStart w:id="64" w:name="_Toc6020_WPSOffice_Level2"/>
      <w:bookmarkStart w:id="65" w:name="_Toc11799_WPSOffice_Level2"/>
      <w:bookmarkStart w:id="66" w:name="_Toc5594_WPSOffice_Level2"/>
      <w:bookmarkStart w:id="67" w:name="_Toc13345_WPSOffice_Level2"/>
      <w:r>
        <w:rPr>
          <w:rFonts w:hint="eastAsia" w:ascii="黑体" w:hAnsi="黑体" w:eastAsia="黑体" w:cs="黑体"/>
          <w:sz w:val="32"/>
          <w:szCs w:val="32"/>
          <w:highlight w:val="none"/>
        </w:rPr>
        <w:t>七、政府性基金预算财政拨款收入支出决算</w:t>
      </w:r>
      <w:bookmarkEnd w:id="62"/>
      <w:bookmarkEnd w:id="63"/>
      <w:bookmarkEnd w:id="64"/>
      <w:bookmarkEnd w:id="65"/>
      <w:bookmarkEnd w:id="66"/>
      <w:bookmarkEnd w:id="67"/>
      <w:r>
        <w:rPr>
          <w:rFonts w:hint="eastAsia" w:ascii="黑体" w:hAnsi="黑体" w:eastAsia="黑体" w:cs="黑体"/>
          <w:sz w:val="32"/>
          <w:szCs w:val="32"/>
          <w:highlight w:val="none"/>
        </w:rPr>
        <w:t>公开表</w:t>
      </w:r>
    </w:p>
    <w:p w14:paraId="387D4DFA">
      <w:pPr>
        <w:spacing w:line="578" w:lineRule="exact"/>
        <w:ind w:left="1118" w:leftChars="304" w:hanging="480" w:hangingChars="150"/>
        <w:rPr>
          <w:rFonts w:hint="eastAsia" w:ascii="黑体" w:hAnsi="黑体" w:eastAsia="黑体" w:cs="黑体"/>
          <w:sz w:val="32"/>
          <w:szCs w:val="32"/>
          <w:highlight w:val="none"/>
        </w:rPr>
      </w:pPr>
      <w:r>
        <w:rPr>
          <w:rFonts w:hint="eastAsia" w:ascii="黑体" w:hAnsi="黑体" w:eastAsia="黑体" w:cs="黑体"/>
          <w:sz w:val="32"/>
          <w:szCs w:val="32"/>
          <w:highlight w:val="none"/>
        </w:rPr>
        <w:t>八、国有资本经营预算财政拨款收入支出决算公开表</w:t>
      </w:r>
    </w:p>
    <w:p w14:paraId="0E58B851">
      <w:pPr>
        <w:spacing w:line="578" w:lineRule="exact"/>
        <w:ind w:firstLine="640"/>
        <w:rPr>
          <w:rFonts w:hint="eastAsia" w:ascii="黑体" w:hAnsi="黑体" w:eastAsia="黑体" w:cs="黑体"/>
          <w:sz w:val="32"/>
          <w:szCs w:val="32"/>
          <w:highlight w:val="none"/>
        </w:rPr>
      </w:pPr>
      <w:bookmarkStart w:id="68" w:name="_Toc9377_WPSOffice_Level2"/>
      <w:bookmarkStart w:id="69" w:name="_Toc29886_WPSOffice_Level2"/>
      <w:bookmarkStart w:id="70" w:name="_Toc1820_WPSOffice_Level2"/>
      <w:bookmarkStart w:id="71" w:name="_Toc19961_WPSOffice_Level2"/>
      <w:r>
        <w:rPr>
          <w:rFonts w:hint="eastAsia" w:ascii="黑体" w:hAnsi="黑体" w:eastAsia="黑体" w:cs="黑体"/>
          <w:sz w:val="32"/>
          <w:szCs w:val="32"/>
          <w:highlight w:val="none"/>
        </w:rPr>
        <w:t>九、财政拨款“三公”经费支出决算</w:t>
      </w:r>
      <w:bookmarkEnd w:id="68"/>
      <w:bookmarkEnd w:id="69"/>
      <w:bookmarkEnd w:id="70"/>
      <w:bookmarkEnd w:id="71"/>
      <w:r>
        <w:rPr>
          <w:rFonts w:hint="eastAsia" w:ascii="黑体" w:hAnsi="黑体" w:eastAsia="黑体" w:cs="黑体"/>
          <w:sz w:val="32"/>
          <w:szCs w:val="32"/>
          <w:highlight w:val="none"/>
        </w:rPr>
        <w:t>公开表</w:t>
      </w:r>
    </w:p>
    <w:p w14:paraId="7C8E4405">
      <w:pPr>
        <w:spacing w:line="578" w:lineRule="exact"/>
        <w:ind w:firstLine="640"/>
        <w:rPr>
          <w:rFonts w:hint="eastAsia" w:ascii="黑体" w:hAnsi="黑体" w:eastAsia="黑体" w:cs="黑体"/>
          <w:sz w:val="32"/>
          <w:szCs w:val="32"/>
          <w:highlight w:val="none"/>
        </w:rPr>
      </w:pPr>
      <w:r>
        <w:rPr>
          <w:rFonts w:hint="eastAsia" w:ascii="仿宋" w:hAnsi="仿宋" w:eastAsia="仿宋" w:cs="仿宋"/>
          <w:w w:val="100"/>
          <w:sz w:val="32"/>
          <w:szCs w:val="32"/>
          <w:highlight w:val="none"/>
        </w:rPr>
        <w:t>以上报表见附件1。</w:t>
      </w:r>
      <w:r>
        <w:rPr>
          <w:rFonts w:hint="eastAsia" w:ascii="黑体" w:hAnsi="黑体" w:eastAsia="黑体" w:cs="黑体"/>
          <w:w w:val="96"/>
          <w:sz w:val="32"/>
          <w:szCs w:val="32"/>
          <w:highlight w:val="none"/>
        </w:rPr>
        <w:t xml:space="preserve">   </w:t>
      </w:r>
    </w:p>
    <w:p w14:paraId="5730725A">
      <w:pPr>
        <w:spacing w:line="578" w:lineRule="exact"/>
        <w:rPr>
          <w:rFonts w:hint="eastAsia" w:ascii="黑体" w:hAnsi="黑体" w:eastAsia="黑体" w:cs="黑体"/>
          <w:sz w:val="32"/>
          <w:szCs w:val="32"/>
          <w:highlight w:val="none"/>
        </w:rPr>
      </w:pPr>
    </w:p>
    <w:p w14:paraId="4C0EF25F">
      <w:pPr>
        <w:spacing w:line="578" w:lineRule="exact"/>
        <w:jc w:val="center"/>
        <w:rPr>
          <w:rFonts w:hint="eastAsia" w:ascii="黑体" w:hAnsi="ˎ̥" w:eastAsia="黑体"/>
          <w:sz w:val="32"/>
          <w:szCs w:val="32"/>
          <w:highlight w:val="none"/>
        </w:rPr>
      </w:pPr>
      <w:bookmarkStart w:id="72" w:name="_Toc27590_WPSOffice_Level1"/>
      <w:bookmarkStart w:id="73" w:name="_Toc31264_WPSOffice_Level1"/>
      <w:bookmarkStart w:id="74" w:name="_Toc4402_WPSOffice_Level1"/>
      <w:bookmarkStart w:id="75" w:name="_Toc28629_WPSOffice_Level1"/>
      <w:bookmarkStart w:id="76" w:name="_Toc16686_WPSOffice_Level1"/>
      <w:bookmarkStart w:id="77" w:name="_Toc29683_WPSOffice_Level1"/>
      <w:r>
        <w:rPr>
          <w:rFonts w:hint="eastAsia" w:ascii="黑体" w:hAnsi="ˎ̥" w:eastAsia="黑体"/>
          <w:sz w:val="32"/>
          <w:szCs w:val="32"/>
          <w:highlight w:val="none"/>
        </w:rPr>
        <w:t>第三部分  202</w:t>
      </w:r>
      <w:r>
        <w:rPr>
          <w:rFonts w:ascii="黑体" w:hAnsi="ˎ̥" w:eastAsia="黑体"/>
          <w:sz w:val="32"/>
          <w:szCs w:val="32"/>
          <w:highlight w:val="none"/>
        </w:rPr>
        <w:t>4</w:t>
      </w:r>
      <w:r>
        <w:rPr>
          <w:rFonts w:hint="eastAsia" w:ascii="黑体" w:hAnsi="ˎ̥" w:eastAsia="黑体"/>
          <w:sz w:val="32"/>
          <w:szCs w:val="32"/>
          <w:highlight w:val="none"/>
        </w:rPr>
        <w:t>年度</w:t>
      </w:r>
      <w:r>
        <w:rPr>
          <w:rFonts w:hint="eastAsia" w:ascii="黑体" w:hAnsi="ˎ̥" w:eastAsia="黑体"/>
          <w:sz w:val="32"/>
          <w:szCs w:val="32"/>
          <w:highlight w:val="none"/>
          <w:lang w:val="en-US" w:eastAsia="zh-CN"/>
        </w:rPr>
        <w:t>单位</w:t>
      </w:r>
      <w:r>
        <w:rPr>
          <w:rFonts w:hint="eastAsia" w:ascii="黑体" w:hAnsi="ˎ̥" w:eastAsia="黑体"/>
          <w:sz w:val="32"/>
          <w:szCs w:val="32"/>
          <w:highlight w:val="none"/>
        </w:rPr>
        <w:t>决算情况说明</w:t>
      </w:r>
      <w:bookmarkEnd w:id="72"/>
      <w:bookmarkEnd w:id="73"/>
      <w:bookmarkEnd w:id="74"/>
      <w:bookmarkEnd w:id="75"/>
      <w:bookmarkEnd w:id="76"/>
      <w:bookmarkEnd w:id="77"/>
    </w:p>
    <w:p w14:paraId="05276167">
      <w:pPr>
        <w:spacing w:line="578" w:lineRule="exact"/>
        <w:jc w:val="center"/>
        <w:rPr>
          <w:rFonts w:hint="eastAsia" w:ascii="黑体" w:hAnsi="ˎ̥" w:eastAsia="黑体"/>
          <w:sz w:val="32"/>
          <w:szCs w:val="32"/>
          <w:highlight w:val="none"/>
        </w:rPr>
      </w:pPr>
    </w:p>
    <w:p w14:paraId="6E1D603B">
      <w:pPr>
        <w:spacing w:line="578" w:lineRule="exact"/>
        <w:ind w:firstLine="640" w:firstLineChars="200"/>
        <w:rPr>
          <w:rFonts w:hint="eastAsia" w:ascii="仿宋" w:hAnsi="仿宋" w:eastAsia="仿宋" w:cs="仿宋"/>
          <w:sz w:val="32"/>
          <w:szCs w:val="32"/>
          <w:highlight w:val="none"/>
        </w:rPr>
      </w:pPr>
      <w:r>
        <w:rPr>
          <w:rFonts w:hint="eastAsia" w:ascii="黑体" w:hAnsi="黑体" w:eastAsia="黑体" w:cs="黑体"/>
          <w:bCs/>
          <w:sz w:val="32"/>
          <w:szCs w:val="32"/>
          <w:highlight w:val="none"/>
        </w:rPr>
        <w:t>一、收入支出总体情况说明</w:t>
      </w:r>
      <w:r>
        <w:rPr>
          <w:rFonts w:hint="eastAsia" w:ascii="黑体" w:hAnsi="黑体" w:eastAsia="黑体" w:cs="黑体"/>
          <w:bCs/>
          <w:sz w:val="32"/>
          <w:szCs w:val="32"/>
          <w:highlight w:val="none"/>
        </w:rPr>
        <w:br w:type="textWrapping"/>
      </w:r>
      <w:r>
        <w:rPr>
          <w:rFonts w:hint="eastAsia" w:ascii="楷体_GB2312" w:hAnsi="ˎ̥" w:eastAsia="楷体_GB2312"/>
          <w:sz w:val="32"/>
          <w:szCs w:val="32"/>
          <w:highlight w:val="none"/>
        </w:rPr>
        <w:t xml:space="preserve">    </w:t>
      </w:r>
      <w:r>
        <w:rPr>
          <w:rFonts w:hint="eastAsia" w:ascii="仿宋" w:hAnsi="仿宋" w:eastAsia="仿宋" w:cs="仿宋"/>
          <w:sz w:val="32"/>
          <w:szCs w:val="32"/>
          <w:highlight w:val="none"/>
        </w:rPr>
        <w:t>2024年度收入总计</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万元，支出总计</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万元，与2023年度相比，收入、支出总计各减少</w:t>
      </w:r>
      <w:r>
        <w:rPr>
          <w:rFonts w:hint="eastAsia" w:ascii="仿宋" w:hAnsi="仿宋" w:eastAsia="仿宋" w:cs="仿宋"/>
          <w:sz w:val="32"/>
          <w:szCs w:val="32"/>
          <w:highlight w:val="none"/>
          <w:lang w:val="en-US" w:eastAsia="zh-CN"/>
        </w:rPr>
        <w:t>27.17</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10.54</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val="en-US" w:eastAsia="zh-CN"/>
        </w:rPr>
        <w:t>项目减少</w:t>
      </w:r>
      <w:r>
        <w:rPr>
          <w:rFonts w:hint="eastAsia" w:ascii="仿宋" w:hAnsi="仿宋" w:eastAsia="仿宋" w:cs="仿宋"/>
          <w:sz w:val="32"/>
          <w:szCs w:val="32"/>
          <w:highlight w:val="none"/>
        </w:rPr>
        <w:t>。</w:t>
      </w:r>
    </w:p>
    <w:p w14:paraId="0F6177A8">
      <w:pPr>
        <w:spacing w:line="578" w:lineRule="exact"/>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（一</w:t>
      </w:r>
      <w:r>
        <w:rPr>
          <w:rFonts w:ascii="楷体" w:hAnsi="楷体" w:eastAsia="楷体" w:cs="楷体"/>
          <w:sz w:val="32"/>
          <w:szCs w:val="32"/>
          <w:highlight w:val="none"/>
        </w:rPr>
        <w:t>）</w:t>
      </w:r>
      <w:r>
        <w:rPr>
          <w:rFonts w:hint="eastAsia" w:ascii="楷体" w:hAnsi="楷体" w:eastAsia="楷体" w:cs="楷体"/>
          <w:sz w:val="32"/>
          <w:szCs w:val="32"/>
          <w:highlight w:val="none"/>
        </w:rPr>
        <w:t>收入</w:t>
      </w:r>
      <w:r>
        <w:rPr>
          <w:rFonts w:ascii="楷体" w:hAnsi="楷体" w:eastAsia="楷体" w:cs="楷体"/>
          <w:sz w:val="32"/>
          <w:szCs w:val="32"/>
          <w:highlight w:val="none"/>
        </w:rPr>
        <w:t>总计</w:t>
      </w:r>
      <w:r>
        <w:rPr>
          <w:rFonts w:hint="eastAsia" w:ascii="楷体" w:hAnsi="楷体" w:eastAsia="楷体" w:cs="楷体"/>
          <w:sz w:val="32"/>
          <w:szCs w:val="32"/>
          <w:highlight w:val="none"/>
        </w:rPr>
        <w:t>主要</w:t>
      </w:r>
      <w:r>
        <w:rPr>
          <w:rFonts w:ascii="楷体" w:hAnsi="楷体" w:eastAsia="楷体" w:cs="楷体"/>
          <w:sz w:val="32"/>
          <w:szCs w:val="32"/>
          <w:highlight w:val="none"/>
        </w:rPr>
        <w:t>构成</w:t>
      </w:r>
    </w:p>
    <w:p w14:paraId="7AF1B77C">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本年收入</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w:t>
      </w:r>
    </w:p>
    <w:p w14:paraId="243554F0">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使用非财政拨款结余</w:t>
      </w:r>
      <w:r>
        <w:rPr>
          <w:rFonts w:hint="default" w:ascii="仿宋" w:hAnsi="仿宋" w:eastAsia="仿宋" w:cs="仿宋"/>
          <w:sz w:val="32"/>
          <w:szCs w:val="32"/>
          <w:highlight w:val="none"/>
          <w:lang w:val="en-US"/>
        </w:rPr>
        <w:t>（含专用结余）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万元，较2023年度决算数</w:t>
      </w:r>
      <w:r>
        <w:rPr>
          <w:rFonts w:hint="eastAsia" w:ascii="仿宋" w:hAnsi="仿宋" w:eastAsia="仿宋" w:cs="仿宋"/>
          <w:sz w:val="32"/>
          <w:szCs w:val="32"/>
          <w:highlight w:val="none"/>
          <w:lang w:val="en-US" w:eastAsia="zh-CN"/>
        </w:rPr>
        <w:t>持平</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本单位没有财政拨款以外的收入</w:t>
      </w:r>
      <w:r>
        <w:rPr>
          <w:rFonts w:hint="eastAsia" w:ascii="仿宋" w:hAnsi="仿宋" w:eastAsia="仿宋" w:cs="仿宋"/>
          <w:sz w:val="32"/>
          <w:szCs w:val="32"/>
          <w:highlight w:val="none"/>
        </w:rPr>
        <w:t>。</w:t>
      </w:r>
    </w:p>
    <w:p w14:paraId="6D7394C0">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年初结转结余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val="en-US" w:eastAsia="zh-CN"/>
        </w:rPr>
        <w:t>本单位没有年初结转结余金额</w:t>
      </w:r>
      <w:r>
        <w:rPr>
          <w:rFonts w:hint="default" w:ascii="仿宋" w:hAnsi="仿宋" w:eastAsia="仿宋" w:cs="仿宋"/>
          <w:sz w:val="32"/>
          <w:szCs w:val="32"/>
          <w:highlight w:val="none"/>
          <w:lang w:val="en-US"/>
        </w:rPr>
        <w:t>，较2023年度决算</w:t>
      </w:r>
      <w:r>
        <w:rPr>
          <w:rFonts w:hint="eastAsia" w:ascii="仿宋" w:hAnsi="仿宋" w:eastAsia="仿宋" w:cs="仿宋"/>
          <w:sz w:val="32"/>
          <w:szCs w:val="32"/>
          <w:highlight w:val="none"/>
          <w:lang w:val="en-US" w:eastAsia="zh-CN"/>
        </w:rPr>
        <w:t>数持平</w:t>
      </w:r>
      <w:r>
        <w:rPr>
          <w:rFonts w:hint="eastAsia" w:ascii="仿宋" w:hAnsi="仿宋" w:eastAsia="仿宋" w:cs="仿宋"/>
          <w:sz w:val="32"/>
          <w:szCs w:val="32"/>
          <w:highlight w:val="none"/>
        </w:rPr>
        <w:t>。</w:t>
      </w:r>
    </w:p>
    <w:p w14:paraId="5087D578">
      <w:pPr>
        <w:spacing w:line="578" w:lineRule="exact"/>
        <w:ind w:firstLine="640" w:firstLineChars="200"/>
        <w:rPr>
          <w:rFonts w:ascii="楷体" w:hAnsi="楷体" w:eastAsia="楷体" w:cs="楷体"/>
          <w:sz w:val="32"/>
          <w:szCs w:val="32"/>
          <w:highlight w:val="none"/>
        </w:rPr>
      </w:pPr>
      <w:r>
        <w:rPr>
          <w:rFonts w:hint="eastAsia" w:ascii="楷体" w:hAnsi="楷体" w:eastAsia="楷体" w:cs="楷体"/>
          <w:sz w:val="32"/>
          <w:szCs w:val="32"/>
          <w:highlight w:val="none"/>
        </w:rPr>
        <w:t>（二</w:t>
      </w:r>
      <w:r>
        <w:rPr>
          <w:rFonts w:ascii="楷体" w:hAnsi="楷体" w:eastAsia="楷体" w:cs="楷体"/>
          <w:sz w:val="32"/>
          <w:szCs w:val="32"/>
          <w:highlight w:val="none"/>
        </w:rPr>
        <w:t>）</w:t>
      </w:r>
      <w:r>
        <w:rPr>
          <w:rFonts w:hint="eastAsia" w:ascii="楷体" w:hAnsi="楷体" w:eastAsia="楷体" w:cs="楷体"/>
          <w:sz w:val="32"/>
          <w:szCs w:val="32"/>
          <w:highlight w:val="none"/>
        </w:rPr>
        <w:t>支出</w:t>
      </w:r>
      <w:r>
        <w:rPr>
          <w:rFonts w:ascii="楷体" w:hAnsi="楷体" w:eastAsia="楷体" w:cs="楷体"/>
          <w:sz w:val="32"/>
          <w:szCs w:val="32"/>
          <w:highlight w:val="none"/>
        </w:rPr>
        <w:t>总计</w:t>
      </w:r>
      <w:r>
        <w:rPr>
          <w:rFonts w:hint="eastAsia" w:ascii="楷体" w:hAnsi="楷体" w:eastAsia="楷体" w:cs="楷体"/>
          <w:sz w:val="32"/>
          <w:szCs w:val="32"/>
          <w:highlight w:val="none"/>
        </w:rPr>
        <w:t>主要</w:t>
      </w:r>
      <w:r>
        <w:rPr>
          <w:rFonts w:ascii="楷体" w:hAnsi="楷体" w:eastAsia="楷体" w:cs="楷体"/>
          <w:sz w:val="32"/>
          <w:szCs w:val="32"/>
          <w:highlight w:val="none"/>
        </w:rPr>
        <w:t>构成</w:t>
      </w:r>
    </w:p>
    <w:p w14:paraId="03E604E5">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本年支出</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w:t>
      </w:r>
    </w:p>
    <w:p w14:paraId="0A7D4DF1">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结余分配</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val="en-US" w:eastAsia="zh-CN"/>
        </w:rPr>
        <w:t>本单位没有结余分配</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较2023年度决算数持平</w:t>
      </w:r>
      <w:r>
        <w:rPr>
          <w:rFonts w:hint="eastAsia" w:ascii="仿宋" w:hAnsi="仿宋" w:eastAsia="仿宋" w:cs="仿宋"/>
          <w:sz w:val="32"/>
          <w:szCs w:val="32"/>
          <w:highlight w:val="none"/>
        </w:rPr>
        <w:t>。</w:t>
      </w:r>
    </w:p>
    <w:p w14:paraId="4F0CE6DB">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年末结转结余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val="en-US" w:eastAsia="zh-CN"/>
        </w:rPr>
        <w:t>本单位没有年末结转结余，较2023年度决算数持平</w:t>
      </w:r>
      <w:r>
        <w:rPr>
          <w:rFonts w:hint="eastAsia" w:ascii="仿宋" w:hAnsi="仿宋" w:eastAsia="仿宋" w:cs="仿宋"/>
          <w:sz w:val="32"/>
          <w:szCs w:val="32"/>
          <w:highlight w:val="none"/>
        </w:rPr>
        <w:t>。</w:t>
      </w:r>
    </w:p>
    <w:p w14:paraId="5F28F64B">
      <w:pPr>
        <w:spacing w:line="578" w:lineRule="exact"/>
        <w:ind w:firstLine="640" w:firstLineChars="200"/>
        <w:rPr>
          <w:rFonts w:hint="eastAsia" w:ascii="仿宋" w:hAnsi="仿宋" w:eastAsia="仿宋" w:cs="仿宋"/>
          <w:sz w:val="32"/>
          <w:szCs w:val="32"/>
          <w:highlight w:val="none"/>
        </w:rPr>
      </w:pPr>
      <w:r>
        <w:rPr>
          <w:rFonts w:hint="eastAsia" w:ascii="黑体" w:hAnsi="黑体" w:eastAsia="黑体" w:cs="黑体"/>
          <w:bCs/>
          <w:sz w:val="32"/>
          <w:szCs w:val="32"/>
          <w:highlight w:val="none"/>
        </w:rPr>
        <w:t>二、收入决算情况说明</w:t>
      </w:r>
      <w:r>
        <w:rPr>
          <w:rFonts w:hint="eastAsia" w:ascii="黑体" w:hAnsi="黑体" w:eastAsia="黑体" w:cs="黑体"/>
          <w:bCs/>
          <w:sz w:val="32"/>
          <w:szCs w:val="32"/>
          <w:highlight w:val="none"/>
        </w:rPr>
        <w:br w:type="textWrapping"/>
      </w:r>
      <w:r>
        <w:rPr>
          <w:rFonts w:hint="eastAsia" w:ascii="仿宋_GB2312" w:hAnsi="ˎ̥" w:eastAsia="仿宋_GB2312"/>
          <w:sz w:val="32"/>
          <w:szCs w:val="32"/>
          <w:highlight w:val="none"/>
        </w:rPr>
        <w:t xml:space="preserve">    </w:t>
      </w:r>
      <w:r>
        <w:rPr>
          <w:rFonts w:hint="eastAsia" w:ascii="仿宋" w:hAnsi="仿宋" w:eastAsia="仿宋" w:cs="仿宋"/>
          <w:sz w:val="32"/>
          <w:szCs w:val="32"/>
          <w:highlight w:val="none"/>
        </w:rPr>
        <w:t>本年收入</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万元，其中：财政拨款收入</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100</w:t>
      </w:r>
      <w:r>
        <w:rPr>
          <w:rFonts w:hint="eastAsia" w:ascii="仿宋" w:hAnsi="仿宋" w:eastAsia="仿宋" w:cs="仿宋"/>
          <w:sz w:val="32"/>
          <w:szCs w:val="32"/>
          <w:highlight w:val="none"/>
        </w:rPr>
        <w:t>%；上级补助收入</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%；事业收入</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bookmarkStart w:id="120" w:name="_GoBack"/>
      <w:bookmarkEnd w:id="120"/>
      <w:r>
        <w:rPr>
          <w:rFonts w:hint="eastAsia" w:ascii="仿宋" w:hAnsi="仿宋" w:eastAsia="仿宋" w:cs="仿宋"/>
          <w:sz w:val="32"/>
          <w:szCs w:val="32"/>
          <w:highlight w:val="none"/>
        </w:rPr>
        <w:t>%；经营收入</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%；附属单位上缴收入</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%；其他收入</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p>
    <w:p w14:paraId="4AB9D6C1">
      <w:pPr>
        <w:spacing w:line="578" w:lineRule="exact"/>
        <w:ind w:firstLine="627" w:firstLineChars="196"/>
        <w:rPr>
          <w:rFonts w:hint="eastAsia" w:ascii="黑体" w:hAnsi="黑体" w:eastAsia="黑体" w:cs="黑体"/>
          <w:bCs/>
          <w:sz w:val="32"/>
          <w:szCs w:val="32"/>
          <w:highlight w:val="none"/>
        </w:rPr>
      </w:pPr>
      <w:r>
        <w:rPr>
          <w:rFonts w:hint="eastAsia" w:ascii="黑体" w:hAnsi="黑体" w:eastAsia="黑体" w:cs="黑体"/>
          <w:bCs/>
          <w:sz w:val="32"/>
          <w:szCs w:val="32"/>
          <w:highlight w:val="none"/>
        </w:rPr>
        <w:t>三、支出决算情况说明</w:t>
      </w:r>
    </w:p>
    <w:p w14:paraId="3DC53779">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本年支出</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万元，其中：基本支出</w:t>
      </w:r>
      <w:r>
        <w:rPr>
          <w:rFonts w:hint="eastAsia" w:ascii="仿宋" w:hAnsi="仿宋" w:eastAsia="仿宋" w:cs="仿宋"/>
          <w:sz w:val="32"/>
          <w:szCs w:val="32"/>
          <w:highlight w:val="none"/>
          <w:lang w:val="en-US" w:eastAsia="zh-CN"/>
        </w:rPr>
        <w:t>158.38</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68.64</w:t>
      </w:r>
      <w:r>
        <w:rPr>
          <w:rFonts w:hint="eastAsia" w:ascii="仿宋" w:hAnsi="仿宋" w:eastAsia="仿宋" w:cs="仿宋"/>
          <w:sz w:val="32"/>
          <w:szCs w:val="32"/>
          <w:highlight w:val="none"/>
        </w:rPr>
        <w:t>%；项目支出</w:t>
      </w:r>
      <w:r>
        <w:rPr>
          <w:rFonts w:hint="eastAsia" w:ascii="仿宋" w:hAnsi="仿宋" w:eastAsia="仿宋" w:cs="仿宋"/>
          <w:sz w:val="32"/>
          <w:szCs w:val="32"/>
          <w:highlight w:val="none"/>
          <w:lang w:val="en-US" w:eastAsia="zh-CN"/>
        </w:rPr>
        <w:t>72.35</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31.36</w:t>
      </w:r>
      <w:r>
        <w:rPr>
          <w:rFonts w:hint="eastAsia" w:ascii="仿宋" w:hAnsi="仿宋" w:eastAsia="仿宋" w:cs="仿宋"/>
          <w:sz w:val="32"/>
          <w:szCs w:val="32"/>
          <w:highlight w:val="none"/>
        </w:rPr>
        <w:t>%；上缴上级支出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%；经营支出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%；对附属单位补助支出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p>
    <w:p w14:paraId="7B3EF9C7">
      <w:pPr>
        <w:spacing w:line="578" w:lineRule="exact"/>
        <w:ind w:firstLine="320" w:firstLineChars="1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四、财政拨款收入支出决算总体情况说明</w:t>
      </w:r>
    </w:p>
    <w:p w14:paraId="7CFAFB92">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2024年度财政拨款收入</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万元，支出</w:t>
      </w:r>
      <w:r>
        <w:rPr>
          <w:rFonts w:hint="eastAsia" w:ascii="仿宋" w:hAnsi="仿宋" w:eastAsia="仿宋" w:cs="仿宋"/>
          <w:sz w:val="32"/>
          <w:szCs w:val="32"/>
          <w:highlight w:val="none"/>
          <w:lang w:val="en-US" w:eastAsia="zh-CN"/>
        </w:rPr>
        <w:t>230.73</w:t>
      </w:r>
      <w:r>
        <w:rPr>
          <w:rFonts w:hint="eastAsia" w:ascii="仿宋" w:hAnsi="仿宋" w:eastAsia="仿宋" w:cs="仿宋"/>
          <w:sz w:val="32"/>
          <w:szCs w:val="32"/>
          <w:highlight w:val="none"/>
        </w:rPr>
        <w:t>万元。与2023年度相比，财政拨款收入减少</w:t>
      </w:r>
      <w:r>
        <w:rPr>
          <w:rFonts w:hint="eastAsia" w:ascii="仿宋" w:hAnsi="仿宋" w:eastAsia="仿宋" w:cs="仿宋"/>
          <w:sz w:val="32"/>
          <w:szCs w:val="32"/>
          <w:highlight w:val="none"/>
          <w:lang w:val="en-US" w:eastAsia="zh-CN"/>
        </w:rPr>
        <w:t>27.17</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10.54</w:t>
      </w:r>
      <w:r>
        <w:rPr>
          <w:rFonts w:hint="eastAsia" w:ascii="仿宋" w:hAnsi="仿宋" w:eastAsia="仿宋" w:cs="仿宋"/>
          <w:sz w:val="32"/>
          <w:szCs w:val="32"/>
          <w:highlight w:val="none"/>
        </w:rPr>
        <w:t>%，主要原因：</w:t>
      </w:r>
      <w:r>
        <w:rPr>
          <w:rFonts w:hint="eastAsia" w:ascii="仿宋" w:hAnsi="仿宋" w:eastAsia="仿宋" w:cs="仿宋"/>
          <w:sz w:val="32"/>
          <w:szCs w:val="32"/>
          <w:highlight w:val="none"/>
          <w:lang w:val="en-US" w:eastAsia="zh-CN"/>
        </w:rPr>
        <w:t>项目减少</w:t>
      </w:r>
      <w:r>
        <w:rPr>
          <w:rFonts w:hint="eastAsia" w:ascii="仿宋" w:hAnsi="仿宋" w:eastAsia="仿宋" w:cs="仿宋"/>
          <w:sz w:val="32"/>
          <w:szCs w:val="32"/>
          <w:highlight w:val="none"/>
        </w:rPr>
        <w:t>。</w:t>
      </w:r>
    </w:p>
    <w:p w14:paraId="4E49371A">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财政拨款年初结转结余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val="en-US" w:eastAsia="zh-CN"/>
        </w:rPr>
        <w:t>本单位没有财政拨款年初结转结余金额</w:t>
      </w:r>
      <w:r>
        <w:rPr>
          <w:rFonts w:hint="eastAsia" w:ascii="仿宋" w:hAnsi="仿宋" w:eastAsia="仿宋" w:cs="仿宋"/>
          <w:sz w:val="32"/>
          <w:szCs w:val="32"/>
          <w:highlight w:val="none"/>
        </w:rPr>
        <w:t>，较2023年度决算数</w:t>
      </w:r>
      <w:r>
        <w:rPr>
          <w:rFonts w:hint="eastAsia" w:ascii="仿宋" w:hAnsi="仿宋" w:eastAsia="仿宋" w:cs="仿宋"/>
          <w:sz w:val="32"/>
          <w:szCs w:val="32"/>
          <w:highlight w:val="none"/>
          <w:lang w:val="en-US" w:eastAsia="zh-CN"/>
        </w:rPr>
        <w:t>持平</w:t>
      </w:r>
      <w:r>
        <w:rPr>
          <w:rFonts w:hint="eastAsia" w:ascii="仿宋" w:hAnsi="仿宋" w:eastAsia="仿宋" w:cs="仿宋"/>
          <w:sz w:val="32"/>
          <w:szCs w:val="32"/>
          <w:highlight w:val="none"/>
        </w:rPr>
        <w:t>。</w:t>
      </w:r>
    </w:p>
    <w:p w14:paraId="3A7E1C40">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财政拨款年末结转结余</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万元，主要是</w:t>
      </w:r>
      <w:r>
        <w:rPr>
          <w:rFonts w:hint="eastAsia" w:ascii="仿宋" w:hAnsi="仿宋" w:eastAsia="仿宋" w:cs="仿宋"/>
          <w:sz w:val="32"/>
          <w:szCs w:val="32"/>
          <w:highlight w:val="none"/>
          <w:lang w:val="en-US" w:eastAsia="zh-CN"/>
        </w:rPr>
        <w:t>本单位没有财政拨款年末结转结余金额，较2023年度决算数持平</w:t>
      </w:r>
      <w:r>
        <w:rPr>
          <w:rFonts w:hint="eastAsia" w:ascii="仿宋" w:hAnsi="仿宋" w:eastAsia="仿宋" w:cs="仿宋"/>
          <w:sz w:val="32"/>
          <w:szCs w:val="32"/>
          <w:highlight w:val="none"/>
        </w:rPr>
        <w:t>。</w:t>
      </w:r>
    </w:p>
    <w:p w14:paraId="049985FF">
      <w:pPr>
        <w:spacing w:line="578" w:lineRule="exact"/>
        <w:ind w:firstLine="627" w:firstLineChars="196"/>
        <w:rPr>
          <w:rFonts w:hint="eastAsia" w:ascii="黑体" w:hAnsi="黑体" w:eastAsia="黑体" w:cs="黑体"/>
          <w:bCs/>
          <w:sz w:val="32"/>
          <w:szCs w:val="32"/>
          <w:highlight w:val="none"/>
        </w:rPr>
      </w:pPr>
      <w:r>
        <w:rPr>
          <w:rFonts w:hint="eastAsia" w:ascii="黑体" w:hAnsi="黑体" w:eastAsia="黑体" w:cs="黑体"/>
          <w:bCs/>
          <w:sz w:val="32"/>
          <w:szCs w:val="32"/>
          <w:highlight w:val="none"/>
        </w:rPr>
        <w:t>五、一般公共预算财政拨款支出决算情况说明</w:t>
      </w:r>
    </w:p>
    <w:p w14:paraId="2351426F">
      <w:pPr>
        <w:spacing w:line="578" w:lineRule="exact"/>
        <w:ind w:firstLine="640" w:firstLineChars="200"/>
        <w:rPr>
          <w:rFonts w:hint="eastAsia" w:ascii="楷体" w:hAnsi="楷体" w:eastAsia="楷体" w:cs="楷体"/>
          <w:sz w:val="32"/>
          <w:szCs w:val="32"/>
          <w:highlight w:val="none"/>
        </w:rPr>
      </w:pPr>
      <w:bookmarkStart w:id="78" w:name="_Toc19665_WPSOffice_Level2"/>
      <w:bookmarkStart w:id="79" w:name="_Toc21737_WPSOffice_Level2"/>
      <w:bookmarkStart w:id="80" w:name="_Toc13694_WPSOffice_Level2"/>
      <w:bookmarkStart w:id="81" w:name="_Toc9989_WPSOffice_Level2"/>
      <w:bookmarkStart w:id="82" w:name="_Toc17398_WPSOffice_Level2"/>
      <w:bookmarkStart w:id="83" w:name="_Toc23005_WPSOffice_Level2"/>
      <w:r>
        <w:rPr>
          <w:rFonts w:hint="eastAsia" w:ascii="楷体" w:hAnsi="楷体" w:eastAsia="楷体" w:cs="楷体"/>
          <w:sz w:val="32"/>
          <w:szCs w:val="32"/>
          <w:highlight w:val="none"/>
        </w:rPr>
        <w:t>（一）一般公共预算财政拨款支出决算总体情况</w:t>
      </w:r>
      <w:bookmarkEnd w:id="78"/>
      <w:bookmarkEnd w:id="79"/>
      <w:bookmarkEnd w:id="80"/>
      <w:bookmarkEnd w:id="81"/>
      <w:bookmarkEnd w:id="82"/>
      <w:bookmarkEnd w:id="83"/>
    </w:p>
    <w:p w14:paraId="60F4CAF1">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2024年度一般公共预算财政拨款支出</w:t>
      </w:r>
      <w:r>
        <w:rPr>
          <w:rFonts w:hint="eastAsia" w:ascii="仿宋" w:hAnsi="仿宋" w:eastAsia="仿宋" w:cs="仿宋"/>
          <w:sz w:val="32"/>
          <w:szCs w:val="32"/>
          <w:highlight w:val="none"/>
          <w:lang w:val="en-US" w:eastAsia="zh-CN"/>
        </w:rPr>
        <w:t>223.56</w:t>
      </w:r>
      <w:r>
        <w:rPr>
          <w:rFonts w:hint="eastAsia" w:ascii="仿宋" w:hAnsi="仿宋" w:eastAsia="仿宋" w:cs="仿宋"/>
          <w:sz w:val="32"/>
          <w:szCs w:val="32"/>
          <w:highlight w:val="none"/>
        </w:rPr>
        <w:t>万元，占本年支出合计的</w:t>
      </w:r>
      <w:r>
        <w:rPr>
          <w:rFonts w:hint="eastAsia" w:ascii="仿宋" w:hAnsi="仿宋" w:eastAsia="仿宋" w:cs="仿宋"/>
          <w:sz w:val="32"/>
          <w:szCs w:val="32"/>
          <w:highlight w:val="none"/>
          <w:lang w:val="en-US" w:eastAsia="zh-CN"/>
        </w:rPr>
        <w:t>96.89</w:t>
      </w:r>
      <w:r>
        <w:rPr>
          <w:rFonts w:hint="eastAsia" w:ascii="仿宋" w:hAnsi="仿宋" w:eastAsia="仿宋" w:cs="仿宋"/>
          <w:sz w:val="32"/>
          <w:szCs w:val="32"/>
          <w:highlight w:val="none"/>
        </w:rPr>
        <w:t>%。与2023年度相比，一般公共预算财政拨款支出减少</w:t>
      </w:r>
      <w:r>
        <w:rPr>
          <w:rFonts w:hint="eastAsia" w:ascii="仿宋" w:hAnsi="仿宋" w:eastAsia="仿宋" w:cs="仿宋"/>
          <w:sz w:val="32"/>
          <w:szCs w:val="32"/>
          <w:highlight w:val="none"/>
          <w:lang w:val="en-US" w:eastAsia="zh-CN"/>
        </w:rPr>
        <w:t>50.24</w:t>
      </w:r>
      <w:r>
        <w:rPr>
          <w:rFonts w:hint="eastAsia" w:ascii="仿宋" w:hAnsi="仿宋" w:eastAsia="仿宋" w:cs="仿宋"/>
          <w:sz w:val="32"/>
          <w:szCs w:val="32"/>
          <w:highlight w:val="none"/>
        </w:rPr>
        <w:t>万元，下降</w:t>
      </w:r>
      <w:r>
        <w:rPr>
          <w:rFonts w:hint="eastAsia" w:ascii="仿宋" w:hAnsi="仿宋" w:eastAsia="仿宋" w:cs="仿宋"/>
          <w:sz w:val="32"/>
          <w:szCs w:val="32"/>
          <w:highlight w:val="none"/>
          <w:lang w:val="en-US" w:eastAsia="zh-CN"/>
        </w:rPr>
        <w:t>28.99</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一是人员变动、二是项目减少</w:t>
      </w:r>
      <w:r>
        <w:rPr>
          <w:rFonts w:hint="eastAsia" w:ascii="仿宋" w:hAnsi="仿宋" w:eastAsia="仿宋" w:cs="仿宋"/>
          <w:sz w:val="32"/>
          <w:szCs w:val="32"/>
          <w:highlight w:val="none"/>
        </w:rPr>
        <w:t>。</w:t>
      </w:r>
    </w:p>
    <w:p w14:paraId="4B2A0ECC">
      <w:pPr>
        <w:spacing w:line="578" w:lineRule="exact"/>
        <w:ind w:firstLine="640" w:firstLineChars="200"/>
        <w:rPr>
          <w:rFonts w:hint="eastAsia" w:ascii="楷体" w:hAnsi="楷体" w:eastAsia="楷体" w:cs="楷体"/>
          <w:sz w:val="32"/>
          <w:szCs w:val="32"/>
          <w:highlight w:val="none"/>
        </w:rPr>
      </w:pPr>
      <w:bookmarkStart w:id="84" w:name="_Toc2711_WPSOffice_Level2"/>
      <w:bookmarkStart w:id="85" w:name="_Toc19535_WPSOffice_Level2"/>
      <w:bookmarkStart w:id="86" w:name="_Toc23864_WPSOffice_Level2"/>
      <w:bookmarkStart w:id="87" w:name="_Toc19075_WPSOffice_Level2"/>
      <w:bookmarkStart w:id="88" w:name="_Toc18793_WPSOffice_Level2"/>
      <w:bookmarkStart w:id="89" w:name="_Toc27767_WPSOffice_Level2"/>
      <w:r>
        <w:rPr>
          <w:rFonts w:hint="eastAsia" w:ascii="楷体" w:hAnsi="楷体" w:eastAsia="楷体" w:cs="楷体"/>
          <w:sz w:val="32"/>
          <w:szCs w:val="32"/>
          <w:highlight w:val="none"/>
        </w:rPr>
        <w:t>（二）一般公共预算财政拨款支出决算结构情况</w:t>
      </w:r>
      <w:bookmarkEnd w:id="84"/>
      <w:bookmarkEnd w:id="85"/>
      <w:bookmarkEnd w:id="86"/>
      <w:bookmarkEnd w:id="87"/>
      <w:bookmarkEnd w:id="88"/>
      <w:bookmarkEnd w:id="89"/>
    </w:p>
    <w:p w14:paraId="31A026DC">
      <w:pPr>
        <w:spacing w:line="560" w:lineRule="exact"/>
        <w:ind w:firstLine="640" w:firstLineChars="200"/>
        <w:rPr>
          <w:rFonts w:ascii="仿宋_GB2312" w:hAnsi="ˎ̥" w:eastAsia="仿宋_GB2312"/>
          <w:color w:val="000000"/>
          <w:sz w:val="32"/>
          <w:szCs w:val="32"/>
        </w:rPr>
      </w:pPr>
      <w:r>
        <w:rPr>
          <w:rFonts w:hint="eastAsia" w:ascii="仿宋" w:hAnsi="仿宋" w:eastAsia="仿宋" w:cs="仿宋"/>
          <w:sz w:val="32"/>
          <w:szCs w:val="32"/>
          <w:highlight w:val="none"/>
        </w:rPr>
        <w:t>2024年度一般公共预算财政拨款支出</w:t>
      </w:r>
      <w:r>
        <w:rPr>
          <w:rFonts w:hint="eastAsia" w:ascii="仿宋" w:hAnsi="仿宋" w:eastAsia="仿宋" w:cs="仿宋"/>
          <w:sz w:val="32"/>
          <w:szCs w:val="32"/>
          <w:highlight w:val="none"/>
          <w:lang w:val="en-US" w:eastAsia="zh-CN"/>
        </w:rPr>
        <w:t>223.56</w:t>
      </w:r>
      <w:r>
        <w:rPr>
          <w:rFonts w:hint="eastAsia" w:ascii="仿宋" w:hAnsi="仿宋" w:eastAsia="仿宋" w:cs="仿宋"/>
          <w:sz w:val="32"/>
          <w:szCs w:val="32"/>
          <w:highlight w:val="none"/>
        </w:rPr>
        <w:t>万元，主要用于以下方面：</w:t>
      </w:r>
      <w:r>
        <w:rPr>
          <w:rFonts w:hint="eastAsia" w:ascii="仿宋" w:hAnsi="仿宋" w:eastAsia="仿宋" w:cs="仿宋"/>
          <w:b/>
          <w:sz w:val="32"/>
          <w:szCs w:val="32"/>
          <w:highlight w:val="none"/>
        </w:rPr>
        <w:t>一般公共服务（类）</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_GB2312" w:hAnsi="ˎ̥" w:eastAsia="仿宋_GB2312"/>
          <w:b/>
          <w:sz w:val="32"/>
          <w:szCs w:val="32"/>
        </w:rPr>
        <w:t>社会保障和就业（类）</w:t>
      </w:r>
      <w:r>
        <w:rPr>
          <w:rFonts w:hint="eastAsia" w:ascii="仿宋_GB2312" w:hAnsi="ˎ̥" w:eastAsia="仿宋_GB2312"/>
          <w:sz w:val="32"/>
          <w:szCs w:val="32"/>
        </w:rPr>
        <w:t>支出</w:t>
      </w:r>
      <w:r>
        <w:rPr>
          <w:rFonts w:hint="eastAsia" w:ascii="仿宋_GB2312" w:hAnsi="ˎ̥" w:eastAsia="仿宋_GB2312"/>
          <w:sz w:val="32"/>
          <w:szCs w:val="32"/>
          <w:lang w:val="en-US" w:eastAsia="zh-CN"/>
        </w:rPr>
        <w:t>26.56</w:t>
      </w:r>
      <w:r>
        <w:rPr>
          <w:rFonts w:hint="eastAsia" w:ascii="仿宋_GB2312" w:hAnsi="ˎ̥" w:eastAsia="仿宋_GB2312"/>
          <w:sz w:val="32"/>
          <w:szCs w:val="32"/>
        </w:rPr>
        <w:t>万元，占</w:t>
      </w:r>
      <w:r>
        <w:rPr>
          <w:rFonts w:hint="eastAsia" w:ascii="仿宋_GB2312" w:hAnsi="ˎ̥" w:eastAsia="仿宋_GB2312"/>
          <w:sz w:val="32"/>
          <w:szCs w:val="32"/>
          <w:lang w:val="en-US" w:eastAsia="zh-CN"/>
        </w:rPr>
        <w:t>11.88</w:t>
      </w:r>
      <w:r>
        <w:rPr>
          <w:rFonts w:hint="eastAsia" w:ascii="仿宋_GB2312" w:hAnsi="ˎ̥" w:eastAsia="仿宋_GB2312"/>
          <w:sz w:val="32"/>
          <w:szCs w:val="32"/>
        </w:rPr>
        <w:t>%；</w:t>
      </w:r>
      <w:r>
        <w:rPr>
          <w:rFonts w:hint="eastAsia" w:ascii="仿宋_GB2312" w:hAnsi="ˎ̥" w:eastAsia="仿宋_GB2312"/>
          <w:b/>
          <w:sz w:val="32"/>
          <w:szCs w:val="32"/>
        </w:rPr>
        <w:t>卫生健康（类）</w:t>
      </w:r>
      <w:r>
        <w:rPr>
          <w:rFonts w:hint="eastAsia" w:ascii="仿宋_GB2312" w:hAnsi="ˎ̥" w:eastAsia="仿宋_GB2312"/>
          <w:sz w:val="32"/>
          <w:szCs w:val="32"/>
        </w:rPr>
        <w:t>支出</w:t>
      </w:r>
      <w:r>
        <w:rPr>
          <w:rFonts w:hint="eastAsia" w:ascii="仿宋_GB2312" w:hAnsi="ˎ̥" w:eastAsia="仿宋_GB2312"/>
          <w:sz w:val="32"/>
          <w:szCs w:val="32"/>
          <w:lang w:val="en-US" w:eastAsia="zh-CN"/>
        </w:rPr>
        <w:t>14.99</w:t>
      </w:r>
      <w:r>
        <w:rPr>
          <w:rFonts w:hint="eastAsia" w:ascii="仿宋_GB2312" w:hAnsi="ˎ̥" w:eastAsia="仿宋_GB2312"/>
          <w:sz w:val="32"/>
          <w:szCs w:val="32"/>
        </w:rPr>
        <w:t>万元，占</w:t>
      </w:r>
      <w:r>
        <w:rPr>
          <w:rFonts w:hint="eastAsia" w:ascii="仿宋_GB2312" w:hAnsi="ˎ̥" w:eastAsia="仿宋_GB2312"/>
          <w:sz w:val="32"/>
          <w:szCs w:val="32"/>
          <w:lang w:val="en-US" w:eastAsia="zh-CN"/>
        </w:rPr>
        <w:t>6.71</w:t>
      </w:r>
      <w:r>
        <w:rPr>
          <w:rFonts w:hint="eastAsia" w:ascii="仿宋_GB2312" w:hAnsi="ˎ̥" w:eastAsia="仿宋_GB2312"/>
          <w:sz w:val="32"/>
          <w:szCs w:val="32"/>
        </w:rPr>
        <w:t>%;</w:t>
      </w:r>
      <w:r>
        <w:rPr>
          <w:rFonts w:hint="eastAsia" w:ascii="仿宋_GB2312" w:hAnsi="ˎ̥" w:eastAsia="仿宋_GB2312"/>
          <w:b/>
          <w:sz w:val="32"/>
          <w:szCs w:val="32"/>
        </w:rPr>
        <w:t>农林水（类）</w:t>
      </w:r>
      <w:r>
        <w:rPr>
          <w:rFonts w:hint="eastAsia" w:ascii="仿宋_GB2312" w:hAnsi="ˎ̥" w:eastAsia="仿宋_GB2312"/>
          <w:sz w:val="32"/>
          <w:szCs w:val="32"/>
        </w:rPr>
        <w:t>支出</w:t>
      </w:r>
      <w:r>
        <w:rPr>
          <w:rFonts w:hint="eastAsia" w:ascii="仿宋_GB2312" w:hAnsi="ˎ̥" w:eastAsia="仿宋_GB2312"/>
          <w:sz w:val="32"/>
          <w:szCs w:val="32"/>
          <w:lang w:val="en-US" w:eastAsia="zh-CN"/>
        </w:rPr>
        <w:t>170.89</w:t>
      </w:r>
      <w:r>
        <w:rPr>
          <w:rFonts w:hint="eastAsia" w:ascii="仿宋_GB2312" w:hAnsi="ˎ̥" w:eastAsia="仿宋_GB2312"/>
          <w:sz w:val="32"/>
          <w:szCs w:val="32"/>
        </w:rPr>
        <w:t>，占</w:t>
      </w:r>
      <w:r>
        <w:rPr>
          <w:rFonts w:hint="eastAsia" w:ascii="仿宋_GB2312" w:hAnsi="ˎ̥" w:eastAsia="仿宋_GB2312"/>
          <w:sz w:val="32"/>
          <w:szCs w:val="32"/>
          <w:lang w:val="en-US" w:eastAsia="zh-CN"/>
        </w:rPr>
        <w:t>76.44</w:t>
      </w:r>
      <w:r>
        <w:rPr>
          <w:rFonts w:hint="eastAsia" w:ascii="仿宋_GB2312" w:hAnsi="ˎ̥" w:eastAsia="仿宋_GB2312"/>
          <w:sz w:val="32"/>
          <w:szCs w:val="32"/>
        </w:rPr>
        <w:t>%;</w:t>
      </w:r>
      <w:r>
        <w:rPr>
          <w:rFonts w:hint="eastAsia" w:ascii="仿宋_GB2312" w:hAnsi="ˎ̥" w:eastAsia="仿宋_GB2312"/>
          <w:b/>
          <w:bCs/>
          <w:sz w:val="32"/>
          <w:szCs w:val="32"/>
        </w:rPr>
        <w:t>住房保障（类）</w:t>
      </w:r>
      <w:r>
        <w:rPr>
          <w:rFonts w:hint="eastAsia" w:ascii="仿宋_GB2312" w:hAnsi="ˎ̥" w:eastAsia="仿宋_GB2312"/>
          <w:sz w:val="32"/>
          <w:szCs w:val="32"/>
        </w:rPr>
        <w:t>支出</w:t>
      </w:r>
      <w:r>
        <w:rPr>
          <w:rFonts w:hint="eastAsia" w:ascii="仿宋_GB2312" w:hAnsi="ˎ̥" w:eastAsia="仿宋_GB2312"/>
          <w:sz w:val="32"/>
          <w:szCs w:val="32"/>
          <w:lang w:val="en-US" w:eastAsia="zh-CN"/>
        </w:rPr>
        <w:t>11.12</w:t>
      </w:r>
      <w:r>
        <w:rPr>
          <w:rFonts w:hint="eastAsia" w:ascii="仿宋_GB2312" w:hAnsi="ˎ̥" w:eastAsia="仿宋_GB2312"/>
          <w:sz w:val="32"/>
          <w:szCs w:val="32"/>
        </w:rPr>
        <w:t>万元，占</w:t>
      </w:r>
      <w:r>
        <w:rPr>
          <w:rFonts w:hint="eastAsia" w:ascii="仿宋_GB2312" w:hAnsi="ˎ̥" w:eastAsia="仿宋_GB2312"/>
          <w:sz w:val="32"/>
          <w:szCs w:val="32"/>
          <w:lang w:val="en-US" w:eastAsia="zh-CN"/>
        </w:rPr>
        <w:t>4.97</w:t>
      </w:r>
      <w:r>
        <w:rPr>
          <w:rFonts w:hint="eastAsia" w:ascii="仿宋_GB2312" w:hAnsi="ˎ̥" w:eastAsia="仿宋_GB2312"/>
          <w:sz w:val="32"/>
          <w:szCs w:val="32"/>
        </w:rPr>
        <w:t>%</w:t>
      </w:r>
      <w:r>
        <w:rPr>
          <w:rFonts w:hint="eastAsia" w:ascii="仿宋_GB2312" w:hAnsi="ˎ̥" w:eastAsia="仿宋_GB2312"/>
          <w:color w:val="000000"/>
          <w:sz w:val="32"/>
          <w:szCs w:val="32"/>
        </w:rPr>
        <w:t>。</w:t>
      </w:r>
    </w:p>
    <w:p w14:paraId="628DE7DC">
      <w:pPr>
        <w:spacing w:line="578" w:lineRule="exact"/>
        <w:ind w:firstLine="640" w:firstLineChars="200"/>
        <w:rPr>
          <w:rFonts w:hint="eastAsia" w:ascii="楷体" w:hAnsi="楷体" w:eastAsia="楷体" w:cs="楷体"/>
          <w:sz w:val="32"/>
          <w:szCs w:val="32"/>
          <w:highlight w:val="none"/>
        </w:rPr>
      </w:pPr>
      <w:bookmarkStart w:id="90" w:name="_Toc21701_WPSOffice_Level2"/>
      <w:bookmarkStart w:id="91" w:name="_Toc29364_WPSOffice_Level2"/>
      <w:bookmarkStart w:id="92" w:name="_Toc15415_WPSOffice_Level2"/>
      <w:bookmarkStart w:id="93" w:name="_Toc25136_WPSOffice_Level2"/>
      <w:bookmarkStart w:id="94" w:name="_Toc22318_WPSOffice_Level2"/>
      <w:bookmarkStart w:id="95" w:name="_Toc9502_WPSOffice_Level2"/>
      <w:r>
        <w:rPr>
          <w:rFonts w:hint="eastAsia" w:ascii="楷体" w:hAnsi="楷体" w:eastAsia="楷体" w:cs="楷体"/>
          <w:sz w:val="32"/>
          <w:szCs w:val="32"/>
          <w:highlight w:val="none"/>
        </w:rPr>
        <w:t>（三）一般公共预算财政拨款支出决算具体情况</w:t>
      </w:r>
      <w:bookmarkEnd w:id="90"/>
      <w:bookmarkEnd w:id="91"/>
      <w:bookmarkEnd w:id="92"/>
      <w:bookmarkEnd w:id="93"/>
      <w:bookmarkEnd w:id="94"/>
      <w:bookmarkEnd w:id="95"/>
    </w:p>
    <w:p w14:paraId="3D72D7FE">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2024年度一般公共预算财政拨款支出年初预算为</w:t>
      </w:r>
      <w:r>
        <w:rPr>
          <w:rFonts w:hint="eastAsia" w:ascii="仿宋" w:hAnsi="仿宋" w:eastAsia="仿宋" w:cs="仿宋"/>
          <w:sz w:val="32"/>
          <w:szCs w:val="32"/>
          <w:highlight w:val="none"/>
          <w:lang w:val="en-US" w:eastAsia="zh-CN"/>
        </w:rPr>
        <w:t>228.24</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223.56</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97.94</w:t>
      </w:r>
      <w:r>
        <w:rPr>
          <w:rFonts w:hint="eastAsia" w:ascii="仿宋" w:hAnsi="仿宋" w:eastAsia="仿宋" w:cs="仿宋"/>
          <w:sz w:val="32"/>
          <w:szCs w:val="32"/>
          <w:highlight w:val="none"/>
        </w:rPr>
        <w:t>%。其中：</w:t>
      </w:r>
    </w:p>
    <w:p w14:paraId="3EA400A5">
      <w:pPr>
        <w:spacing w:line="578"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1.</w:t>
      </w:r>
      <w:r>
        <w:rPr>
          <w:rFonts w:hint="eastAsia" w:ascii="仿宋" w:hAnsi="仿宋" w:eastAsia="仿宋" w:cs="仿宋"/>
          <w:b/>
          <w:sz w:val="32"/>
          <w:szCs w:val="32"/>
          <w:highlight w:val="none"/>
        </w:rPr>
        <w:t>一般公共服务（类）人大事务（款）行政运行（项）。</w:t>
      </w:r>
    </w:p>
    <w:p w14:paraId="57F7FC74">
      <w:pPr>
        <w:spacing w:line="578" w:lineRule="exact"/>
        <w:rPr>
          <w:rFonts w:hint="eastAsia" w:ascii="仿宋" w:hAnsi="仿宋" w:eastAsia="仿宋" w:cs="仿宋"/>
          <w:sz w:val="32"/>
          <w:szCs w:val="32"/>
          <w:highlight w:val="none"/>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 xml:space="preserve"> </w:t>
      </w:r>
    </w:p>
    <w:p w14:paraId="4C4C2CAB">
      <w:pPr>
        <w:ind w:firstLine="648"/>
        <w:rPr>
          <w:rFonts w:ascii="仿宋_GB2312" w:hAnsi="ˎ̥" w:eastAsia="仿宋_GB2312"/>
          <w:b/>
          <w:sz w:val="32"/>
          <w:szCs w:val="32"/>
        </w:rPr>
      </w:pPr>
      <w:r>
        <w:rPr>
          <w:rFonts w:hint="eastAsia" w:ascii="仿宋_GB2312" w:hAnsi="ˎ̥" w:eastAsia="仿宋_GB2312"/>
          <w:sz w:val="32"/>
          <w:szCs w:val="32"/>
        </w:rPr>
        <w:t xml:space="preserve"> </w:t>
      </w:r>
      <w:r>
        <w:rPr>
          <w:rFonts w:hint="eastAsia" w:ascii="仿宋_GB2312" w:hAnsi="ˎ̥" w:eastAsia="仿宋_GB2312"/>
          <w:sz w:val="32"/>
          <w:szCs w:val="32"/>
          <w:lang w:val="en-US" w:eastAsia="zh-CN"/>
        </w:rPr>
        <w:t>2</w:t>
      </w:r>
      <w:r>
        <w:rPr>
          <w:rFonts w:hint="eastAsia" w:ascii="仿宋_GB2312" w:hAnsi="ˎ̥" w:eastAsia="仿宋_GB2312"/>
          <w:b/>
          <w:sz w:val="32"/>
          <w:szCs w:val="32"/>
        </w:rPr>
        <w:t>、 社会保障和就业（类）行政事业单位养老支出（款）机关事业单位基本养老支出（项）</w:t>
      </w:r>
    </w:p>
    <w:p w14:paraId="49D93390">
      <w:pPr>
        <w:ind w:firstLine="648"/>
        <w:rPr>
          <w:rFonts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24.07</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26.56</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110.34</w:t>
      </w:r>
      <w:r>
        <w:rPr>
          <w:rFonts w:hint="eastAsia" w:ascii="仿宋_GB2312" w:hAnsi="ˎ̥" w:eastAsia="仿宋_GB2312"/>
          <w:sz w:val="32"/>
          <w:szCs w:val="32"/>
        </w:rPr>
        <w:t>%。决算数大于预算数的主要原因：</w:t>
      </w:r>
      <w:r>
        <w:rPr>
          <w:rFonts w:hint="eastAsia" w:ascii="仿宋_GB2312" w:hAnsi="ˎ̥" w:eastAsia="仿宋_GB2312"/>
          <w:sz w:val="32"/>
          <w:szCs w:val="32"/>
          <w:lang w:val="en-US" w:eastAsia="zh-CN"/>
        </w:rPr>
        <w:t>人员增加</w:t>
      </w:r>
      <w:r>
        <w:rPr>
          <w:rFonts w:hint="eastAsia" w:ascii="仿宋_GB2312" w:hAnsi="ˎ̥" w:eastAsia="仿宋_GB2312"/>
          <w:sz w:val="32"/>
          <w:szCs w:val="32"/>
        </w:rPr>
        <w:t>。</w:t>
      </w:r>
    </w:p>
    <w:p w14:paraId="683BD769">
      <w:pPr>
        <w:ind w:firstLine="648"/>
        <w:rPr>
          <w:rFonts w:ascii="仿宋_GB2312" w:hAnsi="ˎ̥" w:eastAsia="仿宋_GB2312"/>
          <w:b/>
          <w:sz w:val="32"/>
          <w:szCs w:val="32"/>
        </w:rPr>
      </w:pPr>
      <w:r>
        <w:rPr>
          <w:rFonts w:hint="eastAsia" w:ascii="仿宋_GB2312" w:hAnsi="ˎ̥" w:eastAsia="仿宋_GB2312"/>
          <w:sz w:val="32"/>
          <w:szCs w:val="32"/>
          <w:lang w:val="en-US" w:eastAsia="zh-CN"/>
        </w:rPr>
        <w:t>3</w:t>
      </w:r>
      <w:r>
        <w:rPr>
          <w:rFonts w:hint="eastAsia" w:ascii="仿宋_GB2312" w:hAnsi="ˎ̥" w:eastAsia="仿宋_GB2312"/>
          <w:sz w:val="32"/>
          <w:szCs w:val="32"/>
        </w:rPr>
        <w:t>.</w:t>
      </w:r>
      <w:r>
        <w:rPr>
          <w:rFonts w:hint="eastAsia" w:ascii="仿宋_GB2312" w:hAnsi="ˎ̥" w:eastAsia="仿宋_GB2312"/>
          <w:b/>
          <w:sz w:val="32"/>
          <w:szCs w:val="32"/>
        </w:rPr>
        <w:t xml:space="preserve"> 卫生健康（类）行政事业单位医疗（款）事业单位医疗（项）公务员医疗补助（项）</w:t>
      </w:r>
    </w:p>
    <w:p w14:paraId="48C573DA">
      <w:pPr>
        <w:ind w:firstLine="648"/>
        <w:rPr>
          <w:rFonts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16.52</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14.99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90.74</w:t>
      </w:r>
      <w:r>
        <w:rPr>
          <w:rFonts w:hint="eastAsia" w:ascii="仿宋_GB2312" w:hAnsi="ˎ̥" w:eastAsia="仿宋_GB2312"/>
          <w:sz w:val="32"/>
          <w:szCs w:val="32"/>
        </w:rPr>
        <w:t>%。决算数</w:t>
      </w:r>
      <w:r>
        <w:rPr>
          <w:rFonts w:hint="eastAsia" w:ascii="仿宋_GB2312" w:hAnsi="ˎ̥" w:eastAsia="仿宋_GB2312"/>
          <w:sz w:val="32"/>
          <w:szCs w:val="32"/>
          <w:lang w:eastAsia="zh-CN"/>
        </w:rPr>
        <w:t>小</w:t>
      </w:r>
      <w:r>
        <w:rPr>
          <w:rFonts w:hint="eastAsia" w:ascii="仿宋_GB2312" w:hAnsi="ˎ̥" w:eastAsia="仿宋_GB2312"/>
          <w:sz w:val="32"/>
          <w:szCs w:val="32"/>
        </w:rPr>
        <w:t>于预算数的主要原因：</w:t>
      </w:r>
      <w:r>
        <w:rPr>
          <w:rFonts w:hint="eastAsia" w:ascii="仿宋_GB2312" w:hAnsi="ˎ̥" w:eastAsia="仿宋_GB2312"/>
          <w:sz w:val="32"/>
          <w:szCs w:val="32"/>
          <w:lang w:val="en-US" w:eastAsia="zh-CN"/>
        </w:rPr>
        <w:t>基本医疗基数下调</w:t>
      </w:r>
      <w:r>
        <w:rPr>
          <w:rFonts w:hint="eastAsia" w:ascii="仿宋_GB2312" w:hAnsi="ˎ̥" w:eastAsia="仿宋_GB2312"/>
          <w:sz w:val="32"/>
          <w:szCs w:val="32"/>
        </w:rPr>
        <w:t>。</w:t>
      </w:r>
    </w:p>
    <w:p w14:paraId="3B5562A6">
      <w:pPr>
        <w:ind w:firstLine="640" w:firstLineChars="200"/>
        <w:rPr>
          <w:rFonts w:ascii="仿宋_GB2312" w:hAnsi="ˎ̥" w:eastAsia="仿宋_GB2312"/>
          <w:b/>
          <w:sz w:val="32"/>
          <w:szCs w:val="32"/>
        </w:rPr>
      </w:pPr>
      <w:r>
        <w:rPr>
          <w:rFonts w:hint="eastAsia" w:ascii="仿宋_GB2312" w:hAnsi="ˎ̥" w:eastAsia="仿宋_GB2312"/>
          <w:sz w:val="32"/>
          <w:szCs w:val="32"/>
          <w:lang w:val="en-US" w:eastAsia="zh-CN"/>
        </w:rPr>
        <w:t>4</w:t>
      </w:r>
      <w:r>
        <w:rPr>
          <w:rFonts w:hint="eastAsia" w:ascii="仿宋_GB2312" w:hAnsi="ˎ̥" w:eastAsia="仿宋_GB2312"/>
          <w:sz w:val="32"/>
          <w:szCs w:val="32"/>
        </w:rPr>
        <w:t>.</w:t>
      </w:r>
      <w:r>
        <w:rPr>
          <w:rFonts w:hint="eastAsia" w:ascii="仿宋_GB2312" w:hAnsi="ˎ̥" w:eastAsia="仿宋_GB2312"/>
          <w:b/>
          <w:sz w:val="32"/>
          <w:szCs w:val="32"/>
        </w:rPr>
        <w:t xml:space="preserve"> 农林水（类）农业农村（款）事业运行（项）其他农业农村支出（项）</w:t>
      </w:r>
    </w:p>
    <w:p w14:paraId="006E668B">
      <w:pPr>
        <w:ind w:firstLine="648"/>
        <w:rPr>
          <w:rFonts w:ascii="仿宋_GB2312" w:hAnsi="ˎ̥" w:eastAsia="仿宋_GB2312"/>
          <w:sz w:val="32"/>
          <w:szCs w:val="32"/>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175.71</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170.89</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97.26</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rPr>
        <w:t>于预算数的主要原因：</w:t>
      </w:r>
      <w:r>
        <w:rPr>
          <w:rFonts w:hint="eastAsia" w:ascii="仿宋_GB2312" w:hAnsi="ˎ̥" w:eastAsia="仿宋_GB2312"/>
          <w:sz w:val="32"/>
          <w:szCs w:val="32"/>
          <w:lang w:val="en-US" w:eastAsia="zh-CN"/>
        </w:rPr>
        <w:t>项目归类有所变化</w:t>
      </w:r>
      <w:r>
        <w:rPr>
          <w:rFonts w:hint="eastAsia" w:ascii="仿宋_GB2312" w:hAnsi="ˎ̥" w:eastAsia="仿宋_GB2312"/>
          <w:sz w:val="32"/>
          <w:szCs w:val="32"/>
        </w:rPr>
        <w:t>。</w:t>
      </w:r>
    </w:p>
    <w:p w14:paraId="517D2A60">
      <w:pPr>
        <w:ind w:firstLine="648"/>
        <w:rPr>
          <w:rFonts w:ascii="仿宋_GB2312" w:hAnsi="ˎ̥" w:eastAsia="仿宋_GB2312"/>
          <w:b/>
          <w:bCs/>
          <w:sz w:val="32"/>
          <w:szCs w:val="32"/>
        </w:rPr>
      </w:pPr>
      <w:r>
        <w:rPr>
          <w:rFonts w:hint="eastAsia" w:ascii="仿宋_GB2312" w:hAnsi="ˎ̥" w:eastAsia="仿宋_GB2312"/>
          <w:b/>
          <w:bCs/>
          <w:sz w:val="32"/>
          <w:szCs w:val="32"/>
          <w:lang w:val="en-US" w:eastAsia="zh-CN"/>
        </w:rPr>
        <w:t>5</w:t>
      </w:r>
      <w:r>
        <w:rPr>
          <w:rFonts w:hint="eastAsia" w:ascii="仿宋_GB2312" w:hAnsi="ˎ̥" w:eastAsia="仿宋_GB2312"/>
          <w:b/>
          <w:bCs/>
          <w:sz w:val="32"/>
          <w:szCs w:val="32"/>
        </w:rPr>
        <w:t>.住房保障（类）住房改革（款）住房公积金（项）</w:t>
      </w:r>
    </w:p>
    <w:p w14:paraId="2422BD11">
      <w:pPr>
        <w:spacing w:line="240" w:lineRule="auto"/>
        <w:ind w:firstLine="648" w:firstLineChars="0"/>
        <w:rPr>
          <w:rFonts w:hint="eastAsia" w:ascii="仿宋" w:hAnsi="仿宋" w:eastAsia="仿宋" w:cs="仿宋"/>
          <w:sz w:val="32"/>
          <w:szCs w:val="32"/>
          <w:highlight w:val="none"/>
        </w:rPr>
      </w:pPr>
      <w:r>
        <w:rPr>
          <w:rFonts w:hint="eastAsia" w:ascii="仿宋_GB2312" w:hAnsi="ˎ̥" w:eastAsia="仿宋_GB2312"/>
          <w:sz w:val="32"/>
          <w:szCs w:val="32"/>
        </w:rPr>
        <w:t>年初预算为</w:t>
      </w:r>
      <w:r>
        <w:rPr>
          <w:rFonts w:hint="eastAsia" w:ascii="仿宋_GB2312" w:hAnsi="ˎ̥" w:eastAsia="仿宋_GB2312"/>
          <w:sz w:val="32"/>
          <w:szCs w:val="32"/>
          <w:lang w:val="en-US" w:eastAsia="zh-CN"/>
        </w:rPr>
        <w:t>11.94</w:t>
      </w:r>
      <w:r>
        <w:rPr>
          <w:rFonts w:hint="eastAsia" w:ascii="仿宋_GB2312" w:hAnsi="ˎ̥" w:eastAsia="仿宋_GB2312"/>
          <w:sz w:val="32"/>
          <w:szCs w:val="32"/>
        </w:rPr>
        <w:t>万元，支出决算为</w:t>
      </w:r>
      <w:r>
        <w:rPr>
          <w:rFonts w:hint="eastAsia" w:ascii="仿宋_GB2312" w:hAnsi="ˎ̥" w:eastAsia="仿宋_GB2312"/>
          <w:sz w:val="32"/>
          <w:szCs w:val="32"/>
          <w:lang w:val="en-US" w:eastAsia="zh-CN"/>
        </w:rPr>
        <w:t>11.12</w:t>
      </w:r>
      <w:r>
        <w:rPr>
          <w:rFonts w:hint="eastAsia" w:ascii="仿宋_GB2312" w:hAnsi="ˎ̥" w:eastAsia="仿宋_GB2312"/>
          <w:sz w:val="32"/>
          <w:szCs w:val="32"/>
        </w:rPr>
        <w:t>万元，完成年初预算的</w:t>
      </w:r>
      <w:r>
        <w:rPr>
          <w:rFonts w:hint="eastAsia" w:ascii="仿宋_GB2312" w:hAnsi="ˎ̥" w:eastAsia="仿宋_GB2312"/>
          <w:sz w:val="32"/>
          <w:szCs w:val="32"/>
          <w:lang w:val="en-US" w:eastAsia="zh-CN"/>
        </w:rPr>
        <w:t>93.13</w:t>
      </w:r>
      <w:r>
        <w:rPr>
          <w:rFonts w:hint="eastAsia" w:ascii="仿宋_GB2312" w:hAnsi="ˎ̥" w:eastAsia="仿宋_GB2312"/>
          <w:sz w:val="32"/>
          <w:szCs w:val="32"/>
        </w:rPr>
        <w:t>%。决算数</w:t>
      </w:r>
      <w:r>
        <w:rPr>
          <w:rFonts w:hint="eastAsia" w:ascii="仿宋_GB2312" w:hAnsi="ˎ̥" w:eastAsia="仿宋_GB2312"/>
          <w:sz w:val="32"/>
          <w:szCs w:val="32"/>
          <w:lang w:val="en-US" w:eastAsia="zh-CN"/>
        </w:rPr>
        <w:t>小</w:t>
      </w:r>
      <w:r>
        <w:rPr>
          <w:rFonts w:hint="eastAsia" w:ascii="仿宋_GB2312" w:hAnsi="ˎ̥" w:eastAsia="仿宋_GB2312"/>
          <w:sz w:val="32"/>
          <w:szCs w:val="32"/>
        </w:rPr>
        <w:t>于预算数的主要原因：</w:t>
      </w:r>
      <w:r>
        <w:rPr>
          <w:rFonts w:hint="eastAsia" w:ascii="仿宋_GB2312" w:hAnsi="ˎ̥" w:eastAsia="仿宋_GB2312"/>
          <w:sz w:val="32"/>
          <w:szCs w:val="32"/>
          <w:lang w:val="en-US" w:eastAsia="zh-CN"/>
        </w:rPr>
        <w:t>新进人员基数测算稍偏高。</w:t>
      </w:r>
    </w:p>
    <w:p w14:paraId="2FFA68CA">
      <w:pPr>
        <w:spacing w:line="578" w:lineRule="exact"/>
        <w:ind w:firstLine="627" w:firstLineChars="196"/>
        <w:rPr>
          <w:rFonts w:hint="eastAsia" w:ascii="黑体" w:hAnsi="黑体" w:eastAsia="黑体" w:cs="黑体"/>
          <w:sz w:val="32"/>
          <w:szCs w:val="32"/>
          <w:highlight w:val="none"/>
        </w:rPr>
      </w:pPr>
      <w:r>
        <w:rPr>
          <w:rFonts w:hint="eastAsia" w:ascii="黑体" w:hAnsi="黑体" w:eastAsia="黑体" w:cs="黑体"/>
          <w:bCs/>
          <w:sz w:val="32"/>
          <w:szCs w:val="32"/>
          <w:highlight w:val="none"/>
        </w:rPr>
        <w:t>六、一般公共预算财政拨款基本支出决算情况说明</w:t>
      </w:r>
    </w:p>
    <w:p w14:paraId="07CC566D">
      <w:pPr>
        <w:tabs>
          <w:tab w:val="center" w:pos="4473"/>
        </w:tabs>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2024年度财政拨款基本支出</w:t>
      </w:r>
      <w:r>
        <w:rPr>
          <w:rFonts w:hint="eastAsia" w:ascii="仿宋" w:hAnsi="仿宋" w:eastAsia="仿宋" w:cs="仿宋"/>
          <w:sz w:val="32"/>
          <w:szCs w:val="32"/>
          <w:highlight w:val="none"/>
          <w:lang w:val="en-US" w:eastAsia="zh-CN"/>
        </w:rPr>
        <w:t>158.38</w:t>
      </w:r>
      <w:r>
        <w:rPr>
          <w:rFonts w:hint="eastAsia" w:ascii="仿宋" w:hAnsi="仿宋" w:eastAsia="仿宋" w:cs="仿宋"/>
          <w:sz w:val="32"/>
          <w:szCs w:val="32"/>
          <w:highlight w:val="none"/>
        </w:rPr>
        <w:t>万元，其中：人员经费</w:t>
      </w:r>
      <w:r>
        <w:rPr>
          <w:rFonts w:hint="eastAsia" w:ascii="仿宋" w:hAnsi="仿宋" w:eastAsia="仿宋" w:cs="仿宋"/>
          <w:sz w:val="32"/>
          <w:szCs w:val="32"/>
          <w:highlight w:val="none"/>
          <w:lang w:val="en-US" w:eastAsia="zh-CN"/>
        </w:rPr>
        <w:t>147.11</w:t>
      </w:r>
      <w:r>
        <w:rPr>
          <w:rFonts w:hint="eastAsia" w:ascii="仿宋" w:hAnsi="仿宋" w:eastAsia="仿宋" w:cs="仿宋"/>
          <w:sz w:val="32"/>
          <w:szCs w:val="32"/>
          <w:highlight w:val="none"/>
        </w:rPr>
        <w:t>万元，主要包括：工资福利支出中的基本工资、津贴补贴、奖金、伙食补助费、绩效工资、机关事业单位基本养老保险缴费、职业年金缴费、职工基本医疗保险缴费、公务员医疗补助缴费、其他社会保障缴费、住房公积金、医疗费、其他工资福利支出；对个人和家庭的补助中的离休费、退休费、退职（役）费、抚恤金、生活补助、救济费、医疗费补助、助学金、奖励金、个人农业生产补贴、代缴社会保险费、其他对个人和家庭的补助。公用经费</w:t>
      </w:r>
      <w:r>
        <w:rPr>
          <w:rFonts w:hint="eastAsia" w:ascii="仿宋" w:hAnsi="仿宋" w:eastAsia="仿宋" w:cs="仿宋"/>
          <w:sz w:val="32"/>
          <w:szCs w:val="32"/>
          <w:highlight w:val="none"/>
          <w:lang w:val="en-US" w:eastAsia="zh-CN"/>
        </w:rPr>
        <w:t>11.27</w:t>
      </w:r>
      <w:r>
        <w:rPr>
          <w:rFonts w:hint="eastAsia" w:ascii="仿宋" w:hAnsi="仿宋" w:eastAsia="仿宋" w:cs="仿宋"/>
          <w:sz w:val="32"/>
          <w:szCs w:val="32"/>
          <w:highlight w:val="none"/>
        </w:rPr>
        <w:t>万元，主要包括：商品和服务支出中的办公费、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债务利息及费用支出中的国内债务付息及国外债务付息；资本性支出中的房屋建筑物</w:t>
      </w:r>
      <w:r>
        <w:rPr>
          <w:rFonts w:hint="eastAsia" w:ascii="仿宋" w:hAnsi="仿宋" w:eastAsia="仿宋" w:cs="仿宋"/>
          <w:sz w:val="32"/>
          <w:szCs w:val="32"/>
          <w:highlight w:val="none"/>
          <w:lang w:eastAsia="zh-CN"/>
        </w:rPr>
        <w:t>购</w:t>
      </w:r>
      <w:r>
        <w:rPr>
          <w:rFonts w:hint="eastAsia" w:ascii="仿宋" w:hAnsi="仿宋" w:eastAsia="仿宋" w:cs="仿宋"/>
          <w:sz w:val="32"/>
          <w:szCs w:val="32"/>
          <w:highlight w:val="none"/>
        </w:rPr>
        <w:t>建、办公设备购置、专用设备购置、基础设施建设、大型修缮、信息网络及软件购置更新、物资储备、土地补偿、安置补助、地上附着物和青苗补偿、拆迁补偿、公务用车购置、其他交通工具购置、文物和陈列品购置、无形资产购置、其他资本性支出等；其他支出中的赠予、国家赔偿费用支出、对民间非营利组织和群众性自治组织补贴和其他支出。</w:t>
      </w:r>
    </w:p>
    <w:p w14:paraId="41B7A81C">
      <w:pPr>
        <w:tabs>
          <w:tab w:val="center" w:pos="4473"/>
        </w:tabs>
        <w:spacing w:line="578" w:lineRule="exact"/>
        <w:ind w:firstLine="627" w:firstLineChars="196"/>
        <w:rPr>
          <w:rFonts w:hint="eastAsia" w:ascii="黑体" w:hAnsi="黑体" w:eastAsia="黑体" w:cs="黑体"/>
          <w:bCs/>
          <w:sz w:val="32"/>
          <w:szCs w:val="32"/>
          <w:highlight w:val="none"/>
        </w:rPr>
      </w:pPr>
      <w:r>
        <w:rPr>
          <w:rFonts w:hint="eastAsia" w:ascii="黑体" w:hAnsi="黑体" w:eastAsia="黑体" w:cs="黑体"/>
          <w:bCs/>
          <w:sz w:val="32"/>
          <w:szCs w:val="32"/>
          <w:highlight w:val="none"/>
        </w:rPr>
        <w:t>七、政府性基金预算财政拨款支出决算情况说明</w:t>
      </w:r>
    </w:p>
    <w:p w14:paraId="1F45797B">
      <w:pPr>
        <w:spacing w:line="578"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（一）政府性基金预算财政拨款支出决算总体情况</w:t>
      </w:r>
    </w:p>
    <w:p w14:paraId="41609C18">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2024年度政府性基金预算财政拨款支出</w:t>
      </w:r>
      <w:r>
        <w:rPr>
          <w:rFonts w:hint="eastAsia" w:ascii="仿宋" w:hAnsi="仿宋" w:eastAsia="仿宋" w:cs="仿宋"/>
          <w:sz w:val="32"/>
          <w:szCs w:val="32"/>
          <w:highlight w:val="none"/>
          <w:lang w:val="en-US" w:eastAsia="zh-CN"/>
        </w:rPr>
        <w:t>7.17</w:t>
      </w:r>
      <w:r>
        <w:rPr>
          <w:rFonts w:hint="eastAsia" w:ascii="仿宋" w:hAnsi="仿宋" w:eastAsia="仿宋" w:cs="仿宋"/>
          <w:sz w:val="32"/>
          <w:szCs w:val="32"/>
          <w:highlight w:val="none"/>
        </w:rPr>
        <w:t>万元，占本年支出合计的</w:t>
      </w:r>
      <w:r>
        <w:rPr>
          <w:rFonts w:hint="eastAsia" w:ascii="仿宋" w:hAnsi="仿宋" w:eastAsia="仿宋" w:cs="仿宋"/>
          <w:sz w:val="32"/>
          <w:szCs w:val="32"/>
          <w:highlight w:val="none"/>
          <w:lang w:val="en-US" w:eastAsia="zh-CN"/>
        </w:rPr>
        <w:t>3.11</w:t>
      </w:r>
      <w:r>
        <w:rPr>
          <w:rFonts w:hint="eastAsia" w:ascii="仿宋" w:hAnsi="仿宋" w:eastAsia="仿宋" w:cs="仿宋"/>
          <w:sz w:val="32"/>
          <w:szCs w:val="32"/>
          <w:highlight w:val="none"/>
        </w:rPr>
        <w:t>%。与2023年度相比，政府性基金预算财政拨款支出减少</w:t>
      </w:r>
      <w:r>
        <w:rPr>
          <w:rFonts w:hint="eastAsia" w:ascii="仿宋" w:hAnsi="仿宋" w:eastAsia="仿宋" w:cs="仿宋"/>
          <w:sz w:val="32"/>
          <w:szCs w:val="32"/>
          <w:highlight w:val="none"/>
          <w:lang w:val="en-US" w:eastAsia="zh-CN"/>
        </w:rPr>
        <w:t>77.42</w:t>
      </w:r>
      <w:r>
        <w:rPr>
          <w:rFonts w:hint="eastAsia" w:ascii="仿宋" w:hAnsi="仿宋" w:eastAsia="仿宋" w:cs="仿宋"/>
          <w:sz w:val="32"/>
          <w:szCs w:val="32"/>
          <w:highlight w:val="none"/>
        </w:rPr>
        <w:t>万元，增长下降</w:t>
      </w:r>
      <w:r>
        <w:rPr>
          <w:rFonts w:hint="eastAsia" w:ascii="仿宋" w:hAnsi="仿宋" w:eastAsia="仿宋" w:cs="仿宋"/>
          <w:sz w:val="32"/>
          <w:szCs w:val="32"/>
          <w:highlight w:val="none"/>
          <w:lang w:val="en-US" w:eastAsia="zh-CN"/>
        </w:rPr>
        <w:t>91.52</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rPr>
        <w:t>项目减少</w:t>
      </w:r>
      <w:r>
        <w:rPr>
          <w:rFonts w:hint="eastAsia" w:ascii="仿宋" w:hAnsi="仿宋" w:eastAsia="仿宋" w:cs="仿宋"/>
          <w:sz w:val="32"/>
          <w:szCs w:val="32"/>
          <w:highlight w:val="none"/>
        </w:rPr>
        <w:t>。</w:t>
      </w:r>
    </w:p>
    <w:p w14:paraId="50CE5238">
      <w:pPr>
        <w:spacing w:line="578"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（二）政府性基金预算财政拨款支出决算结构情况</w:t>
      </w:r>
    </w:p>
    <w:p w14:paraId="35E7E1E4">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2024年度政府性基金预算财政拨款支出</w:t>
      </w:r>
      <w:r>
        <w:rPr>
          <w:rFonts w:hint="eastAsia" w:ascii="仿宋" w:hAnsi="仿宋" w:eastAsia="仿宋" w:cs="仿宋"/>
          <w:sz w:val="32"/>
          <w:szCs w:val="32"/>
          <w:highlight w:val="none"/>
          <w:lang w:val="en-US" w:eastAsia="zh-CN"/>
        </w:rPr>
        <w:t>7.17</w:t>
      </w:r>
      <w:r>
        <w:rPr>
          <w:rFonts w:hint="eastAsia" w:ascii="仿宋" w:hAnsi="仿宋" w:eastAsia="仿宋" w:cs="仿宋"/>
          <w:sz w:val="32"/>
          <w:szCs w:val="32"/>
          <w:highlight w:val="none"/>
        </w:rPr>
        <w:t>万元，主要用</w:t>
      </w:r>
      <w:r>
        <w:rPr>
          <w:rFonts w:hint="eastAsia" w:ascii="仿宋_GB2312" w:hAnsi="ˎ̥" w:eastAsia="仿宋_GB2312"/>
          <w:sz w:val="32"/>
          <w:szCs w:val="32"/>
        </w:rPr>
        <w:t>主要用于以下方面：</w:t>
      </w:r>
      <w:r>
        <w:rPr>
          <w:rFonts w:hint="eastAsia" w:ascii="仿宋_GB2312" w:hAnsi="ˎ̥" w:eastAsia="仿宋_GB2312"/>
          <w:sz w:val="32"/>
          <w:szCs w:val="32"/>
          <w:lang w:eastAsia="zh-CN"/>
        </w:rPr>
        <w:t>城乡社区</w:t>
      </w:r>
      <w:r>
        <w:rPr>
          <w:rFonts w:hint="eastAsia" w:ascii="仿宋_GB2312" w:hAnsi="ˎ̥" w:eastAsia="仿宋_GB2312"/>
          <w:sz w:val="32"/>
          <w:szCs w:val="32"/>
        </w:rPr>
        <w:t>（类）支出</w:t>
      </w:r>
      <w:r>
        <w:rPr>
          <w:rFonts w:hint="eastAsia" w:ascii="仿宋_GB2312" w:hAnsi="ˎ̥" w:eastAsia="仿宋_GB2312"/>
          <w:sz w:val="32"/>
          <w:szCs w:val="32"/>
          <w:lang w:val="en-US" w:eastAsia="zh-CN"/>
        </w:rPr>
        <w:t>7.17</w:t>
      </w:r>
      <w:r>
        <w:rPr>
          <w:rFonts w:hint="eastAsia" w:ascii="仿宋_GB2312" w:hAnsi="ˎ̥" w:eastAsia="仿宋_GB2312"/>
          <w:sz w:val="32"/>
          <w:szCs w:val="32"/>
        </w:rPr>
        <w:t>万元，占</w:t>
      </w:r>
      <w:r>
        <w:rPr>
          <w:rFonts w:hint="eastAsia" w:ascii="仿宋_GB2312" w:hAnsi="ˎ̥" w:eastAsia="仿宋_GB2312"/>
          <w:sz w:val="32"/>
          <w:szCs w:val="32"/>
          <w:lang w:val="en-US" w:eastAsia="zh-CN"/>
        </w:rPr>
        <w:t>100</w:t>
      </w:r>
      <w:r>
        <w:rPr>
          <w:rFonts w:hint="eastAsia" w:ascii="仿宋_GB2312" w:hAnsi="ˎ̥" w:eastAsia="仿宋_GB2312"/>
          <w:sz w:val="32"/>
          <w:szCs w:val="32"/>
        </w:rPr>
        <w:t>%。</w:t>
      </w:r>
    </w:p>
    <w:p w14:paraId="09FFB3B6">
      <w:pPr>
        <w:spacing w:line="578"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（三）政府性基金预算财政拨款支出决算具体情况</w:t>
      </w:r>
    </w:p>
    <w:p w14:paraId="26720C4F">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2024年度政府性基金预算财政拨款支出年初预算为</w:t>
      </w:r>
      <w:r>
        <w:rPr>
          <w:rFonts w:hint="eastAsia" w:ascii="仿宋" w:hAnsi="仿宋" w:eastAsia="仿宋" w:cs="仿宋"/>
          <w:sz w:val="32"/>
          <w:szCs w:val="32"/>
          <w:highlight w:val="none"/>
          <w:lang w:val="en-US" w:eastAsia="zh-CN"/>
        </w:rPr>
        <w:t>33.20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7.17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21.60</w:t>
      </w:r>
      <w:r>
        <w:rPr>
          <w:rFonts w:hint="eastAsia" w:ascii="仿宋" w:hAnsi="仿宋" w:eastAsia="仿宋" w:cs="仿宋"/>
          <w:sz w:val="32"/>
          <w:szCs w:val="32"/>
          <w:highlight w:val="none"/>
        </w:rPr>
        <w:t>%。其中：</w:t>
      </w:r>
    </w:p>
    <w:p w14:paraId="6E6A1F85">
      <w:pPr>
        <w:spacing w:line="560" w:lineRule="exact"/>
        <w:ind w:firstLine="640" w:firstLineChars="200"/>
        <w:rPr>
          <w:rFonts w:ascii="仿宋_GB2312" w:hAnsi="ˎ̥" w:eastAsia="仿宋_GB2312"/>
          <w:b/>
          <w:color w:val="000000"/>
          <w:sz w:val="32"/>
          <w:szCs w:val="32"/>
        </w:rPr>
      </w:pPr>
      <w:r>
        <w:rPr>
          <w:rFonts w:hint="eastAsia" w:ascii="仿宋_GB2312" w:hAnsi="ˎ̥" w:eastAsia="仿宋_GB2312"/>
          <w:color w:val="000000"/>
          <w:sz w:val="32"/>
          <w:szCs w:val="32"/>
        </w:rPr>
        <w:t>1.城乡社区</w:t>
      </w:r>
      <w:r>
        <w:rPr>
          <w:rFonts w:hint="eastAsia" w:ascii="仿宋_GB2312" w:hAnsi="ˎ̥" w:eastAsia="仿宋_GB2312"/>
          <w:b/>
          <w:color w:val="000000"/>
          <w:sz w:val="32"/>
          <w:szCs w:val="32"/>
        </w:rPr>
        <w:t>（类）</w:t>
      </w:r>
      <w:r>
        <w:rPr>
          <w:rFonts w:hint="eastAsia" w:ascii="仿宋_GB2312" w:hAnsi="ˎ̥" w:eastAsia="仿宋_GB2312"/>
          <w:color w:val="000000"/>
          <w:sz w:val="32"/>
          <w:szCs w:val="32"/>
        </w:rPr>
        <w:t>支出国有土地使用权出让收入安排的支出</w:t>
      </w:r>
      <w:r>
        <w:rPr>
          <w:rFonts w:hint="eastAsia" w:ascii="仿宋_GB2312" w:hAnsi="ˎ̥" w:eastAsia="仿宋_GB2312"/>
          <w:b/>
          <w:color w:val="000000"/>
          <w:sz w:val="32"/>
          <w:szCs w:val="32"/>
        </w:rPr>
        <w:t>（款）</w:t>
      </w:r>
      <w:r>
        <w:rPr>
          <w:rFonts w:hint="eastAsia" w:ascii="仿宋_GB2312" w:hAnsi="ˎ̥" w:eastAsia="仿宋_GB2312"/>
          <w:color w:val="000000"/>
          <w:sz w:val="32"/>
          <w:szCs w:val="32"/>
        </w:rPr>
        <w:t>其他国有土地使用权出让收入安排的支出</w:t>
      </w:r>
      <w:r>
        <w:rPr>
          <w:rFonts w:hint="eastAsia" w:ascii="仿宋_GB2312" w:hAnsi="ˎ̥" w:eastAsia="仿宋_GB2312"/>
          <w:b/>
          <w:color w:val="000000"/>
          <w:sz w:val="32"/>
          <w:szCs w:val="32"/>
        </w:rPr>
        <w:t>（项）。</w:t>
      </w:r>
    </w:p>
    <w:p w14:paraId="393EA07F">
      <w:pPr>
        <w:spacing w:line="578" w:lineRule="exact"/>
        <w:ind w:firstLine="640" w:firstLineChars="200"/>
        <w:rPr>
          <w:rFonts w:hint="eastAsia" w:ascii="仿宋" w:hAnsi="仿宋" w:eastAsia="仿宋" w:cs="仿宋"/>
          <w:sz w:val="32"/>
          <w:szCs w:val="32"/>
          <w:highlight w:val="none"/>
        </w:rPr>
      </w:pPr>
      <w:r>
        <w:rPr>
          <w:rFonts w:hint="eastAsia" w:ascii="仿宋_GB2312" w:hAnsi="ˎ̥" w:eastAsia="仿宋_GB2312"/>
          <w:color w:val="000000"/>
          <w:sz w:val="32"/>
          <w:szCs w:val="32"/>
        </w:rPr>
        <w:t>年初预算为</w:t>
      </w:r>
      <w:r>
        <w:rPr>
          <w:rFonts w:hint="eastAsia" w:ascii="仿宋_GB2312" w:hAnsi="ˎ̥" w:eastAsia="仿宋_GB2312"/>
          <w:color w:val="000000"/>
          <w:sz w:val="32"/>
          <w:szCs w:val="32"/>
          <w:lang w:val="en-US" w:eastAsia="zh-CN"/>
        </w:rPr>
        <w:t>33.20</w:t>
      </w:r>
      <w:r>
        <w:rPr>
          <w:rFonts w:hint="eastAsia" w:ascii="仿宋_GB2312" w:hAnsi="ˎ̥" w:eastAsia="仿宋_GB2312"/>
          <w:color w:val="000000"/>
          <w:sz w:val="32"/>
          <w:szCs w:val="32"/>
        </w:rPr>
        <w:t>万元，支出决算为</w:t>
      </w:r>
      <w:r>
        <w:rPr>
          <w:rFonts w:hint="eastAsia" w:ascii="仿宋_GB2312" w:hAnsi="ˎ̥" w:eastAsia="仿宋_GB2312"/>
          <w:color w:val="000000"/>
          <w:sz w:val="32"/>
          <w:szCs w:val="32"/>
          <w:lang w:val="en-US" w:eastAsia="zh-CN"/>
        </w:rPr>
        <w:t>7.17</w:t>
      </w:r>
      <w:r>
        <w:rPr>
          <w:rFonts w:hint="eastAsia" w:ascii="仿宋_GB2312" w:hAnsi="ˎ̥" w:eastAsia="仿宋_GB2312"/>
          <w:color w:val="000000"/>
          <w:sz w:val="32"/>
          <w:szCs w:val="32"/>
        </w:rPr>
        <w:t>万元，完成年初预算的</w:t>
      </w:r>
      <w:r>
        <w:rPr>
          <w:rFonts w:hint="eastAsia" w:ascii="仿宋_GB2312" w:hAnsi="ˎ̥" w:eastAsia="仿宋_GB2312"/>
          <w:color w:val="000000"/>
          <w:sz w:val="32"/>
          <w:szCs w:val="32"/>
          <w:lang w:val="en-US" w:eastAsia="zh-CN"/>
        </w:rPr>
        <w:t>21.60</w:t>
      </w:r>
      <w:r>
        <w:rPr>
          <w:rFonts w:hint="eastAsia" w:ascii="仿宋_GB2312" w:hAnsi="ˎ̥" w:eastAsia="仿宋_GB2312"/>
          <w:color w:val="000000"/>
          <w:sz w:val="32"/>
          <w:szCs w:val="32"/>
        </w:rPr>
        <w:t>%。决算数小于预算数的主要原因：财政主管部门在资金拨付和使用管理上比较严格</w:t>
      </w:r>
      <w:r>
        <w:rPr>
          <w:rFonts w:hint="eastAsia" w:ascii="仿宋_GB2312" w:hAnsi="ˎ̥" w:eastAsia="仿宋_GB2312"/>
          <w:color w:val="000000"/>
          <w:sz w:val="32"/>
          <w:szCs w:val="32"/>
          <w:lang w:eastAsia="zh-CN"/>
        </w:rPr>
        <w:t>、</w:t>
      </w:r>
      <w:r>
        <w:rPr>
          <w:rFonts w:hint="eastAsia" w:ascii="仿宋_GB2312" w:hAnsi="ˎ̥" w:eastAsia="仿宋_GB2312"/>
          <w:color w:val="000000"/>
          <w:sz w:val="32"/>
          <w:szCs w:val="32"/>
          <w:lang w:val="en-US" w:eastAsia="zh-CN"/>
        </w:rPr>
        <w:t>资金压减</w:t>
      </w:r>
      <w:r>
        <w:rPr>
          <w:rFonts w:hint="eastAsia" w:ascii="仿宋_GB2312" w:hAnsi="ˎ̥" w:eastAsia="仿宋_GB2312"/>
          <w:color w:val="000000"/>
          <w:sz w:val="32"/>
          <w:szCs w:val="32"/>
        </w:rPr>
        <w:t>。</w:t>
      </w:r>
    </w:p>
    <w:p w14:paraId="391ECAE8">
      <w:pPr>
        <w:tabs>
          <w:tab w:val="center" w:pos="4473"/>
        </w:tabs>
        <w:spacing w:line="578" w:lineRule="exact"/>
        <w:ind w:firstLine="627" w:firstLineChars="196"/>
        <w:rPr>
          <w:rFonts w:hint="eastAsia" w:ascii="黑体" w:hAnsi="黑体" w:eastAsia="黑体" w:cs="黑体"/>
          <w:bCs/>
          <w:sz w:val="32"/>
          <w:szCs w:val="32"/>
          <w:highlight w:val="none"/>
        </w:rPr>
      </w:pPr>
      <w:r>
        <w:rPr>
          <w:rFonts w:hint="eastAsia" w:ascii="黑体" w:hAnsi="黑体" w:eastAsia="黑体" w:cs="黑体"/>
          <w:bCs/>
          <w:sz w:val="32"/>
          <w:szCs w:val="32"/>
          <w:highlight w:val="none"/>
        </w:rPr>
        <w:t>八、国有资本经营预算财政拨款支出决算情况说明</w:t>
      </w:r>
    </w:p>
    <w:p w14:paraId="2DBA6B90">
      <w:pPr>
        <w:spacing w:line="578"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（一）国有资本经营预算财政拨款支出决算总体情况</w:t>
      </w:r>
    </w:p>
    <w:p w14:paraId="6930DB43">
      <w:pPr>
        <w:spacing w:line="578" w:lineRule="exact"/>
        <w:ind w:firstLine="640" w:firstLineChars="200"/>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2024年度国有资本经营预算财政拨款支出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万元，占本年支出合计的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%。与2023年度相比，国有资本经营预算财政拨款支出</w:t>
      </w:r>
      <w:r>
        <w:rPr>
          <w:rFonts w:hint="eastAsia" w:ascii="仿宋" w:hAnsi="仿宋" w:eastAsia="仿宋" w:cs="仿宋"/>
          <w:sz w:val="32"/>
          <w:szCs w:val="32"/>
          <w:highlight w:val="none"/>
          <w:lang w:val="en-US" w:eastAsia="zh-CN"/>
        </w:rPr>
        <w:t>持平。</w:t>
      </w:r>
    </w:p>
    <w:p w14:paraId="1B4F4D58">
      <w:pPr>
        <w:spacing w:line="578"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（二）国有资本经营预算财政拨款支出决算结构情况</w:t>
      </w:r>
    </w:p>
    <w:p w14:paraId="050070E4">
      <w:pPr>
        <w:spacing w:line="578"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2024年度国有资本经营预算财政拨款支出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14:paraId="0CDA94C1">
      <w:pPr>
        <w:spacing w:line="578" w:lineRule="exact"/>
        <w:ind w:firstLine="640" w:firstLineChars="200"/>
        <w:rPr>
          <w:rFonts w:hint="eastAsia" w:ascii="楷体" w:hAnsi="楷体" w:eastAsia="楷体" w:cs="楷体"/>
          <w:sz w:val="32"/>
          <w:szCs w:val="32"/>
          <w:highlight w:val="none"/>
        </w:rPr>
      </w:pPr>
      <w:r>
        <w:rPr>
          <w:rFonts w:hint="eastAsia" w:ascii="楷体" w:hAnsi="楷体" w:eastAsia="楷体" w:cs="楷体"/>
          <w:sz w:val="32"/>
          <w:szCs w:val="32"/>
          <w:highlight w:val="none"/>
        </w:rPr>
        <w:t>（三）国有资本经营预算财政拨款支出决算具体情况</w:t>
      </w:r>
    </w:p>
    <w:p w14:paraId="0EE3BCAB">
      <w:pPr>
        <w:spacing w:line="578" w:lineRule="exact"/>
        <w:ind w:firstLine="640" w:firstLineChars="200"/>
        <w:rPr>
          <w:rFonts w:hint="eastAsia" w:ascii="仿宋" w:hAnsi="仿宋" w:eastAsia="仿宋" w:cs="仿宋"/>
          <w:b/>
          <w:sz w:val="32"/>
          <w:szCs w:val="32"/>
          <w:highlight w:val="none"/>
        </w:rPr>
      </w:pPr>
      <w:r>
        <w:rPr>
          <w:rFonts w:hint="eastAsia" w:ascii="仿宋" w:hAnsi="仿宋" w:eastAsia="仿宋" w:cs="仿宋"/>
          <w:sz w:val="32"/>
          <w:szCs w:val="32"/>
          <w:highlight w:val="none"/>
        </w:rPr>
        <w:t>2024年度国有资本经营预算财政拨款支出年初预算为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p>
    <w:p w14:paraId="5E9A8331">
      <w:pPr>
        <w:tabs>
          <w:tab w:val="center" w:pos="4473"/>
        </w:tabs>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年初预算为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p>
    <w:p w14:paraId="763D9563">
      <w:pPr>
        <w:spacing w:line="578" w:lineRule="exact"/>
        <w:ind w:firstLine="627" w:firstLineChars="196"/>
        <w:rPr>
          <w:rFonts w:hint="eastAsia" w:ascii="仿宋_GB2312" w:hAnsi="ˎ̥" w:eastAsia="楷体_GB2312"/>
          <w:sz w:val="32"/>
          <w:szCs w:val="32"/>
          <w:highlight w:val="none"/>
        </w:rPr>
      </w:pPr>
      <w:r>
        <w:rPr>
          <w:rFonts w:hint="eastAsia" w:ascii="黑体" w:hAnsi="黑体" w:eastAsia="黑体" w:cs="黑体"/>
          <w:bCs/>
          <w:sz w:val="32"/>
          <w:szCs w:val="32"/>
          <w:highlight w:val="none"/>
        </w:rPr>
        <w:t>九、财政拨款“三公”经费支出决算情况说明</w:t>
      </w:r>
    </w:p>
    <w:p w14:paraId="5FC12B6B">
      <w:pPr>
        <w:spacing w:line="578"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（一）财政拨款“三公”经费支出决算总体情况说明</w:t>
      </w:r>
    </w:p>
    <w:p w14:paraId="51D79FD5">
      <w:pPr>
        <w:spacing w:line="578" w:lineRule="exact"/>
        <w:rPr>
          <w:rFonts w:hint="eastAsia" w:ascii="仿宋" w:hAnsi="仿宋" w:eastAsia="仿宋" w:cs="仿宋"/>
          <w:sz w:val="32"/>
          <w:szCs w:val="32"/>
          <w:highlight w:val="none"/>
        </w:rPr>
      </w:pPr>
      <w:r>
        <w:rPr>
          <w:rFonts w:hint="eastAsia" w:ascii="仿宋_GB2312" w:hAnsi="ˎ̥" w:eastAsia="仿宋_GB2312"/>
          <w:sz w:val="32"/>
          <w:szCs w:val="32"/>
          <w:highlight w:val="none"/>
        </w:rPr>
        <w:t xml:space="preserve">   </w:t>
      </w:r>
      <w:r>
        <w:rPr>
          <w:rFonts w:hint="eastAsia" w:ascii="仿宋" w:hAnsi="仿宋" w:eastAsia="仿宋" w:cs="仿宋"/>
          <w:sz w:val="32"/>
          <w:szCs w:val="32"/>
          <w:highlight w:val="none"/>
        </w:rPr>
        <w:t xml:space="preserve"> 2024年度财政拨款“三公”经费支出预算为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万元，完成预算的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%，与2023年度相比，“三公”经费支出</w:t>
      </w:r>
      <w:r>
        <w:rPr>
          <w:rFonts w:hint="eastAsia" w:ascii="仿宋" w:hAnsi="仿宋" w:eastAsia="仿宋" w:cs="仿宋"/>
          <w:sz w:val="32"/>
          <w:szCs w:val="32"/>
          <w:highlight w:val="none"/>
          <w:lang w:val="en-US" w:eastAsia="zh-CN"/>
        </w:rPr>
        <w:t>持平</w:t>
      </w:r>
      <w:r>
        <w:rPr>
          <w:rFonts w:hint="eastAsia" w:ascii="仿宋" w:hAnsi="仿宋" w:eastAsia="仿宋" w:cs="仿宋"/>
          <w:sz w:val="32"/>
          <w:szCs w:val="32"/>
          <w:highlight w:val="none"/>
        </w:rPr>
        <w:t>。</w:t>
      </w:r>
    </w:p>
    <w:p w14:paraId="5DE6A28A">
      <w:pPr>
        <w:spacing w:line="578" w:lineRule="exact"/>
        <w:rPr>
          <w:rFonts w:hint="eastAsia" w:ascii="楷体" w:hAnsi="楷体" w:eastAsia="楷体" w:cs="楷体"/>
          <w:sz w:val="32"/>
          <w:szCs w:val="32"/>
          <w:highlight w:val="none"/>
        </w:rPr>
      </w:pPr>
      <w:r>
        <w:rPr>
          <w:rFonts w:hint="eastAsia" w:ascii="楷体" w:hAnsi="楷体" w:eastAsia="楷体" w:cs="楷体"/>
          <w:b/>
          <w:bCs/>
          <w:sz w:val="32"/>
          <w:szCs w:val="32"/>
          <w:highlight w:val="none"/>
        </w:rPr>
        <w:t xml:space="preserve">   </w:t>
      </w:r>
      <w:r>
        <w:rPr>
          <w:rFonts w:hint="eastAsia" w:ascii="楷体" w:hAnsi="楷体" w:eastAsia="楷体" w:cs="楷体"/>
          <w:sz w:val="32"/>
          <w:szCs w:val="32"/>
          <w:highlight w:val="none"/>
        </w:rPr>
        <w:t xml:space="preserve"> （二）财政拨款“三公”经费支出决算具体情况说明</w:t>
      </w:r>
    </w:p>
    <w:p w14:paraId="0EF5ACF4">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2024年度财政拨款“三公”经费支出决算中，因公出国（境）费支出决算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%；公务用车购置及运行维护费支出决算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%；公务接待费支出决算</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%。具体情况如下：</w:t>
      </w:r>
    </w:p>
    <w:p w14:paraId="54D877C3">
      <w:pPr>
        <w:spacing w:line="578"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1.因公出国（境）费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万元。全年安排因公出国（境）团组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个，因公出国（境）</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人次。与2023年度相比</w:t>
      </w:r>
      <w:r>
        <w:rPr>
          <w:rFonts w:hint="eastAsia" w:ascii="仿宋" w:hAnsi="仿宋" w:eastAsia="仿宋" w:cs="仿宋"/>
          <w:sz w:val="32"/>
          <w:szCs w:val="32"/>
          <w:highlight w:val="none"/>
          <w:lang w:val="en-US" w:eastAsia="zh-CN"/>
        </w:rPr>
        <w:t>持平。</w:t>
      </w:r>
    </w:p>
    <w:p w14:paraId="40E797F0">
      <w:pPr>
        <w:spacing w:line="578" w:lineRule="exact"/>
        <w:rPr>
          <w:rFonts w:hint="eastAsia" w:ascii="仿宋" w:hAnsi="仿宋" w:eastAsia="仿宋" w:cs="仿宋"/>
          <w:sz w:val="32"/>
          <w:szCs w:val="32"/>
          <w:highlight w:val="none"/>
        </w:rPr>
      </w:pPr>
      <w:r>
        <w:rPr>
          <w:rFonts w:hint="eastAsia" w:ascii="仿宋" w:hAnsi="仿宋" w:eastAsia="仿宋" w:cs="仿宋"/>
          <w:b/>
          <w:sz w:val="32"/>
          <w:szCs w:val="32"/>
          <w:highlight w:val="none"/>
        </w:rPr>
        <w:t xml:space="preserve">    2.公务用车购置及运行维护费</w:t>
      </w:r>
      <w:r>
        <w:rPr>
          <w:rFonts w:hint="eastAsia" w:ascii="仿宋" w:hAnsi="仿宋" w:eastAsia="仿宋" w:cs="仿宋"/>
          <w:b w:val="0"/>
          <w:bCs/>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w:t>
      </w:r>
    </w:p>
    <w:p w14:paraId="1D97FC79">
      <w:pPr>
        <w:spacing w:line="578" w:lineRule="exact"/>
        <w:ind w:firstLine="643" w:firstLineChars="200"/>
        <w:rPr>
          <w:rFonts w:hint="default" w:ascii="仿宋" w:hAnsi="仿宋" w:eastAsia="仿宋" w:cs="仿宋"/>
          <w:sz w:val="32"/>
          <w:szCs w:val="32"/>
          <w:highlight w:val="none"/>
          <w:lang w:val="en-US" w:eastAsia="zh-CN"/>
        </w:rPr>
      </w:pPr>
      <w:r>
        <w:rPr>
          <w:rFonts w:hint="eastAsia" w:ascii="仿宋" w:hAnsi="仿宋" w:eastAsia="仿宋" w:cs="仿宋"/>
          <w:b/>
          <w:sz w:val="32"/>
          <w:szCs w:val="32"/>
          <w:highlight w:val="none"/>
        </w:rPr>
        <w:t>公务用车购置</w:t>
      </w:r>
      <w:r>
        <w:rPr>
          <w:rFonts w:hint="eastAsia" w:ascii="仿宋" w:hAnsi="仿宋" w:eastAsia="仿宋" w:cs="仿宋"/>
          <w:b w:val="0"/>
          <w:bCs/>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万元，全年购置公务用车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年末公务用车保有量</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w:t>
      </w:r>
      <w:r>
        <w:rPr>
          <w:rFonts w:hint="eastAsia" w:ascii="仿宋" w:hAnsi="仿宋" w:eastAsia="仿宋" w:cs="仿宋"/>
          <w:sz w:val="32"/>
          <w:szCs w:val="32"/>
          <w:highlight w:val="none"/>
          <w:lang w:val="en-US" w:eastAsia="zh-CN"/>
        </w:rPr>
        <w:t>与2023年度相比持平。</w:t>
      </w:r>
    </w:p>
    <w:p w14:paraId="308C1DFE">
      <w:pPr>
        <w:spacing w:line="578" w:lineRule="exact"/>
        <w:ind w:firstLine="643" w:firstLineChars="200"/>
        <w:rPr>
          <w:rFonts w:hint="default" w:ascii="仿宋" w:hAnsi="仿宋" w:eastAsia="仿宋" w:cs="仿宋"/>
          <w:bCs/>
          <w:sz w:val="32"/>
          <w:szCs w:val="32"/>
          <w:highlight w:val="none"/>
          <w:lang w:val="en-US" w:eastAsia="zh-CN"/>
        </w:rPr>
      </w:pPr>
      <w:r>
        <w:rPr>
          <w:rFonts w:hint="eastAsia" w:ascii="仿宋" w:hAnsi="仿宋" w:eastAsia="仿宋" w:cs="仿宋"/>
          <w:b/>
          <w:sz w:val="32"/>
          <w:szCs w:val="32"/>
          <w:highlight w:val="none"/>
        </w:rPr>
        <w:t>公务用车运行维护费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万元。与2023年度相比</w:t>
      </w:r>
      <w:r>
        <w:rPr>
          <w:rFonts w:hint="eastAsia" w:ascii="仿宋" w:hAnsi="仿宋" w:eastAsia="仿宋" w:cs="仿宋"/>
          <w:sz w:val="32"/>
          <w:szCs w:val="32"/>
          <w:highlight w:val="none"/>
          <w:lang w:val="en-US" w:eastAsia="zh-CN"/>
        </w:rPr>
        <w:t>持平</w:t>
      </w:r>
    </w:p>
    <w:p w14:paraId="107CCB79">
      <w:pPr>
        <w:spacing w:line="578" w:lineRule="exact"/>
        <w:rPr>
          <w:rFonts w:hint="eastAsia" w:ascii="仿宋" w:hAnsi="仿宋" w:eastAsia="仿宋" w:cs="仿宋"/>
          <w:sz w:val="32"/>
          <w:szCs w:val="32"/>
          <w:highlight w:val="none"/>
        </w:rPr>
      </w:pPr>
      <w:r>
        <w:rPr>
          <w:rFonts w:hint="eastAsia" w:ascii="仿宋_GB2312" w:hAnsi="ˎ̥" w:eastAsia="仿宋_GB2312"/>
          <w:b/>
          <w:sz w:val="32"/>
          <w:szCs w:val="32"/>
          <w:highlight w:val="none"/>
        </w:rPr>
        <w:t xml:space="preserve">   </w:t>
      </w:r>
      <w:r>
        <w:rPr>
          <w:rFonts w:hint="eastAsia" w:ascii="仿宋" w:hAnsi="仿宋" w:eastAsia="仿宋" w:cs="仿宋"/>
          <w:b/>
          <w:sz w:val="32"/>
          <w:szCs w:val="32"/>
          <w:highlight w:val="none"/>
        </w:rPr>
        <w:t xml:space="preserve"> 3.公务接待费</w:t>
      </w:r>
      <w:r>
        <w:rPr>
          <w:rFonts w:hint="eastAsia" w:ascii="仿宋" w:hAnsi="仿宋" w:eastAsia="仿宋" w:cs="仿宋"/>
          <w:b w:val="0"/>
          <w:bCs/>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w:t>
      </w:r>
    </w:p>
    <w:p w14:paraId="7CAB2620">
      <w:pPr>
        <w:spacing w:line="578" w:lineRule="exact"/>
        <w:ind w:firstLine="643" w:firstLineChars="200"/>
        <w:rPr>
          <w:rFonts w:hint="eastAsia" w:ascii="仿宋" w:hAnsi="仿宋" w:eastAsia="仿宋" w:cs="仿宋"/>
          <w:sz w:val="32"/>
          <w:szCs w:val="32"/>
          <w:highlight w:val="none"/>
        </w:rPr>
      </w:pPr>
      <w:r>
        <w:rPr>
          <w:rFonts w:hint="eastAsia" w:ascii="仿宋" w:hAnsi="仿宋" w:eastAsia="仿宋" w:cs="仿宋"/>
          <w:b/>
          <w:sz w:val="32"/>
          <w:szCs w:val="32"/>
          <w:highlight w:val="none"/>
        </w:rPr>
        <w:t>国内接待费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万元，国内公务接待</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X批次，接待</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人次。</w:t>
      </w:r>
    </w:p>
    <w:p w14:paraId="0E992B81">
      <w:pPr>
        <w:spacing w:line="578" w:lineRule="exact"/>
        <w:ind w:firstLine="643" w:firstLineChars="200"/>
        <w:rPr>
          <w:rFonts w:hint="eastAsia" w:ascii="仿宋" w:hAnsi="仿宋" w:eastAsia="仿宋" w:cs="仿宋"/>
          <w:sz w:val="32"/>
          <w:szCs w:val="32"/>
          <w:highlight w:val="none"/>
        </w:rPr>
      </w:pPr>
      <w:r>
        <w:rPr>
          <w:rFonts w:hint="eastAsia" w:ascii="仿宋" w:hAnsi="仿宋" w:eastAsia="仿宋" w:cs="仿宋"/>
          <w:b/>
          <w:bCs/>
          <w:sz w:val="32"/>
          <w:szCs w:val="32"/>
          <w:highlight w:val="none"/>
        </w:rPr>
        <w:t>国（境）外接待费</w:t>
      </w:r>
      <w:r>
        <w:rPr>
          <w:rFonts w:hint="eastAsia" w:ascii="仿宋" w:hAnsi="仿宋" w:eastAsia="仿宋" w:cs="仿宋"/>
          <w:sz w:val="32"/>
          <w:szCs w:val="32"/>
          <w:highlight w:val="none"/>
        </w:rPr>
        <w:t>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万元，国（境）外公务接待</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批次，接待</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人次。</w:t>
      </w:r>
    </w:p>
    <w:p w14:paraId="0C0159A5">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与2023年度相比</w:t>
      </w:r>
      <w:r>
        <w:rPr>
          <w:rFonts w:hint="eastAsia" w:ascii="仿宋" w:hAnsi="仿宋" w:eastAsia="仿宋" w:cs="仿宋"/>
          <w:sz w:val="32"/>
          <w:szCs w:val="32"/>
          <w:highlight w:val="none"/>
          <w:lang w:val="en-US" w:eastAsia="zh-CN"/>
        </w:rPr>
        <w:t>持平</w:t>
      </w:r>
      <w:r>
        <w:rPr>
          <w:rFonts w:hint="eastAsia" w:ascii="仿宋" w:hAnsi="仿宋" w:eastAsia="仿宋" w:cs="仿宋"/>
          <w:sz w:val="32"/>
          <w:szCs w:val="32"/>
          <w:highlight w:val="none"/>
        </w:rPr>
        <w:t>。</w:t>
      </w:r>
    </w:p>
    <w:p w14:paraId="1B7334EF">
      <w:pPr>
        <w:spacing w:line="578"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十、预算绩效情况说明</w:t>
      </w:r>
    </w:p>
    <w:p w14:paraId="1C749EE5">
      <w:pPr>
        <w:spacing w:line="578"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（一）绩效管理工作开展情况</w:t>
      </w:r>
    </w:p>
    <w:p w14:paraId="491B9E41">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根据财政预算绩效管理要求，可按照如下格式说明：根据预算管理要求，我单位组织对2024年度一般公共预算项目支出全面开展绩效自评</w:t>
      </w:r>
      <w:r>
        <w:rPr>
          <w:rFonts w:hint="eastAsia" w:ascii="仿宋" w:hAnsi="仿宋" w:eastAsia="仿宋" w:cs="仿宋"/>
          <w:sz w:val="32"/>
          <w:szCs w:val="32"/>
          <w:highlight w:val="none"/>
          <w:lang w:bidi="ar"/>
        </w:rPr>
        <w:t>，共涉及资金</w:t>
      </w:r>
      <w:r>
        <w:rPr>
          <w:rFonts w:hint="eastAsia" w:ascii="仿宋" w:hAnsi="仿宋" w:eastAsia="仿宋" w:cs="仿宋"/>
          <w:color w:val="auto"/>
          <w:sz w:val="32"/>
          <w:szCs w:val="32"/>
          <w:highlight w:val="none"/>
          <w:lang w:val="en-US" w:eastAsia="zh-CN" w:bidi="ar"/>
        </w:rPr>
        <w:t>65.18</w:t>
      </w:r>
      <w:r>
        <w:rPr>
          <w:rFonts w:hint="eastAsia" w:ascii="仿宋" w:hAnsi="仿宋" w:eastAsia="仿宋" w:cs="仿宋"/>
          <w:sz w:val="32"/>
          <w:szCs w:val="32"/>
          <w:highlight w:val="none"/>
          <w:lang w:bidi="ar"/>
        </w:rPr>
        <w:t>万元，占一般公共预算项目支出总额的</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%。组织对2024年度</w:t>
      </w:r>
      <w:r>
        <w:rPr>
          <w:rFonts w:hint="eastAsia" w:ascii="仿宋" w:hAnsi="仿宋" w:eastAsia="仿宋" w:cs="仿宋"/>
          <w:sz w:val="32"/>
          <w:szCs w:val="32"/>
          <w:highlight w:val="none"/>
          <w:lang w:val="en-US" w:eastAsia="zh-CN" w:bidi="ar"/>
        </w:rPr>
        <w:t>工作人员培训及渔民安全培训经费、赴远海渔船安全隐患专项排查治理经费、渔港工作艇管理经费</w:t>
      </w:r>
      <w:r>
        <w:rPr>
          <w:rFonts w:hint="eastAsia" w:ascii="仿宋" w:hAnsi="仿宋" w:eastAsia="仿宋" w:cs="仿宋"/>
          <w:sz w:val="32"/>
          <w:szCs w:val="32"/>
          <w:highlight w:val="none"/>
          <w:lang w:bidi="ar"/>
        </w:rPr>
        <w:t>等</w:t>
      </w:r>
      <w:r>
        <w:rPr>
          <w:rFonts w:hint="eastAsia" w:ascii="仿宋" w:hAnsi="仿宋" w:eastAsia="仿宋" w:cs="仿宋"/>
          <w:sz w:val="32"/>
          <w:szCs w:val="32"/>
          <w:highlight w:val="none"/>
          <w:lang w:val="en-US" w:eastAsia="zh-CN" w:bidi="ar"/>
        </w:rPr>
        <w:t>7</w:t>
      </w:r>
      <w:r>
        <w:rPr>
          <w:rFonts w:hint="eastAsia" w:ascii="仿宋" w:hAnsi="仿宋" w:eastAsia="仿宋" w:cs="仿宋"/>
          <w:sz w:val="32"/>
          <w:szCs w:val="32"/>
          <w:highlight w:val="none"/>
          <w:lang w:bidi="ar"/>
        </w:rPr>
        <w:t>个政府性基金预算项目开展绩效自评，共涉及资金</w:t>
      </w:r>
      <w:r>
        <w:rPr>
          <w:rFonts w:hint="eastAsia" w:ascii="仿宋" w:hAnsi="仿宋" w:eastAsia="仿宋" w:cs="仿宋"/>
          <w:sz w:val="32"/>
          <w:szCs w:val="32"/>
          <w:highlight w:val="none"/>
          <w:lang w:val="en-US" w:eastAsia="zh-CN" w:bidi="ar"/>
        </w:rPr>
        <w:t>7.17</w:t>
      </w:r>
      <w:r>
        <w:rPr>
          <w:rFonts w:hint="eastAsia" w:ascii="仿宋" w:hAnsi="仿宋" w:eastAsia="仿宋" w:cs="仿宋"/>
          <w:sz w:val="32"/>
          <w:szCs w:val="32"/>
          <w:highlight w:val="none"/>
          <w:lang w:bidi="ar"/>
        </w:rPr>
        <w:t>万元，占政府性基金预算项目支出总额的</w:t>
      </w:r>
      <w:r>
        <w:rPr>
          <w:rFonts w:hint="eastAsia" w:ascii="仿宋" w:hAnsi="仿宋" w:eastAsia="仿宋" w:cs="仿宋"/>
          <w:sz w:val="32"/>
          <w:szCs w:val="32"/>
          <w:highlight w:val="none"/>
          <w:lang w:val="en-US" w:eastAsia="zh-CN" w:bidi="ar"/>
        </w:rPr>
        <w:t>100</w:t>
      </w:r>
      <w:r>
        <w:rPr>
          <w:rFonts w:hint="eastAsia" w:ascii="仿宋" w:hAnsi="仿宋" w:eastAsia="仿宋" w:cs="仿宋"/>
          <w:sz w:val="32"/>
          <w:szCs w:val="32"/>
          <w:highlight w:val="none"/>
          <w:lang w:bidi="ar"/>
        </w:rPr>
        <w:t>%。组织对2024年度</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 xml:space="preserve">个国有资本经营预算项目开展绩效自评，共涉及资金 </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万元，占国有资本经营预算项目支出总额的</w:t>
      </w:r>
      <w:r>
        <w:rPr>
          <w:rFonts w:hint="eastAsia" w:ascii="仿宋" w:hAnsi="仿宋" w:eastAsia="仿宋" w:cs="仿宋"/>
          <w:sz w:val="32"/>
          <w:szCs w:val="32"/>
          <w:highlight w:val="none"/>
          <w:lang w:val="en-US" w:eastAsia="zh-CN" w:bidi="ar"/>
        </w:rPr>
        <w:t>0</w:t>
      </w:r>
      <w:r>
        <w:rPr>
          <w:rFonts w:hint="eastAsia" w:ascii="仿宋" w:hAnsi="仿宋" w:eastAsia="仿宋" w:cs="仿宋"/>
          <w:sz w:val="32"/>
          <w:szCs w:val="32"/>
          <w:highlight w:val="none"/>
          <w:lang w:bidi="ar"/>
        </w:rPr>
        <w:t>%。</w:t>
      </w:r>
    </w:p>
    <w:p w14:paraId="5AAFD6B6">
      <w:pPr>
        <w:spacing w:line="578" w:lineRule="exact"/>
        <w:ind w:firstLine="640" w:firstLineChars="200"/>
        <w:jc w:val="left"/>
        <w:rPr>
          <w:rFonts w:ascii="楷体" w:hAnsi="楷体" w:eastAsia="楷体" w:cs="楷体"/>
          <w:bCs/>
          <w:sz w:val="32"/>
          <w:szCs w:val="32"/>
          <w:highlight w:val="none"/>
        </w:rPr>
      </w:pPr>
      <w:r>
        <w:rPr>
          <w:rFonts w:hint="eastAsia" w:ascii="楷体" w:hAnsi="楷体" w:eastAsia="楷体" w:cs="楷体"/>
          <w:bCs/>
          <w:sz w:val="32"/>
          <w:szCs w:val="32"/>
          <w:highlight w:val="none"/>
        </w:rPr>
        <w:t>（二）部门决算中项目绩效自评结果（</w:t>
      </w:r>
      <w:r>
        <w:rPr>
          <w:rFonts w:hint="eastAsia" w:ascii="楷体" w:hAnsi="楷体" w:eastAsia="楷体" w:cs="楷体"/>
          <w:bCs/>
          <w:sz w:val="32"/>
          <w:szCs w:val="32"/>
          <w:highlight w:val="none"/>
          <w:lang w:val="en-US" w:eastAsia="zh-CN"/>
        </w:rPr>
        <w:t>无</w:t>
      </w:r>
      <w:r>
        <w:rPr>
          <w:rFonts w:hint="eastAsia" w:ascii="楷体" w:hAnsi="楷体" w:eastAsia="楷体" w:cs="楷体"/>
          <w:bCs/>
          <w:sz w:val="32"/>
          <w:szCs w:val="32"/>
          <w:highlight w:val="none"/>
        </w:rPr>
        <w:t>）</w:t>
      </w:r>
    </w:p>
    <w:p w14:paraId="0818E609">
      <w:pPr>
        <w:spacing w:line="578"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（三）部门评价结果（</w:t>
      </w:r>
      <w:r>
        <w:rPr>
          <w:rFonts w:hint="eastAsia" w:ascii="楷体" w:hAnsi="楷体" w:eastAsia="楷体" w:cs="楷体"/>
          <w:bCs/>
          <w:sz w:val="32"/>
          <w:szCs w:val="32"/>
          <w:highlight w:val="none"/>
          <w:lang w:val="en-US" w:eastAsia="zh-CN"/>
        </w:rPr>
        <w:t>无</w:t>
      </w:r>
      <w:r>
        <w:rPr>
          <w:rFonts w:hint="eastAsia" w:ascii="楷体" w:hAnsi="楷体" w:eastAsia="楷体" w:cs="楷体"/>
          <w:bCs/>
          <w:sz w:val="32"/>
          <w:szCs w:val="32"/>
          <w:highlight w:val="none"/>
        </w:rPr>
        <w:t>）</w:t>
      </w:r>
    </w:p>
    <w:p w14:paraId="31160159">
      <w:pPr>
        <w:spacing w:line="578" w:lineRule="exact"/>
        <w:ind w:firstLine="640" w:firstLineChars="200"/>
        <w:rPr>
          <w:rFonts w:hint="eastAsia" w:ascii="楷体" w:hAnsi="楷体" w:eastAsia="楷体" w:cs="楷体"/>
          <w:bCs/>
          <w:sz w:val="32"/>
          <w:szCs w:val="32"/>
          <w:highlight w:val="none"/>
        </w:rPr>
      </w:pPr>
      <w:r>
        <w:rPr>
          <w:rFonts w:hint="eastAsia" w:ascii="楷体" w:hAnsi="楷体" w:eastAsia="楷体" w:cs="楷体"/>
          <w:bCs/>
          <w:sz w:val="32"/>
          <w:szCs w:val="32"/>
          <w:highlight w:val="none"/>
        </w:rPr>
        <w:t>（四）财政评价结果（</w:t>
      </w:r>
      <w:r>
        <w:rPr>
          <w:rFonts w:hint="eastAsia" w:ascii="楷体" w:hAnsi="楷体" w:eastAsia="楷体" w:cs="楷体"/>
          <w:bCs/>
          <w:sz w:val="32"/>
          <w:szCs w:val="32"/>
          <w:highlight w:val="none"/>
          <w:lang w:val="en-US" w:eastAsia="zh-CN"/>
        </w:rPr>
        <w:t>无</w:t>
      </w:r>
      <w:r>
        <w:rPr>
          <w:rFonts w:hint="eastAsia" w:ascii="楷体" w:hAnsi="楷体" w:eastAsia="楷体" w:cs="楷体"/>
          <w:bCs/>
          <w:sz w:val="32"/>
          <w:szCs w:val="32"/>
          <w:highlight w:val="none"/>
        </w:rPr>
        <w:t>）</w:t>
      </w:r>
    </w:p>
    <w:p w14:paraId="42CE0486">
      <w:pPr>
        <w:spacing w:line="578" w:lineRule="exact"/>
        <w:ind w:firstLine="640" w:firstLineChars="200"/>
        <w:rPr>
          <w:rFonts w:hint="eastAsia" w:ascii="黑体" w:hAnsi="黑体" w:eastAsia="黑体" w:cs="黑体"/>
          <w:bCs/>
          <w:sz w:val="32"/>
          <w:szCs w:val="32"/>
          <w:highlight w:val="none"/>
        </w:rPr>
      </w:pPr>
      <w:r>
        <w:rPr>
          <w:rFonts w:hint="eastAsia" w:ascii="黑体" w:hAnsi="黑体" w:eastAsia="黑体" w:cs="黑体"/>
          <w:bCs/>
          <w:sz w:val="32"/>
          <w:szCs w:val="32"/>
          <w:highlight w:val="none"/>
        </w:rPr>
        <w:t>十一、其他重要事项情况说明</w:t>
      </w:r>
    </w:p>
    <w:p w14:paraId="3C668D67">
      <w:pPr>
        <w:spacing w:line="578" w:lineRule="exact"/>
        <w:ind w:firstLine="640" w:firstLineChars="200"/>
        <w:rPr>
          <w:rFonts w:hint="eastAsia" w:ascii="楷体" w:hAnsi="楷体" w:eastAsia="楷体" w:cs="楷体"/>
          <w:bCs/>
          <w:sz w:val="32"/>
          <w:szCs w:val="32"/>
          <w:highlight w:val="none"/>
        </w:rPr>
      </w:pPr>
      <w:bookmarkStart w:id="96" w:name="_Toc23598_WPSOffice_Level2"/>
      <w:bookmarkStart w:id="97" w:name="_Toc32639_WPSOffice_Level2"/>
      <w:bookmarkStart w:id="98" w:name="_Toc15262_WPSOffice_Level2"/>
      <w:bookmarkStart w:id="99" w:name="_Toc18325_WPSOffice_Level2"/>
      <w:bookmarkStart w:id="100" w:name="_Toc15565_WPSOffice_Level2"/>
      <w:bookmarkStart w:id="101" w:name="_Toc5978_WPSOffice_Level2"/>
      <w:r>
        <w:rPr>
          <w:rFonts w:hint="eastAsia" w:ascii="楷体" w:hAnsi="楷体" w:eastAsia="楷体" w:cs="楷体"/>
          <w:bCs/>
          <w:sz w:val="32"/>
          <w:szCs w:val="32"/>
          <w:highlight w:val="none"/>
        </w:rPr>
        <w:t>（一）机关运行经费支出情况</w:t>
      </w:r>
      <w:bookmarkEnd w:id="96"/>
      <w:bookmarkEnd w:id="97"/>
      <w:bookmarkEnd w:id="98"/>
      <w:bookmarkEnd w:id="99"/>
      <w:bookmarkEnd w:id="100"/>
      <w:bookmarkEnd w:id="101"/>
    </w:p>
    <w:p w14:paraId="718B3853">
      <w:pPr>
        <w:spacing w:line="578" w:lineRule="exact"/>
        <w:ind w:firstLine="640" w:firstLineChars="200"/>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2024年度</w:t>
      </w:r>
      <w:r>
        <w:rPr>
          <w:rFonts w:hint="eastAsia" w:ascii="仿宋" w:hAnsi="仿宋" w:eastAsia="仿宋" w:cs="仿宋"/>
          <w:sz w:val="32"/>
          <w:szCs w:val="32"/>
          <w:highlight w:val="none"/>
          <w:lang w:val="en-US" w:eastAsia="zh-CN"/>
        </w:rPr>
        <w:t>琼海市渔政事务服务中心</w:t>
      </w:r>
      <w:r>
        <w:rPr>
          <w:rFonts w:hint="eastAsia" w:ascii="仿宋" w:hAnsi="仿宋" w:eastAsia="仿宋" w:cs="仿宋"/>
          <w:sz w:val="32"/>
          <w:szCs w:val="32"/>
          <w:highlight w:val="none"/>
        </w:rPr>
        <w:t>机关运行经费</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比年初预算增加（减少）</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元，完成预算的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lang w:eastAsia="zh-CN"/>
        </w:rPr>
        <w:t>与202</w:t>
      </w: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lang w:eastAsia="zh-CN"/>
        </w:rPr>
        <w:t>年度相比</w:t>
      </w:r>
      <w:r>
        <w:rPr>
          <w:rFonts w:hint="eastAsia" w:ascii="仿宋" w:hAnsi="仿宋" w:eastAsia="仿宋" w:cs="仿宋"/>
          <w:sz w:val="32"/>
          <w:szCs w:val="32"/>
          <w:highlight w:val="none"/>
          <w:lang w:val="en-US" w:eastAsia="zh-CN"/>
        </w:rPr>
        <w:t>持平</w:t>
      </w:r>
      <w:r>
        <w:rPr>
          <w:rFonts w:hint="eastAsia" w:ascii="仿宋" w:hAnsi="仿宋" w:eastAsia="仿宋" w:cs="仿宋"/>
          <w:sz w:val="32"/>
          <w:szCs w:val="32"/>
          <w:highlight w:val="none"/>
        </w:rPr>
        <w:t>。主要原因是：</w:t>
      </w:r>
      <w:r>
        <w:rPr>
          <w:rFonts w:hint="eastAsia" w:ascii="仿宋" w:hAnsi="仿宋" w:eastAsia="仿宋" w:cs="仿宋"/>
          <w:sz w:val="32"/>
          <w:szCs w:val="32"/>
          <w:highlight w:val="none"/>
          <w:lang w:val="en-US" w:eastAsia="zh-CN" w:bidi="ar"/>
        </w:rPr>
        <w:t xml:space="preserve">本单位为公益一类事业单位，无机关运行经费。  </w:t>
      </w:r>
    </w:p>
    <w:p w14:paraId="1E487BD2">
      <w:pPr>
        <w:spacing w:line="578" w:lineRule="exact"/>
        <w:ind w:firstLine="640" w:firstLineChars="200"/>
        <w:rPr>
          <w:rFonts w:hint="eastAsia" w:ascii="楷体" w:hAnsi="楷体" w:eastAsia="楷体" w:cs="楷体"/>
          <w:bCs/>
          <w:sz w:val="32"/>
          <w:szCs w:val="32"/>
          <w:highlight w:val="none"/>
        </w:rPr>
      </w:pPr>
      <w:bookmarkStart w:id="102" w:name="_Toc30383_WPSOffice_Level2"/>
      <w:bookmarkStart w:id="103" w:name="_Toc32689_WPSOffice_Level2"/>
      <w:bookmarkStart w:id="104" w:name="_Toc23966_WPSOffice_Level2"/>
      <w:bookmarkStart w:id="105" w:name="_Toc13084_WPSOffice_Level2"/>
      <w:bookmarkStart w:id="106" w:name="_Toc3131_WPSOffice_Level2"/>
      <w:bookmarkStart w:id="107" w:name="_Toc25333_WPSOffice_Level2"/>
      <w:r>
        <w:rPr>
          <w:rFonts w:hint="eastAsia" w:ascii="楷体" w:hAnsi="楷体" w:eastAsia="楷体" w:cs="楷体"/>
          <w:bCs/>
          <w:sz w:val="32"/>
          <w:szCs w:val="32"/>
          <w:highlight w:val="none"/>
        </w:rPr>
        <w:t>（二）政府采购支出情况</w:t>
      </w:r>
      <w:bookmarkEnd w:id="102"/>
      <w:bookmarkEnd w:id="103"/>
      <w:bookmarkEnd w:id="104"/>
      <w:bookmarkEnd w:id="105"/>
      <w:bookmarkEnd w:id="106"/>
      <w:bookmarkEnd w:id="107"/>
    </w:p>
    <w:p w14:paraId="658ECDF4">
      <w:pPr>
        <w:spacing w:line="578" w:lineRule="exact"/>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2024年度</w:t>
      </w:r>
      <w:r>
        <w:rPr>
          <w:rFonts w:hint="eastAsia" w:ascii="仿宋" w:hAnsi="仿宋" w:eastAsia="仿宋" w:cs="仿宋"/>
          <w:sz w:val="32"/>
          <w:szCs w:val="32"/>
          <w:highlight w:val="none"/>
          <w:lang w:val="en-US" w:eastAsia="zh-CN"/>
        </w:rPr>
        <w:t>琼海市渔政事务服务中心</w:t>
      </w:r>
      <w:r>
        <w:rPr>
          <w:rFonts w:hint="eastAsia" w:ascii="仿宋" w:hAnsi="仿宋" w:eastAsia="仿宋" w:cs="仿宋"/>
          <w:sz w:val="32"/>
          <w:szCs w:val="32"/>
          <w:highlight w:val="none"/>
        </w:rPr>
        <w:t>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万元，占政府采购支出总额的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%，其中：授予小微企业合同金额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万元，占</w:t>
      </w:r>
      <w:r>
        <w:rPr>
          <w:rFonts w:hint="eastAsia" w:ascii="仿宋" w:hAnsi="仿宋" w:eastAsia="仿宋" w:cs="仿宋"/>
          <w:kern w:val="0"/>
          <w:sz w:val="32"/>
          <w:szCs w:val="32"/>
          <w:highlight w:val="none"/>
          <w:lang w:bidi="ar"/>
        </w:rPr>
        <w:t>授予中小企业合同金额</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w:t>
      </w:r>
    </w:p>
    <w:p w14:paraId="43552DF5">
      <w:pPr>
        <w:spacing w:line="578" w:lineRule="exact"/>
        <w:ind w:firstLine="640" w:firstLineChars="200"/>
        <w:rPr>
          <w:rFonts w:hint="eastAsia" w:ascii="楷体" w:hAnsi="楷体" w:eastAsia="楷体" w:cs="楷体"/>
          <w:bCs/>
          <w:sz w:val="32"/>
          <w:szCs w:val="32"/>
          <w:highlight w:val="none"/>
        </w:rPr>
      </w:pPr>
      <w:bookmarkStart w:id="108" w:name="_Toc29584_WPSOffice_Level2"/>
      <w:bookmarkStart w:id="109" w:name="_Toc19989_WPSOffice_Level2"/>
      <w:bookmarkStart w:id="110" w:name="_Toc527_WPSOffice_Level2"/>
      <w:bookmarkStart w:id="111" w:name="_Toc15129_WPSOffice_Level2"/>
      <w:bookmarkStart w:id="112" w:name="_Toc6016_WPSOffice_Level2"/>
      <w:bookmarkStart w:id="113" w:name="_Toc10902_WPSOffice_Level2"/>
      <w:r>
        <w:rPr>
          <w:rFonts w:hint="eastAsia" w:ascii="楷体" w:hAnsi="楷体" w:eastAsia="楷体" w:cs="楷体"/>
          <w:bCs/>
          <w:sz w:val="32"/>
          <w:szCs w:val="32"/>
          <w:highlight w:val="none"/>
        </w:rPr>
        <w:t>（三）国有资产占用情况</w:t>
      </w:r>
      <w:bookmarkEnd w:id="108"/>
      <w:bookmarkEnd w:id="109"/>
      <w:bookmarkEnd w:id="110"/>
      <w:bookmarkEnd w:id="111"/>
      <w:bookmarkEnd w:id="112"/>
      <w:bookmarkEnd w:id="113"/>
    </w:p>
    <w:p w14:paraId="22AB3CC3">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bCs/>
          <w:sz w:val="32"/>
          <w:szCs w:val="32"/>
          <w:highlight w:val="none"/>
        </w:rPr>
        <w:t>截至2024年12月31日，本部门拥有</w:t>
      </w:r>
      <w:r>
        <w:rPr>
          <w:rFonts w:hint="eastAsia" w:ascii="仿宋" w:hAnsi="仿宋" w:eastAsia="仿宋" w:cs="仿宋"/>
          <w:sz w:val="32"/>
          <w:szCs w:val="32"/>
          <w:highlight w:val="none"/>
        </w:rPr>
        <w:t>房屋面积</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平方米。</w:t>
      </w:r>
    </w:p>
    <w:p w14:paraId="730EF1BE">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本部门共有车辆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辆，其中，副部（省）级及以上领导用车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辆、主要负责人用车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辆、机要通信用车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辆、应急保障用车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辆、执法执勤用车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辆、特种专业技术用车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辆、离退休干部服务用车</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辆、其他用</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辆。</w:t>
      </w:r>
    </w:p>
    <w:p w14:paraId="4704837F">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单价100万元（含）以上设备（不含车辆）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台（套）。</w:t>
      </w:r>
    </w:p>
    <w:p w14:paraId="405351A3">
      <w:pPr>
        <w:spacing w:line="578" w:lineRule="exact"/>
        <w:jc w:val="center"/>
        <w:rPr>
          <w:rFonts w:hint="eastAsia" w:ascii="黑体" w:hAnsi="ˎ̥" w:eastAsia="黑体"/>
          <w:sz w:val="32"/>
          <w:szCs w:val="32"/>
          <w:highlight w:val="none"/>
        </w:rPr>
      </w:pPr>
      <w:bookmarkStart w:id="114" w:name="_Toc8874_WPSOffice_Level1"/>
      <w:bookmarkStart w:id="115" w:name="_Toc8808_WPSOffice_Level1"/>
      <w:bookmarkStart w:id="116" w:name="_Toc15425_WPSOffice_Level1"/>
      <w:bookmarkStart w:id="117" w:name="_Toc4398_WPSOffice_Level1"/>
      <w:bookmarkStart w:id="118" w:name="_Toc17580_WPSOffice_Level1"/>
      <w:bookmarkStart w:id="119" w:name="_Toc11039_WPSOffice_Level1"/>
    </w:p>
    <w:p w14:paraId="1293E617">
      <w:pPr>
        <w:spacing w:line="578" w:lineRule="exact"/>
        <w:jc w:val="center"/>
        <w:rPr>
          <w:rFonts w:hint="eastAsia" w:ascii="黑体" w:hAnsi="ˎ̥" w:eastAsia="黑体"/>
          <w:sz w:val="32"/>
          <w:szCs w:val="32"/>
          <w:highlight w:val="none"/>
        </w:rPr>
      </w:pPr>
      <w:r>
        <w:rPr>
          <w:rFonts w:hint="eastAsia" w:ascii="黑体" w:hAnsi="ˎ̥" w:eastAsia="黑体"/>
          <w:sz w:val="32"/>
          <w:szCs w:val="32"/>
          <w:highlight w:val="none"/>
        </w:rPr>
        <w:t>第四部分  名词解释</w:t>
      </w:r>
      <w:bookmarkEnd w:id="114"/>
      <w:bookmarkEnd w:id="115"/>
      <w:bookmarkEnd w:id="116"/>
      <w:bookmarkEnd w:id="117"/>
      <w:bookmarkEnd w:id="118"/>
      <w:bookmarkEnd w:id="119"/>
    </w:p>
    <w:p w14:paraId="4696F15C">
      <w:pPr>
        <w:spacing w:line="578" w:lineRule="exact"/>
        <w:jc w:val="center"/>
        <w:rPr>
          <w:rFonts w:hint="eastAsia" w:ascii="黑体" w:hAnsi="ˎ̥" w:eastAsia="黑体"/>
          <w:sz w:val="32"/>
          <w:szCs w:val="32"/>
          <w:highlight w:val="none"/>
        </w:rPr>
      </w:pPr>
    </w:p>
    <w:p w14:paraId="53B14175">
      <w:pPr>
        <w:numPr>
          <w:ilvl w:val="0"/>
          <w:numId w:val="2"/>
        </w:num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财政拨款收入：指同级政府财政部门当年拨付的各类财政拨款。</w:t>
      </w:r>
    </w:p>
    <w:p w14:paraId="18BAD7F9">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二、上级补助收入：指事业单位从主管部门和上级单位取得的非财政补助收入。</w:t>
      </w:r>
    </w:p>
    <w:p w14:paraId="769D92E5">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三、事业收入：指事业单位开展专业业务活动及辅助活动取得的收入。</w:t>
      </w:r>
    </w:p>
    <w:p w14:paraId="335BACDF">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四、经营收入：指事业单位在专业业务活动及其辅助活动之外开展非独立核算经营活动取得的收入。</w:t>
      </w:r>
    </w:p>
    <w:p w14:paraId="018823F6">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五、附属单位上缴收入：指事业单位取得附属独立核算单位根据有关规定上缴的收入。</w:t>
      </w:r>
    </w:p>
    <w:p w14:paraId="53356CFF">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六、其他收入：指除上述“财政拨款收入”“事业收入”“上级补助收入”“经营收入”“附属单位上缴收入”等以外的收入。</w:t>
      </w:r>
    </w:p>
    <w:p w14:paraId="1DDFF08F">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七、使用非财政拨款结余（含专用结余）：指事业单位在当年的“财政拨款收入”“事业收入”“经营收入”“其他收入”等不足以安排当年支出的情况下，使用非同级财政拨款结余资金弥补本年度收支缺口。</w:t>
      </w:r>
    </w:p>
    <w:p w14:paraId="51F1B311">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八、年初结转和结余：指以前年度尚未完成、结转到本年按有关规定继续使用的资金，或项目已完成等产生的结余资金。</w:t>
      </w:r>
    </w:p>
    <w:p w14:paraId="0553B2F3">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九、结余分配：指事业单位缴纳企业所得税以及从非财政拨款结余或经营结余中提取各类结余的情况。</w:t>
      </w:r>
    </w:p>
    <w:p w14:paraId="667A971A">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十、年末结转和结余：指本年度或以前年度预算安排、因客观条件发生变化无法按原计划实施，需要延迟到以后年度按有关规定继续使用的资金（不包括事业单位非财政拨款结余和专用结余）。</w:t>
      </w:r>
    </w:p>
    <w:p w14:paraId="6D39E76B">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十一、基本支出：指为保障机构正常运转、完成日常工作任务而发生的人员支出和公用支出。</w:t>
      </w:r>
    </w:p>
    <w:p w14:paraId="22DEEE31">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十二、项目支出：指在基本支出之外为完成特定行政任务和事业发展目标所发生的支出。</w:t>
      </w:r>
    </w:p>
    <w:p w14:paraId="4441DAA3">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十三、经营支出：指事业单位在专业业务活动及其辅助活动之外开展非独立核算经营活动发生的支出。</w:t>
      </w:r>
    </w:p>
    <w:p w14:paraId="6DF520DF">
      <w:pPr>
        <w:spacing w:line="578" w:lineRule="exact"/>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十四、“三公”经费：纳入本级财政预决算管理的“三公”经费，是指用一般公共预算财政拨款、政府性基金预算财政拨款及国有资本经营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及燃料费、维修费、过路过桥费、保险费、安全奖励费用等支出；公务接待费反映单位按规定开支的各类公务接待（含外宾接待）费用。</w:t>
      </w:r>
    </w:p>
    <w:p w14:paraId="60D13637">
      <w:pPr>
        <w:spacing w:line="578" w:lineRule="exact"/>
        <w:ind w:firstLine="645"/>
        <w:rPr>
          <w:rFonts w:hint="eastAsia" w:ascii="仿宋" w:hAnsi="仿宋" w:eastAsia="仿宋" w:cs="仿宋"/>
          <w:sz w:val="32"/>
          <w:szCs w:val="32"/>
          <w:highlight w:val="none"/>
        </w:rPr>
      </w:pPr>
      <w:r>
        <w:rPr>
          <w:rFonts w:hint="eastAsia" w:ascii="仿宋" w:hAnsi="仿宋" w:eastAsia="仿宋" w:cs="仿宋"/>
          <w:sz w:val="32"/>
          <w:szCs w:val="32"/>
          <w:highlight w:val="none"/>
        </w:rPr>
        <w:t>十五、机关运行经费：为保障行政单位（含参照公务员法管理的事业单位）运行使用一般公共预算财政拨款安排的基本支出经费用于购买货物和服务的各项资金，包括办公及印刷费、邮电费、差旅费、会议费、福利费、日常维修费、专用材料及一般设备购置费、办公用房水电费、办公用房取暖费、办公用房物业管理费、公务用车运行维护费以及其他费用等。</w:t>
      </w:r>
    </w:p>
    <w:p w14:paraId="37188691">
      <w:pPr>
        <w:spacing w:line="578" w:lineRule="exact"/>
        <w:rPr>
          <w:highlight w:val="none"/>
        </w:rPr>
      </w:pPr>
    </w:p>
    <w:p w14:paraId="5BDDC19A"/>
    <w:sectPr>
      <w:footerReference r:id="rId3" w:type="default"/>
      <w:foot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Arial Unicode MS"/>
    <w:panose1 w:val="00000000000000000000"/>
    <w:charset w:val="00"/>
    <w:family w:val="roman"/>
    <w:pitch w:val="default"/>
    <w:sig w:usb0="00000000" w:usb1="00000000" w:usb2="00000000"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5B20">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17</w:t>
    </w:r>
    <w:r>
      <w:fldChar w:fldCharType="end"/>
    </w:r>
  </w:p>
  <w:p w14:paraId="559F2D4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A2B83">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14:paraId="08635E7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C2DCC"/>
    <w:multiLevelType w:val="singleLevel"/>
    <w:tmpl w:val="AFFC2DCC"/>
    <w:lvl w:ilvl="0" w:tentative="0">
      <w:start w:val="1"/>
      <w:numFmt w:val="chineseCounting"/>
      <w:suff w:val="nothing"/>
      <w:lvlText w:val="%1、"/>
      <w:lvlJc w:val="left"/>
      <w:rPr>
        <w:rFonts w:hint="eastAsia"/>
      </w:rPr>
    </w:lvl>
  </w:abstractNum>
  <w:abstractNum w:abstractNumId="1">
    <w:nsid w:val="72109F8D"/>
    <w:multiLevelType w:val="singleLevel"/>
    <w:tmpl w:val="72109F8D"/>
    <w:lvl w:ilvl="0" w:tentative="0">
      <w:start w:val="7"/>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D60159"/>
    <w:rsid w:val="01D70F12"/>
    <w:rsid w:val="093A3733"/>
    <w:rsid w:val="0A0F696E"/>
    <w:rsid w:val="11E42DD6"/>
    <w:rsid w:val="17D60159"/>
    <w:rsid w:val="18822A00"/>
    <w:rsid w:val="193261D5"/>
    <w:rsid w:val="1A27385F"/>
    <w:rsid w:val="1C2428E7"/>
    <w:rsid w:val="1CA078F9"/>
    <w:rsid w:val="1D2422D8"/>
    <w:rsid w:val="2C2A54CD"/>
    <w:rsid w:val="3C134CAD"/>
    <w:rsid w:val="3F636838"/>
    <w:rsid w:val="3FFA0F4B"/>
    <w:rsid w:val="4AA246B9"/>
    <w:rsid w:val="4ECD588A"/>
    <w:rsid w:val="551E7032"/>
    <w:rsid w:val="5BC87CF7"/>
    <w:rsid w:val="691427CE"/>
    <w:rsid w:val="69A628FC"/>
    <w:rsid w:val="6BE8703F"/>
    <w:rsid w:val="6C407DEC"/>
    <w:rsid w:val="7BA07EF1"/>
    <w:rsid w:val="7BC82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paragraph" w:customStyle="1" w:styleId="6">
    <w:name w:val="WPSOffice手动目录 1"/>
    <w:qFormat/>
    <w:uiPriority w:val="0"/>
    <w:rPr>
      <w:rFonts w:ascii="Times New Roman" w:hAnsi="Times New Roman" w:eastAsia="宋体" w:cs="Times New Roman"/>
      <w:lang w:val="en-US" w:eastAsia="zh-CN" w:bidi="ar-SA"/>
    </w:rPr>
  </w:style>
  <w:style w:type="paragraph" w:customStyle="1" w:styleId="7">
    <w:name w:val="WPSOffice手动目录 2"/>
    <w:qFormat/>
    <w:uiPriority w:val="0"/>
    <w:pPr>
      <w:ind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5531</Words>
  <Characters>5989</Characters>
  <Lines>0</Lines>
  <Paragraphs>0</Paragraphs>
  <TotalTime>34</TotalTime>
  <ScaleCrop>false</ScaleCrop>
  <LinksUpToDate>false</LinksUpToDate>
  <CharactersWithSpaces>8033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2025-10-21T06:50:00Z</dcterms:created>
  <dc:creator>上善若水</dc:creator>
  <cp:lastModifiedBy>上善若水</cp:lastModifiedBy>
  <dcterms:modified xsi:type="dcterms:W3CDTF">2025-10-28T07:20:57Z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BA620442699F4DDBB53884AD674E79C3_13</vt:lpwstr>
  </property>
  <property fmtid="{D5CDD505-2E9C-101B-9397-08002B2CF9AE}" pid="4" name="KSOTemplateDocerSaveRecord">
    <vt:lpwstr>eyJoZGlkIjoiYzk2MWJiNTViNTBlMDIzMWM3MTk4NDAxNmMyMDhkYjQiLCJ1c2VySWQiOiI0NTk5Nzc5NjAifQ==</vt:lpwstr>
  </property>
</Properties>
</file>