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706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20</w: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20</w:t>
      </w: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年琼海市国民经济和社会发展</w:t>
      </w:r>
    </w:p>
    <w:p w14:paraId="5D9D75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统计公报</w:t>
      </w:r>
    </w:p>
    <w:p w14:paraId="38956A4A">
      <w:pPr>
        <w:keepNext w:val="0"/>
        <w:keepLines w:val="0"/>
        <w:pageBreakBefore w:val="0"/>
        <w:widowControl w:val="0"/>
        <w:tabs>
          <w:tab w:val="left" w:pos="2916"/>
        </w:tabs>
        <w:kinsoku/>
        <w:wordWrap/>
        <w:overflowPunct/>
        <w:topLinePunct w:val="0"/>
        <w:autoSpaceDE/>
        <w:autoSpaceDN/>
        <w:bidi w:val="0"/>
        <w:adjustRightInd/>
        <w:snapToGrid/>
        <w:spacing w:line="420" w:lineRule="exact"/>
        <w:ind w:firstLine="880" w:firstLineChars="200"/>
        <w:jc w:val="both"/>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ab/>
      </w:r>
    </w:p>
    <w:p w14:paraId="0B770A60">
      <w:pPr>
        <w:keepNext w:val="0"/>
        <w:keepLines w:val="0"/>
        <w:pageBreakBefore w:val="0"/>
        <w:widowControl w:val="0"/>
        <w:tabs>
          <w:tab w:val="left" w:pos="2916"/>
        </w:tabs>
        <w:kinsoku/>
        <w:wordWrap/>
        <w:overflowPunct/>
        <w:topLinePunct w:val="0"/>
        <w:autoSpaceDE/>
        <w:autoSpaceDN/>
        <w:bidi w:val="0"/>
        <w:adjustRightInd/>
        <w:snapToGrid/>
        <w:spacing w:line="440" w:lineRule="exact"/>
        <w:jc w:val="center"/>
        <w:textAlignment w:val="auto"/>
        <w:rPr>
          <w:rFonts w:hint="eastAsia" w:ascii="楷体_GB2312" w:hAnsi="楷体_GB2312" w:eastAsia="楷体_GB2312" w:cs="楷体_GB2312"/>
          <w:color w:val="000000" w:themeColor="text1"/>
          <w:sz w:val="28"/>
          <w:szCs w:val="28"/>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lang w:val="en-US" w:eastAsia="zh-CN"/>
          <w14:textFill>
            <w14:solidFill>
              <w14:schemeClr w14:val="tx1"/>
            </w14:solidFill>
          </w14:textFill>
        </w:rPr>
        <w:t>琼海市统计局</w:t>
      </w:r>
    </w:p>
    <w:p w14:paraId="58B0A244">
      <w:pPr>
        <w:keepNext w:val="0"/>
        <w:keepLines w:val="0"/>
        <w:pageBreakBefore w:val="0"/>
        <w:widowControl w:val="0"/>
        <w:tabs>
          <w:tab w:val="left" w:pos="2916"/>
        </w:tabs>
        <w:kinsoku/>
        <w:wordWrap/>
        <w:overflowPunct/>
        <w:topLinePunct w:val="0"/>
        <w:autoSpaceDE/>
        <w:autoSpaceDN/>
        <w:bidi w:val="0"/>
        <w:adjustRightInd/>
        <w:snapToGrid/>
        <w:spacing w:line="440" w:lineRule="exact"/>
        <w:jc w:val="center"/>
        <w:textAlignment w:val="auto"/>
        <w:rPr>
          <w:rFonts w:hint="eastAsia" w:ascii="楷体_GB2312" w:hAnsi="楷体_GB2312" w:eastAsia="楷体_GB2312" w:cs="楷体_GB2312"/>
          <w:color w:val="000000" w:themeColor="text1"/>
          <w:sz w:val="28"/>
          <w:szCs w:val="28"/>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lang w:val="en-US" w:eastAsia="zh-CN"/>
          <w14:textFill>
            <w14:solidFill>
              <w14:schemeClr w14:val="tx1"/>
            </w14:solidFill>
          </w14:textFill>
        </w:rPr>
        <w:t>2021年4月</w:t>
      </w:r>
    </w:p>
    <w:p w14:paraId="581A4B9A">
      <w:pPr>
        <w:pStyle w:val="13"/>
        <w:rPr>
          <w:rFonts w:hint="eastAsia"/>
        </w:rPr>
      </w:pPr>
    </w:p>
    <w:p w14:paraId="597B86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FF"/>
          <w:sz w:val="32"/>
          <w:szCs w:val="32"/>
          <w:shd w:val="clear" w:color="auto" w:fill="auto"/>
          <w:lang w:val="en-US" w:eastAsia="zh-CN"/>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2020年，面对突然其来的新冠肺炎疫情，全市上下在市委、市政府的坚强领导下，</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坚持以习近平新时代中国特色社会主义思想为指导，坚持统筹推进疫情常态化防控和</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超常规举措推进</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经济社会发展，扎实</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做</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好“六稳”</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“六保”工作，</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全市生活生产秩序有序恢复，</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经济形势逐季改善，经济整体运行呈持续向好态势。</w:t>
      </w:r>
    </w:p>
    <w:p w14:paraId="2E23A3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themeColor="text1"/>
          <w:kern w:val="2"/>
          <w:sz w:val="32"/>
          <w:szCs w:val="32"/>
          <w:shd w:val="clear" w:color="auto" w:fill="auto"/>
          <w:lang w:val="en-US" w:eastAsia="zh-CN" w:bidi="ar-SA"/>
          <w14:textFill>
            <w14:solidFill>
              <w14:schemeClr w14:val="tx1"/>
            </w14:solidFill>
          </w14:textFill>
        </w:rPr>
      </w:pPr>
      <w:r>
        <w:rPr>
          <w:rFonts w:hint="eastAsia" w:ascii="黑体" w:hAnsi="黑体" w:eastAsia="黑体" w:cs="黑体"/>
          <w:b w:val="0"/>
          <w:bCs w:val="0"/>
          <w:color w:val="000000" w:themeColor="text1"/>
          <w:sz w:val="32"/>
          <w:szCs w:val="32"/>
          <w:shd w:val="clear" w:color="auto" w:fill="auto"/>
          <w14:textFill>
            <w14:solidFill>
              <w14:schemeClr w14:val="tx1"/>
            </w14:solidFill>
          </w14:textFill>
        </w:rPr>
        <w:t>一、综合</w:t>
      </w:r>
    </w:p>
    <w:p w14:paraId="6270D775">
      <w:pPr>
        <w:keepNext w:val="0"/>
        <w:keepLines w:val="0"/>
        <w:pageBreakBefore w:val="0"/>
        <w:kinsoku/>
        <w:wordWrap/>
        <w:overflowPunct/>
        <w:topLinePunct w:val="0"/>
        <w:bidi w:val="0"/>
        <w:snapToGrid/>
        <w:spacing w:line="560" w:lineRule="exact"/>
        <w:ind w:firstLine="640" w:firstLineChars="200"/>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经海南省统计局统一核算，2020年我市地区生产总值292.1亿元，按可比价格计算，比上年增长3.0%。其中，第一产业增加值94.6亿元，增长4.6%；第二产业增加值40.2亿元，增长13.9%；第三产业增加值157.3亿元，下降0.5%。三次产业结构调整为32.4:13.8:53.8。</w:t>
      </w:r>
    </w:p>
    <w:p w14:paraId="7A7A19AA">
      <w:pPr>
        <w:pStyle w:val="2"/>
        <w:ind w:left="0" w:leftChars="0" w:firstLine="0" w:firstLineChars="0"/>
        <w:rPr>
          <w:rFonts w:hint="eastAsia" w:ascii="仿宋" w:hAnsi="仿宋" w:eastAsia="仿宋" w:cs="仿宋"/>
          <w:b w:val="0"/>
          <w:bCs w:val="0"/>
          <w:color w:val="0000FF"/>
          <w:sz w:val="32"/>
          <w:szCs w:val="32"/>
          <w:shd w:val="clear" w:color="auto" w:fill="auto"/>
          <w:lang w:val="en-US" w:eastAsia="zh-CN"/>
        </w:rPr>
      </w:pPr>
      <w:r>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drawing>
          <wp:anchor distT="0" distB="0" distL="114300" distR="114300" simplePos="0" relativeHeight="251660288" behindDoc="1" locked="0" layoutInCell="1" allowOverlap="1">
            <wp:simplePos x="0" y="0"/>
            <wp:positionH relativeFrom="column">
              <wp:posOffset>95885</wp:posOffset>
            </wp:positionH>
            <wp:positionV relativeFrom="paragraph">
              <wp:posOffset>60325</wp:posOffset>
            </wp:positionV>
            <wp:extent cx="5054600" cy="2994660"/>
            <wp:effectExtent l="0" t="0" r="50800" b="53340"/>
            <wp:wrapTight wrapText="bothSides">
              <wp:wrapPolygon>
                <wp:start x="0" y="0"/>
                <wp:lineTo x="0" y="21435"/>
                <wp:lineTo x="21491" y="21435"/>
                <wp:lineTo x="21491" y="0"/>
                <wp:lineTo x="0" y="0"/>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14:paraId="7B2EA6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drawing>
          <wp:anchor distT="0" distB="0" distL="114300" distR="114300" simplePos="0" relativeHeight="251661312" behindDoc="1" locked="0" layoutInCell="1" allowOverlap="1">
            <wp:simplePos x="0" y="0"/>
            <wp:positionH relativeFrom="column">
              <wp:posOffset>172085</wp:posOffset>
            </wp:positionH>
            <wp:positionV relativeFrom="paragraph">
              <wp:posOffset>78740</wp:posOffset>
            </wp:positionV>
            <wp:extent cx="5466080" cy="2851785"/>
            <wp:effectExtent l="0" t="0" r="1270" b="62865"/>
            <wp:wrapTight wrapText="bothSides">
              <wp:wrapPolygon>
                <wp:start x="0" y="0"/>
                <wp:lineTo x="0" y="21499"/>
                <wp:lineTo x="21530" y="21499"/>
                <wp:lineTo x="21530" y="0"/>
                <wp:lineTo x="0" y="0"/>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全年全市城镇新增就业9967人，比上年增长16.9%；农村劳动力转移就业6902人，比上年增长1.5%；年末城镇登记失业率1.98%。</w:t>
      </w:r>
    </w:p>
    <w:tbl>
      <w:tblPr>
        <w:tblStyle w:val="7"/>
        <w:tblW w:w="7960" w:type="dxa"/>
        <w:jc w:val="center"/>
        <w:shd w:val="clear" w:color="auto" w:fill="auto"/>
        <w:tblLayout w:type="fixed"/>
        <w:tblCellMar>
          <w:top w:w="0" w:type="dxa"/>
          <w:left w:w="0" w:type="dxa"/>
          <w:bottom w:w="0" w:type="dxa"/>
          <w:right w:w="0" w:type="dxa"/>
        </w:tblCellMar>
      </w:tblPr>
      <w:tblGrid>
        <w:gridCol w:w="3772"/>
        <w:gridCol w:w="4188"/>
      </w:tblGrid>
      <w:tr w14:paraId="75AD7EBF">
        <w:tblPrEx>
          <w:tblCellMar>
            <w:top w:w="0" w:type="dxa"/>
            <w:left w:w="0" w:type="dxa"/>
            <w:bottom w:w="0" w:type="dxa"/>
            <w:right w:w="0" w:type="dxa"/>
          </w:tblCellMar>
        </w:tblPrEx>
        <w:trPr>
          <w:trHeight w:val="795" w:hRule="atLeast"/>
          <w:jc w:val="center"/>
        </w:trPr>
        <w:tc>
          <w:tcPr>
            <w:tcW w:w="7960" w:type="dxa"/>
            <w:gridSpan w:val="2"/>
            <w:tcBorders>
              <w:top w:val="nil"/>
              <w:left w:val="nil"/>
              <w:bottom w:val="single" w:color="auto" w:sz="4" w:space="0"/>
              <w:right w:val="nil"/>
            </w:tcBorders>
            <w:shd w:val="clear" w:color="auto" w:fill="auto"/>
            <w:noWrap/>
            <w:tcMar>
              <w:top w:w="15" w:type="dxa"/>
              <w:left w:w="15" w:type="dxa"/>
              <w:right w:w="15" w:type="dxa"/>
            </w:tcMar>
            <w:vAlign w:val="center"/>
          </w:tcPr>
          <w:p w14:paraId="047C6F17">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黑体" w:hAnsi="黑体" w:eastAsia="黑体" w:cs="黑体"/>
                <w:b w:val="0"/>
                <w:bCs/>
                <w:i w:val="0"/>
                <w:color w:val="000000"/>
                <w:kern w:val="0"/>
                <w:sz w:val="30"/>
                <w:szCs w:val="30"/>
                <w:u w:val="none"/>
                <w:lang w:val="en-US" w:eastAsia="zh-CN" w:bidi="ar"/>
              </w:rPr>
              <w:t>表1  2020年居民消费价格比上年涨跌幅度</w:t>
            </w:r>
          </w:p>
        </w:tc>
      </w:tr>
      <w:tr w14:paraId="09229406">
        <w:tblPrEx>
          <w:tblCellMar>
            <w:top w:w="0" w:type="dxa"/>
            <w:left w:w="0" w:type="dxa"/>
            <w:bottom w:w="0" w:type="dxa"/>
            <w:right w:w="0" w:type="dxa"/>
          </w:tblCellMar>
        </w:tblPrEx>
        <w:trPr>
          <w:trHeight w:val="359" w:hRule="atLeast"/>
          <w:jc w:val="center"/>
        </w:trPr>
        <w:tc>
          <w:tcPr>
            <w:tcW w:w="3772" w:type="dxa"/>
            <w:vMerge w:val="restart"/>
            <w:tcBorders>
              <w:top w:val="single" w:color="000000" w:sz="12" w:space="0"/>
              <w:left w:val="nil"/>
              <w:bottom w:val="single" w:color="000000" w:sz="4" w:space="0"/>
              <w:right w:val="nil"/>
            </w:tcBorders>
            <w:shd w:val="clear" w:color="auto" w:fill="auto"/>
            <w:noWrap/>
            <w:tcMar>
              <w:top w:w="15" w:type="dxa"/>
              <w:left w:w="15" w:type="dxa"/>
              <w:right w:w="15" w:type="dxa"/>
            </w:tcMar>
            <w:vAlign w:val="center"/>
          </w:tcPr>
          <w:p w14:paraId="05505B5E">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指标</w:t>
            </w:r>
          </w:p>
        </w:tc>
        <w:tc>
          <w:tcPr>
            <w:tcW w:w="4188" w:type="dxa"/>
            <w:vMerge w:val="restart"/>
            <w:tcBorders>
              <w:top w:val="single" w:color="000000" w:sz="12" w:space="0"/>
              <w:left w:val="single" w:color="000000" w:sz="4" w:space="0"/>
              <w:bottom w:val="single" w:color="000000" w:sz="4" w:space="0"/>
              <w:right w:val="nil"/>
            </w:tcBorders>
            <w:shd w:val="clear" w:color="auto" w:fill="auto"/>
            <w:noWrap/>
            <w:tcMar>
              <w:top w:w="15" w:type="dxa"/>
              <w:left w:w="15" w:type="dxa"/>
              <w:right w:w="15" w:type="dxa"/>
            </w:tcMar>
            <w:vAlign w:val="center"/>
          </w:tcPr>
          <w:p w14:paraId="01CF47D9">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比上年涨跌幅度（%）</w:t>
            </w:r>
          </w:p>
        </w:tc>
      </w:tr>
      <w:tr w14:paraId="7FD2C474">
        <w:tblPrEx>
          <w:shd w:val="clear" w:color="auto" w:fill="auto"/>
          <w:tblCellMar>
            <w:top w:w="0" w:type="dxa"/>
            <w:left w:w="0" w:type="dxa"/>
            <w:bottom w:w="0" w:type="dxa"/>
            <w:right w:w="0" w:type="dxa"/>
          </w:tblCellMar>
        </w:tblPrEx>
        <w:trPr>
          <w:trHeight w:val="312" w:hRule="atLeast"/>
          <w:jc w:val="center"/>
        </w:trPr>
        <w:tc>
          <w:tcPr>
            <w:tcW w:w="3772"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9C2C743">
            <w:pPr>
              <w:jc w:val="center"/>
              <w:rPr>
                <w:rFonts w:hint="eastAsia" w:ascii="宋体" w:hAnsi="宋体" w:eastAsia="宋体" w:cs="宋体"/>
                <w:i w:val="0"/>
                <w:color w:val="000000"/>
                <w:sz w:val="24"/>
                <w:szCs w:val="24"/>
                <w:u w:val="none"/>
              </w:rPr>
            </w:pPr>
          </w:p>
        </w:tc>
        <w:tc>
          <w:tcPr>
            <w:tcW w:w="4188" w:type="dxa"/>
            <w:vMerge w:val="continue"/>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14:paraId="12E7ECE2">
            <w:pPr>
              <w:jc w:val="center"/>
              <w:rPr>
                <w:rFonts w:hint="eastAsia" w:ascii="宋体" w:hAnsi="宋体" w:eastAsia="宋体" w:cs="宋体"/>
                <w:i w:val="0"/>
                <w:color w:val="000000"/>
                <w:sz w:val="24"/>
                <w:szCs w:val="24"/>
                <w:u w:val="none"/>
              </w:rPr>
            </w:pPr>
          </w:p>
        </w:tc>
      </w:tr>
      <w:tr w14:paraId="2C6E8A1C">
        <w:tblPrEx>
          <w:tblCellMar>
            <w:top w:w="0" w:type="dxa"/>
            <w:left w:w="0" w:type="dxa"/>
            <w:bottom w:w="0" w:type="dxa"/>
            <w:right w:w="0" w:type="dxa"/>
          </w:tblCellMar>
        </w:tblPrEx>
        <w:trPr>
          <w:trHeight w:val="442" w:hRule="atLeast"/>
          <w:jc w:val="center"/>
        </w:trPr>
        <w:tc>
          <w:tcPr>
            <w:tcW w:w="3772" w:type="dxa"/>
            <w:tcBorders>
              <w:top w:val="nil"/>
              <w:left w:val="nil"/>
              <w:bottom w:val="nil"/>
              <w:right w:val="nil"/>
            </w:tcBorders>
            <w:shd w:val="clear" w:color="auto" w:fill="auto"/>
            <w:noWrap/>
            <w:tcMar>
              <w:top w:w="15" w:type="dxa"/>
              <w:left w:w="15" w:type="dxa"/>
              <w:right w:w="15" w:type="dxa"/>
            </w:tcMar>
            <w:vAlign w:val="center"/>
          </w:tcPr>
          <w:p w14:paraId="69D7914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居民消费价格</w:t>
            </w:r>
          </w:p>
        </w:tc>
        <w:tc>
          <w:tcPr>
            <w:tcW w:w="4188" w:type="dxa"/>
            <w:tcBorders>
              <w:top w:val="nil"/>
              <w:left w:val="single" w:color="000000" w:sz="4" w:space="0"/>
              <w:bottom w:val="nil"/>
              <w:right w:val="nil"/>
            </w:tcBorders>
            <w:shd w:val="clear" w:color="auto" w:fill="auto"/>
            <w:tcMar>
              <w:top w:w="15" w:type="dxa"/>
              <w:left w:w="15" w:type="dxa"/>
              <w:right w:w="15" w:type="dxa"/>
            </w:tcMar>
            <w:vAlign w:val="center"/>
          </w:tcPr>
          <w:p w14:paraId="073201C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4.7</w:t>
            </w:r>
            <w:r>
              <w:rPr>
                <w:rFonts w:hint="default" w:ascii="Times New Roman" w:hAnsi="Times New Roman" w:eastAsia="宋体" w:cs="Times New Roman"/>
                <w:i w:val="0"/>
                <w:color w:val="000000"/>
                <w:kern w:val="0"/>
                <w:sz w:val="24"/>
                <w:szCs w:val="24"/>
                <w:u w:val="none"/>
                <w:lang w:val="en-US" w:eastAsia="zh-CN" w:bidi="ar"/>
              </w:rPr>
              <w:t xml:space="preserve"> </w:t>
            </w:r>
          </w:p>
        </w:tc>
      </w:tr>
      <w:tr w14:paraId="6899C265">
        <w:tblPrEx>
          <w:tblCellMar>
            <w:top w:w="0" w:type="dxa"/>
            <w:left w:w="0" w:type="dxa"/>
            <w:bottom w:w="0" w:type="dxa"/>
            <w:right w:w="0" w:type="dxa"/>
          </w:tblCellMar>
        </w:tblPrEx>
        <w:trPr>
          <w:trHeight w:val="422" w:hRule="atLeast"/>
          <w:jc w:val="center"/>
        </w:trPr>
        <w:tc>
          <w:tcPr>
            <w:tcW w:w="3772" w:type="dxa"/>
            <w:tcBorders>
              <w:top w:val="nil"/>
              <w:left w:val="nil"/>
              <w:bottom w:val="nil"/>
              <w:right w:val="nil"/>
            </w:tcBorders>
            <w:shd w:val="clear" w:color="auto" w:fill="auto"/>
            <w:noWrap/>
            <w:tcMar>
              <w:top w:w="15" w:type="dxa"/>
              <w:left w:w="15" w:type="dxa"/>
              <w:right w:w="15" w:type="dxa"/>
            </w:tcMar>
            <w:vAlign w:val="center"/>
          </w:tcPr>
          <w:p w14:paraId="3B33031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其中：食品烟酒</w:t>
            </w:r>
          </w:p>
        </w:tc>
        <w:tc>
          <w:tcPr>
            <w:tcW w:w="4188" w:type="dxa"/>
            <w:tcBorders>
              <w:top w:val="nil"/>
              <w:left w:val="single" w:color="000000" w:sz="4" w:space="0"/>
              <w:bottom w:val="nil"/>
              <w:right w:val="nil"/>
            </w:tcBorders>
            <w:shd w:val="clear" w:color="auto" w:fill="auto"/>
            <w:tcMar>
              <w:top w:w="15" w:type="dxa"/>
              <w:left w:w="15" w:type="dxa"/>
              <w:right w:w="15" w:type="dxa"/>
            </w:tcMar>
            <w:vAlign w:val="bottom"/>
          </w:tcPr>
          <w:p w14:paraId="73FE9914">
            <w:pPr>
              <w:keepNext w:val="0"/>
              <w:keepLines w:val="0"/>
              <w:widowControl/>
              <w:suppressLineNumbers w:val="0"/>
              <w:jc w:val="center"/>
              <w:textAlignment w:val="bottom"/>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13.6</w:t>
            </w:r>
            <w:r>
              <w:rPr>
                <w:rFonts w:hint="default" w:ascii="Times New Roman" w:hAnsi="Times New Roman" w:eastAsia="宋体" w:cs="Times New Roman"/>
                <w:i w:val="0"/>
                <w:color w:val="000000"/>
                <w:kern w:val="0"/>
                <w:sz w:val="24"/>
                <w:szCs w:val="24"/>
                <w:u w:val="none"/>
                <w:lang w:val="en-US" w:eastAsia="zh-CN" w:bidi="ar"/>
              </w:rPr>
              <w:t xml:space="preserve"> </w:t>
            </w:r>
          </w:p>
        </w:tc>
      </w:tr>
      <w:tr w14:paraId="3F6C20F4">
        <w:tblPrEx>
          <w:tblCellMar>
            <w:top w:w="0" w:type="dxa"/>
            <w:left w:w="0" w:type="dxa"/>
            <w:bottom w:w="0" w:type="dxa"/>
            <w:right w:w="0" w:type="dxa"/>
          </w:tblCellMar>
        </w:tblPrEx>
        <w:trPr>
          <w:trHeight w:val="422" w:hRule="atLeast"/>
          <w:jc w:val="center"/>
        </w:trPr>
        <w:tc>
          <w:tcPr>
            <w:tcW w:w="3772" w:type="dxa"/>
            <w:tcBorders>
              <w:top w:val="nil"/>
              <w:left w:val="nil"/>
              <w:bottom w:val="nil"/>
              <w:right w:val="nil"/>
            </w:tcBorders>
            <w:shd w:val="clear" w:color="auto" w:fill="auto"/>
            <w:noWrap/>
            <w:tcMar>
              <w:top w:w="15" w:type="dxa"/>
              <w:left w:w="15" w:type="dxa"/>
              <w:right w:w="15" w:type="dxa"/>
            </w:tcMar>
            <w:vAlign w:val="center"/>
          </w:tcPr>
          <w:p w14:paraId="3833B28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衣着</w:t>
            </w:r>
          </w:p>
        </w:tc>
        <w:tc>
          <w:tcPr>
            <w:tcW w:w="4188" w:type="dxa"/>
            <w:tcBorders>
              <w:top w:val="nil"/>
              <w:left w:val="single" w:color="000000" w:sz="4" w:space="0"/>
              <w:bottom w:val="nil"/>
              <w:right w:val="nil"/>
            </w:tcBorders>
            <w:shd w:val="clear" w:color="auto" w:fill="auto"/>
            <w:tcMar>
              <w:top w:w="15" w:type="dxa"/>
              <w:left w:w="15" w:type="dxa"/>
              <w:right w:w="15" w:type="dxa"/>
            </w:tcMar>
            <w:vAlign w:val="center"/>
          </w:tcPr>
          <w:p w14:paraId="7FE266F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-3.3</w:t>
            </w:r>
          </w:p>
        </w:tc>
      </w:tr>
      <w:tr w14:paraId="407CAF05">
        <w:tblPrEx>
          <w:shd w:val="clear" w:color="auto" w:fill="auto"/>
          <w:tblCellMar>
            <w:top w:w="0" w:type="dxa"/>
            <w:left w:w="0" w:type="dxa"/>
            <w:bottom w:w="0" w:type="dxa"/>
            <w:right w:w="0" w:type="dxa"/>
          </w:tblCellMar>
        </w:tblPrEx>
        <w:trPr>
          <w:trHeight w:val="422" w:hRule="atLeast"/>
          <w:jc w:val="center"/>
        </w:trPr>
        <w:tc>
          <w:tcPr>
            <w:tcW w:w="3772" w:type="dxa"/>
            <w:tcBorders>
              <w:top w:val="nil"/>
              <w:left w:val="nil"/>
              <w:bottom w:val="nil"/>
              <w:right w:val="nil"/>
            </w:tcBorders>
            <w:shd w:val="clear" w:color="auto" w:fill="auto"/>
            <w:noWrap/>
            <w:tcMar>
              <w:top w:w="15" w:type="dxa"/>
              <w:left w:w="15" w:type="dxa"/>
              <w:right w:w="15" w:type="dxa"/>
            </w:tcMar>
            <w:vAlign w:val="center"/>
          </w:tcPr>
          <w:p w14:paraId="4E77E52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居住</w:t>
            </w:r>
          </w:p>
        </w:tc>
        <w:tc>
          <w:tcPr>
            <w:tcW w:w="4188" w:type="dxa"/>
            <w:tcBorders>
              <w:top w:val="nil"/>
              <w:left w:val="single" w:color="000000" w:sz="4" w:space="0"/>
              <w:bottom w:val="nil"/>
              <w:right w:val="nil"/>
            </w:tcBorders>
            <w:shd w:val="clear" w:color="auto" w:fill="auto"/>
            <w:tcMar>
              <w:top w:w="15" w:type="dxa"/>
              <w:left w:w="15" w:type="dxa"/>
              <w:right w:w="15" w:type="dxa"/>
            </w:tcMar>
            <w:vAlign w:val="center"/>
          </w:tcPr>
          <w:p w14:paraId="56B652A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-1.9</w:t>
            </w:r>
            <w:r>
              <w:rPr>
                <w:rFonts w:hint="default" w:ascii="Times New Roman" w:hAnsi="Times New Roman" w:eastAsia="宋体" w:cs="Times New Roman"/>
                <w:i w:val="0"/>
                <w:color w:val="000000"/>
                <w:kern w:val="0"/>
                <w:sz w:val="24"/>
                <w:szCs w:val="24"/>
                <w:u w:val="none"/>
                <w:lang w:val="en-US" w:eastAsia="zh-CN" w:bidi="ar"/>
              </w:rPr>
              <w:t xml:space="preserve"> </w:t>
            </w:r>
          </w:p>
        </w:tc>
      </w:tr>
      <w:tr w14:paraId="7E7D63EC">
        <w:tblPrEx>
          <w:tblCellMar>
            <w:top w:w="0" w:type="dxa"/>
            <w:left w:w="0" w:type="dxa"/>
            <w:bottom w:w="0" w:type="dxa"/>
            <w:right w:w="0" w:type="dxa"/>
          </w:tblCellMar>
        </w:tblPrEx>
        <w:trPr>
          <w:trHeight w:val="422" w:hRule="atLeast"/>
          <w:jc w:val="center"/>
        </w:trPr>
        <w:tc>
          <w:tcPr>
            <w:tcW w:w="3772" w:type="dxa"/>
            <w:tcBorders>
              <w:top w:val="nil"/>
              <w:left w:val="nil"/>
              <w:bottom w:val="nil"/>
              <w:right w:val="nil"/>
            </w:tcBorders>
            <w:shd w:val="clear" w:color="auto" w:fill="auto"/>
            <w:noWrap/>
            <w:tcMar>
              <w:top w:w="15" w:type="dxa"/>
              <w:left w:w="15" w:type="dxa"/>
              <w:right w:w="15" w:type="dxa"/>
            </w:tcMar>
            <w:vAlign w:val="center"/>
          </w:tcPr>
          <w:p w14:paraId="1A62386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生活用品及服务</w:t>
            </w:r>
          </w:p>
        </w:tc>
        <w:tc>
          <w:tcPr>
            <w:tcW w:w="4188" w:type="dxa"/>
            <w:tcBorders>
              <w:top w:val="nil"/>
              <w:left w:val="single" w:color="000000" w:sz="4" w:space="0"/>
              <w:bottom w:val="nil"/>
              <w:right w:val="nil"/>
            </w:tcBorders>
            <w:shd w:val="clear" w:color="auto" w:fill="auto"/>
            <w:tcMar>
              <w:top w:w="15" w:type="dxa"/>
              <w:left w:w="15" w:type="dxa"/>
              <w:right w:w="15" w:type="dxa"/>
            </w:tcMar>
            <w:vAlign w:val="center"/>
          </w:tcPr>
          <w:p w14:paraId="34290A6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0.5</w:t>
            </w:r>
            <w:r>
              <w:rPr>
                <w:rFonts w:hint="default" w:ascii="Times New Roman" w:hAnsi="Times New Roman" w:eastAsia="宋体" w:cs="Times New Roman"/>
                <w:i w:val="0"/>
                <w:color w:val="000000"/>
                <w:kern w:val="0"/>
                <w:sz w:val="24"/>
                <w:szCs w:val="24"/>
                <w:u w:val="none"/>
                <w:lang w:val="en-US" w:eastAsia="zh-CN" w:bidi="ar"/>
              </w:rPr>
              <w:t xml:space="preserve"> </w:t>
            </w:r>
          </w:p>
        </w:tc>
      </w:tr>
      <w:tr w14:paraId="7431EA04">
        <w:tblPrEx>
          <w:tblCellMar>
            <w:top w:w="0" w:type="dxa"/>
            <w:left w:w="0" w:type="dxa"/>
            <w:bottom w:w="0" w:type="dxa"/>
            <w:right w:w="0" w:type="dxa"/>
          </w:tblCellMar>
        </w:tblPrEx>
        <w:trPr>
          <w:trHeight w:val="422" w:hRule="atLeast"/>
          <w:jc w:val="center"/>
        </w:trPr>
        <w:tc>
          <w:tcPr>
            <w:tcW w:w="3772" w:type="dxa"/>
            <w:tcBorders>
              <w:top w:val="nil"/>
              <w:left w:val="nil"/>
              <w:bottom w:val="nil"/>
              <w:right w:val="nil"/>
            </w:tcBorders>
            <w:shd w:val="clear" w:color="auto" w:fill="auto"/>
            <w:noWrap/>
            <w:tcMar>
              <w:top w:w="15" w:type="dxa"/>
              <w:left w:w="15" w:type="dxa"/>
              <w:right w:w="15" w:type="dxa"/>
            </w:tcMar>
            <w:vAlign w:val="center"/>
          </w:tcPr>
          <w:p w14:paraId="0386CCC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交通和通信</w:t>
            </w:r>
          </w:p>
        </w:tc>
        <w:tc>
          <w:tcPr>
            <w:tcW w:w="4188" w:type="dxa"/>
            <w:tcBorders>
              <w:top w:val="nil"/>
              <w:left w:val="single" w:color="000000" w:sz="4" w:space="0"/>
              <w:bottom w:val="nil"/>
              <w:right w:val="nil"/>
            </w:tcBorders>
            <w:shd w:val="clear" w:color="auto" w:fill="auto"/>
            <w:tcMar>
              <w:top w:w="15" w:type="dxa"/>
              <w:left w:w="15" w:type="dxa"/>
              <w:right w:w="15" w:type="dxa"/>
            </w:tcMar>
            <w:vAlign w:val="center"/>
          </w:tcPr>
          <w:p w14:paraId="4FAC46B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-4.3</w:t>
            </w:r>
          </w:p>
        </w:tc>
      </w:tr>
      <w:tr w14:paraId="2AEAC070">
        <w:tblPrEx>
          <w:tblCellMar>
            <w:top w:w="0" w:type="dxa"/>
            <w:left w:w="0" w:type="dxa"/>
            <w:bottom w:w="0" w:type="dxa"/>
            <w:right w:w="0" w:type="dxa"/>
          </w:tblCellMar>
        </w:tblPrEx>
        <w:trPr>
          <w:trHeight w:val="422" w:hRule="atLeast"/>
          <w:jc w:val="center"/>
        </w:trPr>
        <w:tc>
          <w:tcPr>
            <w:tcW w:w="3772" w:type="dxa"/>
            <w:tcBorders>
              <w:top w:val="nil"/>
              <w:left w:val="nil"/>
              <w:bottom w:val="nil"/>
              <w:right w:val="nil"/>
            </w:tcBorders>
            <w:shd w:val="clear" w:color="auto" w:fill="auto"/>
            <w:noWrap/>
            <w:tcMar>
              <w:top w:w="15" w:type="dxa"/>
              <w:left w:w="15" w:type="dxa"/>
              <w:right w:w="15" w:type="dxa"/>
            </w:tcMar>
            <w:vAlign w:val="center"/>
          </w:tcPr>
          <w:p w14:paraId="21F8155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教育文化和娱乐</w:t>
            </w:r>
          </w:p>
        </w:tc>
        <w:tc>
          <w:tcPr>
            <w:tcW w:w="4188" w:type="dxa"/>
            <w:tcBorders>
              <w:top w:val="nil"/>
              <w:left w:val="single" w:color="000000" w:sz="4" w:space="0"/>
              <w:bottom w:val="nil"/>
              <w:right w:val="nil"/>
            </w:tcBorders>
            <w:shd w:val="clear" w:color="auto" w:fill="auto"/>
            <w:tcMar>
              <w:top w:w="15" w:type="dxa"/>
              <w:left w:w="15" w:type="dxa"/>
              <w:right w:w="15" w:type="dxa"/>
            </w:tcMar>
            <w:vAlign w:val="center"/>
          </w:tcPr>
          <w:p w14:paraId="3758BA8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2.2</w:t>
            </w:r>
          </w:p>
        </w:tc>
      </w:tr>
      <w:tr w14:paraId="2A6A1B69">
        <w:tblPrEx>
          <w:shd w:val="clear" w:color="auto" w:fill="auto"/>
          <w:tblCellMar>
            <w:top w:w="0" w:type="dxa"/>
            <w:left w:w="0" w:type="dxa"/>
            <w:bottom w:w="0" w:type="dxa"/>
            <w:right w:w="0" w:type="dxa"/>
          </w:tblCellMar>
        </w:tblPrEx>
        <w:trPr>
          <w:trHeight w:val="422" w:hRule="atLeast"/>
          <w:jc w:val="center"/>
        </w:trPr>
        <w:tc>
          <w:tcPr>
            <w:tcW w:w="3772" w:type="dxa"/>
            <w:tcBorders>
              <w:top w:val="nil"/>
              <w:left w:val="nil"/>
              <w:bottom w:val="nil"/>
              <w:right w:val="nil"/>
            </w:tcBorders>
            <w:shd w:val="clear" w:color="auto" w:fill="auto"/>
            <w:noWrap/>
            <w:tcMar>
              <w:top w:w="15" w:type="dxa"/>
              <w:left w:w="15" w:type="dxa"/>
              <w:right w:w="15" w:type="dxa"/>
            </w:tcMar>
            <w:vAlign w:val="center"/>
          </w:tcPr>
          <w:p w14:paraId="201B429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医疗保健</w:t>
            </w:r>
          </w:p>
        </w:tc>
        <w:tc>
          <w:tcPr>
            <w:tcW w:w="4188" w:type="dxa"/>
            <w:tcBorders>
              <w:top w:val="nil"/>
              <w:left w:val="single" w:color="000000" w:sz="4" w:space="0"/>
              <w:bottom w:val="nil"/>
              <w:right w:val="nil"/>
            </w:tcBorders>
            <w:shd w:val="clear" w:color="auto" w:fill="auto"/>
            <w:tcMar>
              <w:top w:w="15" w:type="dxa"/>
              <w:left w:w="15" w:type="dxa"/>
              <w:right w:w="15" w:type="dxa"/>
            </w:tcMar>
            <w:vAlign w:val="center"/>
          </w:tcPr>
          <w:p w14:paraId="4C8E015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eastAsia" w:ascii="Times New Roman" w:hAnsi="Times New Roman" w:eastAsia="宋体" w:cs="Times New Roman"/>
                <w:i w:val="0"/>
                <w:color w:val="000000"/>
                <w:kern w:val="0"/>
                <w:sz w:val="24"/>
                <w:szCs w:val="24"/>
                <w:u w:val="none"/>
                <w:lang w:val="en-US" w:eastAsia="zh-CN" w:bidi="ar"/>
              </w:rPr>
              <w:t>3.7</w:t>
            </w:r>
            <w:r>
              <w:rPr>
                <w:rFonts w:hint="default" w:ascii="Times New Roman" w:hAnsi="Times New Roman" w:eastAsia="宋体" w:cs="Times New Roman"/>
                <w:i w:val="0"/>
                <w:color w:val="000000"/>
                <w:kern w:val="0"/>
                <w:sz w:val="24"/>
                <w:szCs w:val="24"/>
                <w:u w:val="none"/>
                <w:lang w:val="en-US" w:eastAsia="zh-CN" w:bidi="ar"/>
              </w:rPr>
              <w:t xml:space="preserve"> </w:t>
            </w:r>
          </w:p>
        </w:tc>
      </w:tr>
      <w:tr w14:paraId="2A0B7EC1">
        <w:tblPrEx>
          <w:shd w:val="clear" w:color="auto" w:fill="auto"/>
          <w:tblCellMar>
            <w:top w:w="0" w:type="dxa"/>
            <w:left w:w="0" w:type="dxa"/>
            <w:bottom w:w="0" w:type="dxa"/>
            <w:right w:w="0" w:type="dxa"/>
          </w:tblCellMar>
        </w:tblPrEx>
        <w:trPr>
          <w:trHeight w:val="472" w:hRule="atLeast"/>
          <w:jc w:val="center"/>
        </w:trPr>
        <w:tc>
          <w:tcPr>
            <w:tcW w:w="3772" w:type="dxa"/>
            <w:tcBorders>
              <w:top w:val="nil"/>
              <w:left w:val="nil"/>
              <w:bottom w:val="single" w:color="000000" w:sz="12" w:space="0"/>
              <w:right w:val="nil"/>
            </w:tcBorders>
            <w:shd w:val="clear" w:color="auto" w:fill="auto"/>
            <w:noWrap/>
            <w:tcMar>
              <w:top w:w="15" w:type="dxa"/>
              <w:left w:w="15" w:type="dxa"/>
              <w:right w:w="15" w:type="dxa"/>
            </w:tcMar>
            <w:vAlign w:val="center"/>
          </w:tcPr>
          <w:p w14:paraId="6B29365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其他用品和服务</w:t>
            </w:r>
          </w:p>
        </w:tc>
        <w:tc>
          <w:tcPr>
            <w:tcW w:w="4188" w:type="dxa"/>
            <w:tcBorders>
              <w:top w:val="nil"/>
              <w:left w:val="single" w:color="000000" w:sz="4" w:space="0"/>
              <w:bottom w:val="single" w:color="000000" w:sz="12" w:space="0"/>
              <w:right w:val="nil"/>
            </w:tcBorders>
            <w:shd w:val="clear" w:color="auto" w:fill="auto"/>
            <w:tcMar>
              <w:top w:w="15" w:type="dxa"/>
              <w:left w:w="15" w:type="dxa"/>
              <w:right w:w="15" w:type="dxa"/>
            </w:tcMar>
            <w:vAlign w:val="center"/>
          </w:tcPr>
          <w:p w14:paraId="7FF7B48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6.9</w:t>
            </w:r>
          </w:p>
        </w:tc>
      </w:tr>
    </w:tbl>
    <w:p w14:paraId="0E7C4A2E">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全年居民消费价格比上年上涨4.7%。其中，食品烟酒类价格上涨13.6%，涨幅为居民消费八大类之首；其次是其他用品和服务类、医疗保健类，价格分别上涨6.9%、3.7%。居民消费价格比上年涨跌幅度见表1。</w:t>
      </w:r>
    </w:p>
    <w:p w14:paraId="37891FB2">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新引擎新动能持续发展。全年现代服务业增加值增长1.5%,占全市经济比重15.6%。全年新认定高新技术企业4家，比上年增长3倍，累计高新技术企业7家，每万家企业中高新技术企业数量为24.5家。全年高新技术产业增加值对经济增长贡献0.27%。全年高技术产业投资占比2.8%。全年工业战略性新兴产业总产值占工业总产值比重41.6%。依托</w:t>
      </w:r>
      <w:r>
        <w:rPr>
          <w:rFonts w:hint="eastAsia" w:ascii="仿宋_GB2312" w:hAnsi="仿宋_GB2312" w:eastAsia="仿宋_GB2312" w:cs="仿宋_GB2312"/>
          <w:i w:val="0"/>
          <w:caps w:val="0"/>
          <w:color w:val="000000"/>
          <w:spacing w:val="0"/>
          <w:sz w:val="32"/>
          <w:szCs w:val="32"/>
          <w:shd w:val="clear" w:fill="FFFFFF"/>
          <w:vertAlign w:val="baseline"/>
        </w:rPr>
        <w:t>博鳌亚洲论坛品牌效应</w:t>
      </w:r>
      <w:r>
        <w:rPr>
          <w:rFonts w:hint="eastAsia" w:ascii="仿宋_GB2312" w:hAnsi="仿宋_GB2312" w:eastAsia="仿宋_GB2312" w:cs="仿宋_GB2312"/>
          <w:i w:val="0"/>
          <w:caps w:val="0"/>
          <w:color w:val="000000" w:themeColor="text1"/>
          <w:spacing w:val="0"/>
          <w:sz w:val="32"/>
          <w:szCs w:val="32"/>
          <w:shd w:val="clear" w:fill="FFFFFF"/>
          <w:vertAlign w:val="baseline"/>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vertAlign w:val="baseline"/>
          <w14:textFill>
            <w14:solidFill>
              <w14:schemeClr w14:val="tx1"/>
            </w14:solidFill>
          </w14:textFill>
        </w:rPr>
        <w:t>全年举办各类会议会展活动2</w:t>
      </w:r>
      <w:r>
        <w:rPr>
          <w:rFonts w:hint="eastAsia" w:ascii="仿宋_GB2312" w:hAnsi="仿宋_GB2312" w:eastAsia="仿宋_GB2312" w:cs="仿宋_GB2312"/>
          <w:i w:val="0"/>
          <w:caps w:val="0"/>
          <w:color w:val="000000" w:themeColor="text1"/>
          <w:spacing w:val="0"/>
          <w:sz w:val="32"/>
          <w:szCs w:val="32"/>
          <w:shd w:val="clear" w:fill="FFFFFF"/>
          <w:vertAlign w:val="baseline"/>
          <w:lang w:val="en-US" w:eastAsia="zh-CN"/>
          <w14:textFill>
            <w14:solidFill>
              <w14:schemeClr w14:val="tx1"/>
            </w14:solidFill>
          </w14:textFill>
        </w:rPr>
        <w:t>55</w:t>
      </w:r>
      <w:r>
        <w:rPr>
          <w:rFonts w:hint="eastAsia" w:ascii="仿宋_GB2312" w:hAnsi="仿宋_GB2312" w:eastAsia="仿宋_GB2312" w:cs="仿宋_GB2312"/>
          <w:i w:val="0"/>
          <w:caps w:val="0"/>
          <w:color w:val="000000" w:themeColor="text1"/>
          <w:spacing w:val="0"/>
          <w:sz w:val="32"/>
          <w:szCs w:val="32"/>
          <w:shd w:val="clear" w:fill="FFFFFF"/>
          <w:vertAlign w:val="baseline"/>
          <w14:textFill>
            <w14:solidFill>
              <w14:schemeClr w14:val="tx1"/>
            </w14:solidFill>
          </w14:textFill>
        </w:rPr>
        <w:t>场，参会人</w:t>
      </w:r>
      <w:r>
        <w:rPr>
          <w:rFonts w:hint="eastAsia" w:ascii="仿宋_GB2312" w:hAnsi="仿宋_GB2312" w:eastAsia="仿宋_GB2312" w:cs="仿宋_GB2312"/>
          <w:i w:val="0"/>
          <w:caps w:val="0"/>
          <w:color w:val="000000" w:themeColor="text1"/>
          <w:spacing w:val="0"/>
          <w:sz w:val="32"/>
          <w:szCs w:val="32"/>
          <w:shd w:val="clear" w:fill="FFFFFF"/>
          <w:vertAlign w:val="baseline"/>
          <w:lang w:eastAsia="zh-CN"/>
          <w14:textFill>
            <w14:solidFill>
              <w14:schemeClr w14:val="tx1"/>
            </w14:solidFill>
          </w14:textFill>
        </w:rPr>
        <w:t>员</w:t>
      </w:r>
      <w:r>
        <w:rPr>
          <w:rFonts w:hint="eastAsia" w:ascii="仿宋_GB2312" w:hAnsi="仿宋_GB2312" w:eastAsia="仿宋_GB2312" w:cs="仿宋_GB2312"/>
          <w:i w:val="0"/>
          <w:caps w:val="0"/>
          <w:color w:val="000000" w:themeColor="text1"/>
          <w:spacing w:val="0"/>
          <w:sz w:val="32"/>
          <w:szCs w:val="32"/>
          <w:shd w:val="clear" w:fill="FFFFFF"/>
          <w:vertAlign w:val="baseline"/>
          <w14:textFill>
            <w14:solidFill>
              <w14:schemeClr w14:val="tx1"/>
            </w14:solidFill>
          </w14:textFill>
        </w:rPr>
        <w:t>约7万人次</w:t>
      </w:r>
      <w:r>
        <w:rPr>
          <w:rFonts w:hint="eastAsia" w:ascii="仿宋_GB2312" w:hAnsi="仿宋_GB2312" w:eastAsia="仿宋_GB2312" w:cs="仿宋_GB2312"/>
          <w:i w:val="0"/>
          <w:caps w:val="0"/>
          <w:color w:val="000000" w:themeColor="text1"/>
          <w:spacing w:val="0"/>
          <w:sz w:val="32"/>
          <w:szCs w:val="32"/>
          <w:shd w:val="clear" w:fill="FFFFFF"/>
          <w:vertAlign w:val="baseline"/>
          <w:lang w:eastAsia="zh-CN"/>
          <w14:textFill>
            <w14:solidFill>
              <w14:schemeClr w14:val="tx1"/>
            </w14:solidFill>
          </w14:textFill>
        </w:rPr>
        <w:t>，会议</w:t>
      </w:r>
      <w:r>
        <w:rPr>
          <w:rFonts w:hint="eastAsia" w:ascii="仿宋_GB2312" w:hAnsi="仿宋_GB2312" w:eastAsia="仿宋_GB2312" w:cs="仿宋_GB2312"/>
          <w:i w:val="0"/>
          <w:caps w:val="0"/>
          <w:color w:val="000000" w:themeColor="text1"/>
          <w:spacing w:val="0"/>
          <w:sz w:val="32"/>
          <w:szCs w:val="32"/>
          <w:shd w:val="clear" w:fill="FFFFFF"/>
          <w:vertAlign w:val="baseline"/>
          <w14:textFill>
            <w14:solidFill>
              <w14:schemeClr w14:val="tx1"/>
            </w14:solidFill>
          </w14:textFill>
        </w:rPr>
        <w:t>收入约</w:t>
      </w:r>
      <w:r>
        <w:rPr>
          <w:rFonts w:hint="eastAsia" w:ascii="仿宋_GB2312" w:hAnsi="仿宋_GB2312" w:eastAsia="仿宋_GB2312" w:cs="仿宋_GB2312"/>
          <w:i w:val="0"/>
          <w:caps w:val="0"/>
          <w:color w:val="000000" w:themeColor="text1"/>
          <w:spacing w:val="0"/>
          <w:sz w:val="32"/>
          <w:szCs w:val="32"/>
          <w:shd w:val="clear" w:fill="FFFFFF"/>
          <w:vertAlign w:val="baseline"/>
          <w:lang w:val="en-US" w:eastAsia="zh-CN"/>
          <w14:textFill>
            <w14:solidFill>
              <w14:schemeClr w14:val="tx1"/>
            </w14:solidFill>
          </w14:textFill>
        </w:rPr>
        <w:t>8657万</w:t>
      </w:r>
      <w:r>
        <w:rPr>
          <w:rFonts w:hint="eastAsia" w:ascii="仿宋_GB2312" w:hAnsi="仿宋_GB2312" w:eastAsia="仿宋_GB2312" w:cs="仿宋_GB2312"/>
          <w:i w:val="0"/>
          <w:caps w:val="0"/>
          <w:color w:val="000000" w:themeColor="text1"/>
          <w:spacing w:val="0"/>
          <w:sz w:val="32"/>
          <w:szCs w:val="32"/>
          <w:shd w:val="clear" w:fill="FFFFFF"/>
          <w:vertAlign w:val="baseline"/>
          <w14:textFill>
            <w14:solidFill>
              <w14:schemeClr w14:val="tx1"/>
            </w14:solidFill>
          </w14:textFill>
        </w:rPr>
        <w:t>元，其中，千人以上会议2</w:t>
      </w:r>
      <w:r>
        <w:rPr>
          <w:rFonts w:hint="eastAsia" w:ascii="仿宋_GB2312" w:hAnsi="仿宋_GB2312" w:eastAsia="仿宋_GB2312" w:cs="仿宋_GB2312"/>
          <w:i w:val="0"/>
          <w:caps w:val="0"/>
          <w:color w:val="000000" w:themeColor="text1"/>
          <w:spacing w:val="0"/>
          <w:sz w:val="32"/>
          <w:szCs w:val="32"/>
          <w:shd w:val="clear" w:fill="FFFFFF"/>
          <w:vertAlign w:val="baseline"/>
          <w:lang w:val="en-US" w:eastAsia="zh-CN"/>
          <w14:textFill>
            <w14:solidFill>
              <w14:schemeClr w14:val="tx1"/>
            </w14:solidFill>
          </w14:textFill>
        </w:rPr>
        <w:t>6</w:t>
      </w:r>
      <w:r>
        <w:rPr>
          <w:rFonts w:hint="eastAsia" w:ascii="仿宋_GB2312" w:hAnsi="仿宋_GB2312" w:eastAsia="仿宋_GB2312" w:cs="仿宋_GB2312"/>
          <w:i w:val="0"/>
          <w:caps w:val="0"/>
          <w:color w:val="000000" w:themeColor="text1"/>
          <w:spacing w:val="0"/>
          <w:sz w:val="32"/>
          <w:szCs w:val="32"/>
          <w:shd w:val="clear" w:fill="FFFFFF"/>
          <w:vertAlign w:val="baseline"/>
          <w14:textFill>
            <w14:solidFill>
              <w14:schemeClr w14:val="tx1"/>
            </w14:solidFill>
          </w14:textFill>
        </w:rPr>
        <w:t>场</w:t>
      </w:r>
      <w:r>
        <w:rPr>
          <w:rFonts w:hint="eastAsia" w:ascii="仿宋_GB2312" w:hAnsi="仿宋_GB2312" w:eastAsia="仿宋_GB2312" w:cs="仿宋_GB2312"/>
          <w:i w:val="0"/>
          <w:caps w:val="0"/>
          <w:color w:val="000000" w:themeColor="text1"/>
          <w:spacing w:val="0"/>
          <w:sz w:val="32"/>
          <w:szCs w:val="32"/>
          <w:shd w:val="clear" w:fill="FFFFFF"/>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全年乐城先行区医疗机构接待医疗旅游人数8.39万人次，比上年增长11.9%；营业收入7.67亿元，比上年增长19.8%。</w:t>
      </w:r>
    </w:p>
    <w:p w14:paraId="78CD1A9D">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脱贫攻坚战全面胜利。全年全市未发生一起新增贫困现象（2019年贫困发生率降至为零）。全市累计实现4747户18039人全部脱贫，5个整村推进贫困村全部出列，全面完成“十三五”期间减贫任务。</w:t>
      </w:r>
    </w:p>
    <w:p w14:paraId="72167FBC">
      <w:pPr>
        <w:keepNext w:val="0"/>
        <w:keepLines w:val="0"/>
        <w:pageBreakBefore w:val="0"/>
        <w:widowControl w:val="0"/>
        <w:kinsoku/>
        <w:wordWrap/>
        <w:overflowPunct/>
        <w:topLinePunct w:val="0"/>
        <w:autoSpaceDE/>
        <w:autoSpaceDN/>
        <w:bidi w:val="0"/>
        <w:adjustRightInd/>
        <w:snapToGrid/>
        <w:spacing w:line="550" w:lineRule="exact"/>
        <w:ind w:firstLine="672" w:firstLineChars="200"/>
        <w:jc w:val="left"/>
        <w:textAlignment w:val="auto"/>
        <w:rPr>
          <w:rStyle w:val="9"/>
          <w:rFonts w:hint="eastAsia" w:ascii="黑体" w:hAnsi="黑体" w:eastAsia="黑体" w:cs="黑体"/>
          <w:b w:val="0"/>
          <w:bCs w:val="0"/>
          <w:i w:val="0"/>
          <w:caps w:val="0"/>
          <w:color w:val="000000" w:themeColor="text1"/>
          <w:spacing w:val="8"/>
          <w:sz w:val="32"/>
          <w:szCs w:val="32"/>
          <w:shd w:val="clear" w:color="auto" w:fill="auto"/>
          <w14:textFill>
            <w14:solidFill>
              <w14:schemeClr w14:val="tx1"/>
            </w14:solidFill>
          </w14:textFill>
        </w:rPr>
      </w:pPr>
      <w:r>
        <w:rPr>
          <w:rStyle w:val="9"/>
          <w:rFonts w:hint="eastAsia" w:ascii="黑体" w:hAnsi="黑体" w:eastAsia="黑体" w:cs="黑体"/>
          <w:b w:val="0"/>
          <w:bCs w:val="0"/>
          <w:i w:val="0"/>
          <w:caps w:val="0"/>
          <w:color w:val="000000" w:themeColor="text1"/>
          <w:spacing w:val="8"/>
          <w:sz w:val="32"/>
          <w:szCs w:val="32"/>
          <w:shd w:val="clear" w:color="auto" w:fill="auto"/>
          <w14:textFill>
            <w14:solidFill>
              <w14:schemeClr w14:val="tx1"/>
            </w14:solidFill>
          </w14:textFill>
        </w:rPr>
        <w:t>二、农林牧渔及服务业</w:t>
      </w:r>
    </w:p>
    <w:p w14:paraId="0D7E1EAB">
      <w:pPr>
        <w:pStyle w:val="2"/>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全年全市农林牧渔及服务业总产值166.1亿元，比上年增长4.9%。从内部行业看，种植业产值88.3亿元，比上年增长8.1%。粮食播种面积28.7万亩，比上年增长3.1%；产量10.4万吨，比上年增长5.1%。蔬菜（含果用瓜）种植面积22.9万亩，比上年增长3.9%；产量52.1万吨，比上年增长4.0%。水果收获面积12.5万亩，比上年下降2.3%；产量27.4万吨，比上年增长0.3%。林业产值11.4亿元，比上年增长6.6%。橡胶产量3.0万吨，比上年下降2.0%；槟榔产量3.9万吨，比上年下降13.8%；椰子产量6910万个，比上年增长2.4%；胡椒产量1.2万吨，比上年下降8.3%。牧业产值38.1亿元，比上年下降1.2%。年末生猪存栏15.0万头，比上年增长3.4%。总肉量6.84万吨，比上年下降6.6%。猪肉量2.45万吨，比上年下降17.7%。禽类肉量4.20万吨，比上年下降0.02%。渔业产值16.0亿元，比上年下降1.0%。水产品总产量8.5万吨，比上年下降4.6%。农林牧渔服务业产值12.3亿元，比上年增长5.4%。农林牧渔业主要产品产量及其增长速度见表2。</w:t>
      </w:r>
    </w:p>
    <w:tbl>
      <w:tblPr>
        <w:tblStyle w:val="7"/>
        <w:tblW w:w="7202" w:type="dxa"/>
        <w:jc w:val="center"/>
        <w:shd w:val="clear" w:color="auto" w:fill="auto"/>
        <w:tblLayout w:type="fixed"/>
        <w:tblCellMar>
          <w:top w:w="0" w:type="dxa"/>
          <w:left w:w="0" w:type="dxa"/>
          <w:bottom w:w="0" w:type="dxa"/>
          <w:right w:w="0" w:type="dxa"/>
        </w:tblCellMar>
      </w:tblPr>
      <w:tblGrid>
        <w:gridCol w:w="3044"/>
        <w:gridCol w:w="1091"/>
        <w:gridCol w:w="1050"/>
        <w:gridCol w:w="2017"/>
      </w:tblGrid>
      <w:tr w14:paraId="50053330">
        <w:tblPrEx>
          <w:tblCellMar>
            <w:top w:w="0" w:type="dxa"/>
            <w:left w:w="0" w:type="dxa"/>
            <w:bottom w:w="0" w:type="dxa"/>
            <w:right w:w="0" w:type="dxa"/>
          </w:tblCellMar>
        </w:tblPrEx>
        <w:trPr>
          <w:trHeight w:val="520" w:hRule="atLeast"/>
          <w:jc w:val="center"/>
        </w:trPr>
        <w:tc>
          <w:tcPr>
            <w:tcW w:w="7202" w:type="dxa"/>
            <w:gridSpan w:val="4"/>
            <w:tcBorders>
              <w:top w:val="nil"/>
              <w:left w:val="nil"/>
              <w:bottom w:val="single" w:color="auto" w:sz="12" w:space="0"/>
              <w:right w:val="nil"/>
            </w:tcBorders>
            <w:shd w:val="clear" w:color="auto" w:fill="auto"/>
            <w:noWrap/>
            <w:tcMar>
              <w:top w:w="15" w:type="dxa"/>
              <w:left w:w="15" w:type="dxa"/>
              <w:right w:w="15" w:type="dxa"/>
            </w:tcMar>
            <w:vAlign w:val="center"/>
          </w:tcPr>
          <w:p w14:paraId="05B0CFEF">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黑体" w:hAnsi="黑体" w:eastAsia="黑体" w:cs="黑体"/>
                <w:i w:val="0"/>
                <w:color w:val="000000" w:themeColor="text1"/>
                <w:kern w:val="0"/>
                <w:sz w:val="30"/>
                <w:szCs w:val="30"/>
                <w:u w:val="none"/>
                <w:lang w:val="en-US" w:eastAsia="zh-CN" w:bidi="ar"/>
                <w14:textFill>
                  <w14:solidFill>
                    <w14:schemeClr w14:val="tx1"/>
                  </w14:solidFill>
                </w14:textFill>
              </w:rPr>
              <w:t>表2  2020年农林牧渔业主要产品产量及其增长速度</w:t>
            </w:r>
          </w:p>
        </w:tc>
      </w:tr>
      <w:tr w14:paraId="7E369518">
        <w:tblPrEx>
          <w:shd w:val="clear" w:color="auto" w:fill="auto"/>
          <w:tblCellMar>
            <w:top w:w="0" w:type="dxa"/>
            <w:left w:w="0" w:type="dxa"/>
            <w:bottom w:w="0" w:type="dxa"/>
            <w:right w:w="0" w:type="dxa"/>
          </w:tblCellMar>
        </w:tblPrEx>
        <w:trPr>
          <w:trHeight w:val="520" w:hRule="atLeast"/>
          <w:jc w:val="center"/>
        </w:trPr>
        <w:tc>
          <w:tcPr>
            <w:tcW w:w="3044" w:type="dxa"/>
            <w:tcBorders>
              <w:top w:val="single" w:color="auto" w:sz="12" w:space="0"/>
              <w:left w:val="nil"/>
              <w:bottom w:val="single" w:color="000000" w:sz="4" w:space="0"/>
              <w:right w:val="single" w:color="000000" w:sz="4" w:space="0"/>
            </w:tcBorders>
            <w:shd w:val="clear" w:color="auto" w:fill="auto"/>
            <w:noWrap/>
            <w:tcMar>
              <w:top w:w="15" w:type="dxa"/>
              <w:left w:w="15" w:type="dxa"/>
              <w:right w:w="15" w:type="dxa"/>
            </w:tcMar>
            <w:vAlign w:val="center"/>
          </w:tcPr>
          <w:p w14:paraId="4EBF8FE1">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产品名称</w:t>
            </w:r>
          </w:p>
        </w:tc>
        <w:tc>
          <w:tcPr>
            <w:tcW w:w="1091" w:type="dxa"/>
            <w:tcBorders>
              <w:top w:val="single" w:color="auto" w:sz="12"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2BA9CC">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单位</w:t>
            </w:r>
          </w:p>
        </w:tc>
        <w:tc>
          <w:tcPr>
            <w:tcW w:w="1050" w:type="dxa"/>
            <w:tcBorders>
              <w:top w:val="single" w:color="auto"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1D9D8">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绝对数</w:t>
            </w:r>
          </w:p>
        </w:tc>
        <w:tc>
          <w:tcPr>
            <w:tcW w:w="2017" w:type="dxa"/>
            <w:tcBorders>
              <w:top w:val="single" w:color="auto" w:sz="12" w:space="0"/>
              <w:left w:val="nil"/>
              <w:bottom w:val="single" w:color="000000" w:sz="4" w:space="0"/>
              <w:right w:val="nil"/>
            </w:tcBorders>
            <w:shd w:val="clear" w:color="auto" w:fill="auto"/>
            <w:noWrap/>
            <w:tcMar>
              <w:top w:w="15" w:type="dxa"/>
              <w:left w:w="15" w:type="dxa"/>
              <w:right w:w="15" w:type="dxa"/>
            </w:tcMar>
            <w:vAlign w:val="center"/>
          </w:tcPr>
          <w:p w14:paraId="13E63B5E">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比上年增减（%）</w:t>
            </w:r>
          </w:p>
        </w:tc>
      </w:tr>
      <w:tr w14:paraId="500C1133">
        <w:tblPrEx>
          <w:shd w:val="clear" w:color="auto" w:fill="auto"/>
          <w:tblCellMar>
            <w:top w:w="0" w:type="dxa"/>
            <w:left w:w="0" w:type="dxa"/>
            <w:bottom w:w="0" w:type="dxa"/>
            <w:right w:w="0" w:type="dxa"/>
          </w:tblCellMar>
        </w:tblPrEx>
        <w:trPr>
          <w:trHeight w:val="400" w:hRule="atLeast"/>
          <w:jc w:val="center"/>
        </w:trPr>
        <w:tc>
          <w:tcPr>
            <w:tcW w:w="3044" w:type="dxa"/>
            <w:tcBorders>
              <w:top w:val="nil"/>
              <w:left w:val="nil"/>
              <w:bottom w:val="nil"/>
              <w:right w:val="single" w:color="000000" w:sz="4" w:space="0"/>
            </w:tcBorders>
            <w:shd w:val="clear" w:color="auto" w:fill="auto"/>
            <w:noWrap/>
            <w:tcMar>
              <w:top w:w="15" w:type="dxa"/>
              <w:left w:w="15" w:type="dxa"/>
              <w:right w:w="15" w:type="dxa"/>
            </w:tcMar>
            <w:vAlign w:val="center"/>
          </w:tcPr>
          <w:p w14:paraId="309C83A4">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粮食</w:t>
            </w:r>
          </w:p>
        </w:tc>
        <w:tc>
          <w:tcPr>
            <w:tcW w:w="1091" w:type="dxa"/>
            <w:tcBorders>
              <w:top w:val="nil"/>
              <w:left w:val="nil"/>
              <w:bottom w:val="nil"/>
              <w:right w:val="single" w:color="000000" w:sz="4" w:space="0"/>
            </w:tcBorders>
            <w:shd w:val="clear" w:color="auto" w:fill="auto"/>
            <w:noWrap/>
            <w:tcMar>
              <w:top w:w="15" w:type="dxa"/>
              <w:left w:w="15" w:type="dxa"/>
              <w:right w:w="15" w:type="dxa"/>
            </w:tcMar>
            <w:vAlign w:val="center"/>
          </w:tcPr>
          <w:p w14:paraId="69AC7297">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万吨</w:t>
            </w:r>
          </w:p>
        </w:tc>
        <w:tc>
          <w:tcPr>
            <w:tcW w:w="1050" w:type="dxa"/>
            <w:tcBorders>
              <w:top w:val="nil"/>
              <w:left w:val="nil"/>
              <w:bottom w:val="nil"/>
              <w:right w:val="single" w:color="000000" w:sz="4" w:space="0"/>
            </w:tcBorders>
            <w:shd w:val="clear" w:color="auto" w:fill="auto"/>
            <w:noWrap/>
            <w:tcMar>
              <w:top w:w="15" w:type="dxa"/>
              <w:left w:w="15" w:type="dxa"/>
              <w:right w:w="15" w:type="dxa"/>
            </w:tcMar>
            <w:vAlign w:val="center"/>
          </w:tcPr>
          <w:p w14:paraId="346C053A">
            <w:pPr>
              <w:keepNext w:val="0"/>
              <w:keepLines w:val="0"/>
              <w:widowControl/>
              <w:suppressLineNumbers w:val="0"/>
              <w:jc w:val="right"/>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10.4</w:t>
            </w:r>
          </w:p>
        </w:tc>
        <w:tc>
          <w:tcPr>
            <w:tcW w:w="2017" w:type="dxa"/>
            <w:tcBorders>
              <w:top w:val="nil"/>
              <w:left w:val="nil"/>
              <w:bottom w:val="nil"/>
              <w:right w:val="nil"/>
            </w:tcBorders>
            <w:shd w:val="clear" w:color="auto" w:fill="auto"/>
            <w:noWrap/>
            <w:tcMar>
              <w:top w:w="15" w:type="dxa"/>
              <w:left w:w="15" w:type="dxa"/>
              <w:right w:w="15" w:type="dxa"/>
            </w:tcMar>
            <w:vAlign w:val="center"/>
          </w:tcPr>
          <w:p w14:paraId="5CC1D72F">
            <w:pPr>
              <w:keepNext w:val="0"/>
              <w:keepLines w:val="0"/>
              <w:widowControl/>
              <w:suppressLineNumbers w:val="0"/>
              <w:tabs>
                <w:tab w:val="center" w:pos="993"/>
                <w:tab w:val="right" w:pos="2107"/>
              </w:tabs>
              <w:ind w:firstLine="1440" w:firstLineChars="600"/>
              <w:jc w:val="left"/>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5.1</w:t>
            </w:r>
          </w:p>
        </w:tc>
      </w:tr>
      <w:tr w14:paraId="6AB0D7D8">
        <w:tblPrEx>
          <w:shd w:val="clear" w:color="auto" w:fill="auto"/>
          <w:tblCellMar>
            <w:top w:w="0" w:type="dxa"/>
            <w:left w:w="0" w:type="dxa"/>
            <w:bottom w:w="0" w:type="dxa"/>
            <w:right w:w="0" w:type="dxa"/>
          </w:tblCellMar>
        </w:tblPrEx>
        <w:trPr>
          <w:trHeight w:val="400" w:hRule="atLeast"/>
          <w:jc w:val="center"/>
        </w:trPr>
        <w:tc>
          <w:tcPr>
            <w:tcW w:w="3044" w:type="dxa"/>
            <w:tcBorders>
              <w:top w:val="nil"/>
              <w:left w:val="nil"/>
              <w:bottom w:val="nil"/>
              <w:right w:val="single" w:color="000000" w:sz="4" w:space="0"/>
            </w:tcBorders>
            <w:shd w:val="clear" w:color="auto" w:fill="auto"/>
            <w:noWrap/>
            <w:tcMar>
              <w:top w:w="15" w:type="dxa"/>
              <w:left w:w="15" w:type="dxa"/>
              <w:right w:w="15" w:type="dxa"/>
            </w:tcMar>
            <w:vAlign w:val="center"/>
          </w:tcPr>
          <w:p w14:paraId="4FDC31DE">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蔬菜（含菜用瓜）</w:t>
            </w:r>
          </w:p>
        </w:tc>
        <w:tc>
          <w:tcPr>
            <w:tcW w:w="1091" w:type="dxa"/>
            <w:tcBorders>
              <w:top w:val="nil"/>
              <w:left w:val="nil"/>
              <w:bottom w:val="nil"/>
              <w:right w:val="single" w:color="000000" w:sz="4" w:space="0"/>
            </w:tcBorders>
            <w:shd w:val="clear" w:color="auto" w:fill="auto"/>
            <w:noWrap/>
            <w:tcMar>
              <w:top w:w="15" w:type="dxa"/>
              <w:left w:w="15" w:type="dxa"/>
              <w:right w:w="15" w:type="dxa"/>
            </w:tcMar>
            <w:vAlign w:val="center"/>
          </w:tcPr>
          <w:p w14:paraId="138A18B3">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万吨</w:t>
            </w:r>
          </w:p>
        </w:tc>
        <w:tc>
          <w:tcPr>
            <w:tcW w:w="1050" w:type="dxa"/>
            <w:tcBorders>
              <w:top w:val="nil"/>
              <w:left w:val="nil"/>
              <w:bottom w:val="nil"/>
              <w:right w:val="single" w:color="000000" w:sz="4" w:space="0"/>
            </w:tcBorders>
            <w:shd w:val="clear" w:color="auto" w:fill="auto"/>
            <w:noWrap/>
            <w:tcMar>
              <w:top w:w="15" w:type="dxa"/>
              <w:left w:w="15" w:type="dxa"/>
              <w:right w:w="15" w:type="dxa"/>
            </w:tcMar>
            <w:vAlign w:val="center"/>
          </w:tcPr>
          <w:p w14:paraId="64C81D58">
            <w:pPr>
              <w:keepNext w:val="0"/>
              <w:keepLines w:val="0"/>
              <w:widowControl/>
              <w:suppressLineNumbers w:val="0"/>
              <w:jc w:val="right"/>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52.1</w:t>
            </w:r>
          </w:p>
        </w:tc>
        <w:tc>
          <w:tcPr>
            <w:tcW w:w="2017" w:type="dxa"/>
            <w:tcBorders>
              <w:top w:val="nil"/>
              <w:left w:val="nil"/>
              <w:bottom w:val="nil"/>
              <w:right w:val="nil"/>
            </w:tcBorders>
            <w:shd w:val="clear" w:color="auto" w:fill="auto"/>
            <w:noWrap/>
            <w:tcMar>
              <w:top w:w="15" w:type="dxa"/>
              <w:left w:w="15" w:type="dxa"/>
              <w:right w:w="15" w:type="dxa"/>
            </w:tcMar>
            <w:vAlign w:val="center"/>
          </w:tcPr>
          <w:p w14:paraId="7795BDE5">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4.1</w:t>
            </w:r>
          </w:p>
        </w:tc>
      </w:tr>
      <w:tr w14:paraId="32EA7447">
        <w:tblPrEx>
          <w:tblCellMar>
            <w:top w:w="0" w:type="dxa"/>
            <w:left w:w="0" w:type="dxa"/>
            <w:bottom w:w="0" w:type="dxa"/>
            <w:right w:w="0" w:type="dxa"/>
          </w:tblCellMar>
        </w:tblPrEx>
        <w:trPr>
          <w:trHeight w:val="400" w:hRule="atLeast"/>
          <w:jc w:val="center"/>
        </w:trPr>
        <w:tc>
          <w:tcPr>
            <w:tcW w:w="3044" w:type="dxa"/>
            <w:tcBorders>
              <w:top w:val="nil"/>
              <w:left w:val="nil"/>
              <w:bottom w:val="nil"/>
              <w:right w:val="single" w:color="000000" w:sz="4" w:space="0"/>
            </w:tcBorders>
            <w:shd w:val="clear" w:color="auto" w:fill="auto"/>
            <w:noWrap/>
            <w:tcMar>
              <w:top w:w="15" w:type="dxa"/>
              <w:left w:w="15" w:type="dxa"/>
              <w:right w:w="15" w:type="dxa"/>
            </w:tcMar>
            <w:vAlign w:val="center"/>
          </w:tcPr>
          <w:p w14:paraId="38335263">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水果</w:t>
            </w:r>
          </w:p>
        </w:tc>
        <w:tc>
          <w:tcPr>
            <w:tcW w:w="1091" w:type="dxa"/>
            <w:tcBorders>
              <w:top w:val="nil"/>
              <w:left w:val="nil"/>
              <w:bottom w:val="nil"/>
              <w:right w:val="single" w:color="000000" w:sz="4" w:space="0"/>
            </w:tcBorders>
            <w:shd w:val="clear" w:color="auto" w:fill="auto"/>
            <w:noWrap/>
            <w:tcMar>
              <w:top w:w="15" w:type="dxa"/>
              <w:left w:w="15" w:type="dxa"/>
              <w:right w:w="15" w:type="dxa"/>
            </w:tcMar>
            <w:vAlign w:val="center"/>
          </w:tcPr>
          <w:p w14:paraId="1D88BEF8">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万吨</w:t>
            </w:r>
          </w:p>
        </w:tc>
        <w:tc>
          <w:tcPr>
            <w:tcW w:w="1050" w:type="dxa"/>
            <w:tcBorders>
              <w:top w:val="nil"/>
              <w:left w:val="nil"/>
              <w:bottom w:val="nil"/>
              <w:right w:val="single" w:color="000000" w:sz="4" w:space="0"/>
            </w:tcBorders>
            <w:shd w:val="clear" w:color="auto" w:fill="auto"/>
            <w:noWrap/>
            <w:tcMar>
              <w:top w:w="15" w:type="dxa"/>
              <w:left w:w="15" w:type="dxa"/>
              <w:right w:w="15" w:type="dxa"/>
            </w:tcMar>
            <w:vAlign w:val="center"/>
          </w:tcPr>
          <w:p w14:paraId="5F27126E">
            <w:pPr>
              <w:keepNext w:val="0"/>
              <w:keepLines w:val="0"/>
              <w:widowControl/>
              <w:suppressLineNumbers w:val="0"/>
              <w:jc w:val="right"/>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27.4</w:t>
            </w:r>
          </w:p>
        </w:tc>
        <w:tc>
          <w:tcPr>
            <w:tcW w:w="2017" w:type="dxa"/>
            <w:tcBorders>
              <w:top w:val="nil"/>
              <w:left w:val="nil"/>
              <w:bottom w:val="nil"/>
              <w:right w:val="nil"/>
            </w:tcBorders>
            <w:shd w:val="clear" w:color="auto" w:fill="auto"/>
            <w:noWrap/>
            <w:tcMar>
              <w:top w:w="15" w:type="dxa"/>
              <w:left w:w="15" w:type="dxa"/>
              <w:right w:w="15" w:type="dxa"/>
            </w:tcMar>
            <w:vAlign w:val="center"/>
          </w:tcPr>
          <w:p w14:paraId="664A74D0">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0.3</w:t>
            </w:r>
          </w:p>
        </w:tc>
      </w:tr>
      <w:tr w14:paraId="61D205AB">
        <w:tblPrEx>
          <w:shd w:val="clear" w:color="auto" w:fill="auto"/>
          <w:tblCellMar>
            <w:top w:w="0" w:type="dxa"/>
            <w:left w:w="0" w:type="dxa"/>
            <w:bottom w:w="0" w:type="dxa"/>
            <w:right w:w="0" w:type="dxa"/>
          </w:tblCellMar>
        </w:tblPrEx>
        <w:trPr>
          <w:trHeight w:val="400" w:hRule="atLeast"/>
          <w:jc w:val="center"/>
        </w:trPr>
        <w:tc>
          <w:tcPr>
            <w:tcW w:w="3044" w:type="dxa"/>
            <w:tcBorders>
              <w:top w:val="nil"/>
              <w:left w:val="nil"/>
              <w:bottom w:val="nil"/>
              <w:right w:val="single" w:color="000000" w:sz="4" w:space="0"/>
            </w:tcBorders>
            <w:shd w:val="clear" w:color="auto" w:fill="auto"/>
            <w:noWrap/>
            <w:tcMar>
              <w:top w:w="15" w:type="dxa"/>
              <w:left w:w="15" w:type="dxa"/>
              <w:right w:w="15" w:type="dxa"/>
            </w:tcMar>
            <w:vAlign w:val="center"/>
          </w:tcPr>
          <w:p w14:paraId="2910ED63">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其中：菠萝</w:t>
            </w:r>
          </w:p>
        </w:tc>
        <w:tc>
          <w:tcPr>
            <w:tcW w:w="1091" w:type="dxa"/>
            <w:tcBorders>
              <w:top w:val="nil"/>
              <w:left w:val="nil"/>
              <w:bottom w:val="nil"/>
              <w:right w:val="single" w:color="000000" w:sz="4" w:space="0"/>
            </w:tcBorders>
            <w:shd w:val="clear" w:color="auto" w:fill="auto"/>
            <w:noWrap/>
            <w:tcMar>
              <w:top w:w="15" w:type="dxa"/>
              <w:left w:w="15" w:type="dxa"/>
              <w:right w:w="15" w:type="dxa"/>
            </w:tcMar>
            <w:vAlign w:val="center"/>
          </w:tcPr>
          <w:p w14:paraId="7DAED5A7">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万吨</w:t>
            </w:r>
          </w:p>
        </w:tc>
        <w:tc>
          <w:tcPr>
            <w:tcW w:w="1050" w:type="dxa"/>
            <w:tcBorders>
              <w:top w:val="nil"/>
              <w:left w:val="nil"/>
              <w:bottom w:val="nil"/>
              <w:right w:val="single" w:color="000000" w:sz="4" w:space="0"/>
            </w:tcBorders>
            <w:shd w:val="clear" w:color="auto" w:fill="auto"/>
            <w:noWrap/>
            <w:tcMar>
              <w:top w:w="15" w:type="dxa"/>
              <w:left w:w="15" w:type="dxa"/>
              <w:right w:w="15" w:type="dxa"/>
            </w:tcMar>
            <w:vAlign w:val="center"/>
          </w:tcPr>
          <w:p w14:paraId="47A8BE47">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11.6</w:t>
            </w:r>
          </w:p>
        </w:tc>
        <w:tc>
          <w:tcPr>
            <w:tcW w:w="2017" w:type="dxa"/>
            <w:tcBorders>
              <w:top w:val="nil"/>
              <w:left w:val="nil"/>
              <w:bottom w:val="nil"/>
              <w:right w:val="nil"/>
            </w:tcBorders>
            <w:shd w:val="clear" w:color="auto" w:fill="auto"/>
            <w:noWrap/>
            <w:tcMar>
              <w:top w:w="15" w:type="dxa"/>
              <w:left w:w="15" w:type="dxa"/>
              <w:right w:w="15" w:type="dxa"/>
            </w:tcMar>
            <w:vAlign w:val="center"/>
          </w:tcPr>
          <w:p w14:paraId="481CD279">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2.1</w:t>
            </w:r>
          </w:p>
        </w:tc>
      </w:tr>
      <w:tr w14:paraId="280DB8CE">
        <w:tblPrEx>
          <w:shd w:val="clear" w:color="auto" w:fill="auto"/>
          <w:tblCellMar>
            <w:top w:w="0" w:type="dxa"/>
            <w:left w:w="0" w:type="dxa"/>
            <w:bottom w:w="0" w:type="dxa"/>
            <w:right w:w="0" w:type="dxa"/>
          </w:tblCellMar>
        </w:tblPrEx>
        <w:trPr>
          <w:trHeight w:val="400" w:hRule="atLeast"/>
          <w:jc w:val="center"/>
        </w:trPr>
        <w:tc>
          <w:tcPr>
            <w:tcW w:w="3044" w:type="dxa"/>
            <w:tcBorders>
              <w:top w:val="nil"/>
              <w:left w:val="nil"/>
              <w:bottom w:val="nil"/>
              <w:right w:val="single" w:color="000000" w:sz="4" w:space="0"/>
            </w:tcBorders>
            <w:shd w:val="clear" w:color="auto" w:fill="auto"/>
            <w:noWrap/>
            <w:tcMar>
              <w:top w:w="15" w:type="dxa"/>
              <w:left w:w="15" w:type="dxa"/>
              <w:right w:w="15" w:type="dxa"/>
            </w:tcMar>
            <w:vAlign w:val="center"/>
          </w:tcPr>
          <w:p w14:paraId="745FFAD8">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芒果</w:t>
            </w:r>
          </w:p>
        </w:tc>
        <w:tc>
          <w:tcPr>
            <w:tcW w:w="1091" w:type="dxa"/>
            <w:tcBorders>
              <w:top w:val="nil"/>
              <w:left w:val="nil"/>
              <w:bottom w:val="nil"/>
              <w:right w:val="single" w:color="000000" w:sz="4" w:space="0"/>
            </w:tcBorders>
            <w:shd w:val="clear" w:color="auto" w:fill="auto"/>
            <w:noWrap/>
            <w:tcMar>
              <w:top w:w="15" w:type="dxa"/>
              <w:left w:w="15" w:type="dxa"/>
              <w:right w:w="15" w:type="dxa"/>
            </w:tcMar>
            <w:vAlign w:val="center"/>
          </w:tcPr>
          <w:p w14:paraId="2B60C105">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万吨</w:t>
            </w:r>
          </w:p>
        </w:tc>
        <w:tc>
          <w:tcPr>
            <w:tcW w:w="1050" w:type="dxa"/>
            <w:tcBorders>
              <w:top w:val="nil"/>
              <w:left w:val="nil"/>
              <w:bottom w:val="nil"/>
              <w:right w:val="single" w:color="000000" w:sz="4" w:space="0"/>
            </w:tcBorders>
            <w:shd w:val="clear" w:color="auto" w:fill="auto"/>
            <w:noWrap/>
            <w:tcMar>
              <w:top w:w="15" w:type="dxa"/>
              <w:left w:w="15" w:type="dxa"/>
              <w:right w:w="15" w:type="dxa"/>
            </w:tcMar>
            <w:vAlign w:val="center"/>
          </w:tcPr>
          <w:p w14:paraId="1DF87D5E">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0.01</w:t>
            </w:r>
          </w:p>
        </w:tc>
        <w:tc>
          <w:tcPr>
            <w:tcW w:w="2017" w:type="dxa"/>
            <w:tcBorders>
              <w:top w:val="nil"/>
              <w:left w:val="nil"/>
              <w:bottom w:val="nil"/>
              <w:right w:val="nil"/>
            </w:tcBorders>
            <w:shd w:val="clear" w:color="auto" w:fill="auto"/>
            <w:noWrap/>
            <w:tcMar>
              <w:top w:w="15" w:type="dxa"/>
              <w:left w:w="15" w:type="dxa"/>
              <w:right w:w="15" w:type="dxa"/>
            </w:tcMar>
            <w:vAlign w:val="center"/>
          </w:tcPr>
          <w:p w14:paraId="613B2AA1">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5.4</w:t>
            </w:r>
          </w:p>
        </w:tc>
      </w:tr>
      <w:tr w14:paraId="1DE4D254">
        <w:tblPrEx>
          <w:tblCellMar>
            <w:top w:w="0" w:type="dxa"/>
            <w:left w:w="0" w:type="dxa"/>
            <w:bottom w:w="0" w:type="dxa"/>
            <w:right w:w="0" w:type="dxa"/>
          </w:tblCellMar>
        </w:tblPrEx>
        <w:trPr>
          <w:trHeight w:val="400" w:hRule="atLeast"/>
          <w:jc w:val="center"/>
        </w:trPr>
        <w:tc>
          <w:tcPr>
            <w:tcW w:w="3044" w:type="dxa"/>
            <w:tcBorders>
              <w:top w:val="nil"/>
              <w:left w:val="nil"/>
              <w:bottom w:val="nil"/>
              <w:right w:val="single" w:color="000000" w:sz="4" w:space="0"/>
            </w:tcBorders>
            <w:shd w:val="clear" w:color="auto" w:fill="auto"/>
            <w:noWrap/>
            <w:tcMar>
              <w:top w:w="15" w:type="dxa"/>
              <w:left w:w="15" w:type="dxa"/>
              <w:right w:w="15" w:type="dxa"/>
            </w:tcMar>
            <w:vAlign w:val="center"/>
          </w:tcPr>
          <w:p w14:paraId="67B5BF4A">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香蕉</w:t>
            </w:r>
          </w:p>
        </w:tc>
        <w:tc>
          <w:tcPr>
            <w:tcW w:w="1091" w:type="dxa"/>
            <w:tcBorders>
              <w:top w:val="nil"/>
              <w:left w:val="nil"/>
              <w:bottom w:val="nil"/>
              <w:right w:val="single" w:color="000000" w:sz="4" w:space="0"/>
            </w:tcBorders>
            <w:shd w:val="clear" w:color="auto" w:fill="auto"/>
            <w:noWrap/>
            <w:tcMar>
              <w:top w:w="15" w:type="dxa"/>
              <w:left w:w="15" w:type="dxa"/>
              <w:right w:w="15" w:type="dxa"/>
            </w:tcMar>
            <w:vAlign w:val="center"/>
          </w:tcPr>
          <w:p w14:paraId="2952E5C7">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万吨</w:t>
            </w:r>
          </w:p>
        </w:tc>
        <w:tc>
          <w:tcPr>
            <w:tcW w:w="1050" w:type="dxa"/>
            <w:tcBorders>
              <w:top w:val="nil"/>
              <w:left w:val="nil"/>
              <w:bottom w:val="nil"/>
              <w:right w:val="single" w:color="000000" w:sz="4" w:space="0"/>
            </w:tcBorders>
            <w:shd w:val="clear" w:color="auto" w:fill="auto"/>
            <w:noWrap/>
            <w:tcMar>
              <w:top w:w="15" w:type="dxa"/>
              <w:left w:w="15" w:type="dxa"/>
              <w:right w:w="15" w:type="dxa"/>
            </w:tcMar>
            <w:vAlign w:val="center"/>
          </w:tcPr>
          <w:p w14:paraId="4FDF9648">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w:t>
            </w:r>
          </w:p>
        </w:tc>
        <w:tc>
          <w:tcPr>
            <w:tcW w:w="2017" w:type="dxa"/>
            <w:tcBorders>
              <w:top w:val="nil"/>
              <w:left w:val="nil"/>
              <w:bottom w:val="nil"/>
              <w:right w:val="nil"/>
            </w:tcBorders>
            <w:shd w:val="clear" w:color="auto" w:fill="auto"/>
            <w:noWrap/>
            <w:tcMar>
              <w:top w:w="15" w:type="dxa"/>
              <w:left w:w="15" w:type="dxa"/>
              <w:right w:w="15" w:type="dxa"/>
            </w:tcMar>
            <w:vAlign w:val="center"/>
          </w:tcPr>
          <w:p w14:paraId="1490E4DB">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-5.9</w:t>
            </w:r>
          </w:p>
        </w:tc>
      </w:tr>
      <w:tr w14:paraId="695BD785">
        <w:tblPrEx>
          <w:tblCellMar>
            <w:top w:w="0" w:type="dxa"/>
            <w:left w:w="0" w:type="dxa"/>
            <w:bottom w:w="0" w:type="dxa"/>
            <w:right w:w="0" w:type="dxa"/>
          </w:tblCellMar>
        </w:tblPrEx>
        <w:trPr>
          <w:trHeight w:val="400" w:hRule="atLeast"/>
          <w:jc w:val="center"/>
        </w:trPr>
        <w:tc>
          <w:tcPr>
            <w:tcW w:w="3044" w:type="dxa"/>
            <w:tcBorders>
              <w:top w:val="nil"/>
              <w:left w:val="nil"/>
              <w:bottom w:val="nil"/>
              <w:right w:val="single" w:color="000000" w:sz="4" w:space="0"/>
            </w:tcBorders>
            <w:shd w:val="clear" w:color="auto" w:fill="auto"/>
            <w:noWrap/>
            <w:tcMar>
              <w:top w:w="15" w:type="dxa"/>
              <w:left w:w="15" w:type="dxa"/>
              <w:right w:w="15" w:type="dxa"/>
            </w:tcMar>
            <w:vAlign w:val="center"/>
          </w:tcPr>
          <w:p w14:paraId="610E8F60">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荔枝</w:t>
            </w:r>
          </w:p>
        </w:tc>
        <w:tc>
          <w:tcPr>
            <w:tcW w:w="1091" w:type="dxa"/>
            <w:tcBorders>
              <w:top w:val="nil"/>
              <w:left w:val="nil"/>
              <w:bottom w:val="nil"/>
              <w:right w:val="single" w:color="000000" w:sz="4" w:space="0"/>
            </w:tcBorders>
            <w:shd w:val="clear" w:color="auto" w:fill="auto"/>
            <w:noWrap/>
            <w:tcMar>
              <w:top w:w="15" w:type="dxa"/>
              <w:left w:w="15" w:type="dxa"/>
              <w:right w:w="15" w:type="dxa"/>
            </w:tcMar>
            <w:vAlign w:val="center"/>
          </w:tcPr>
          <w:p w14:paraId="3E93628C">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万吨</w:t>
            </w:r>
          </w:p>
        </w:tc>
        <w:tc>
          <w:tcPr>
            <w:tcW w:w="1050" w:type="dxa"/>
            <w:tcBorders>
              <w:top w:val="nil"/>
              <w:left w:val="nil"/>
              <w:bottom w:val="nil"/>
              <w:right w:val="single" w:color="000000" w:sz="4" w:space="0"/>
            </w:tcBorders>
            <w:shd w:val="clear" w:color="auto" w:fill="auto"/>
            <w:noWrap/>
            <w:tcMar>
              <w:top w:w="15" w:type="dxa"/>
              <w:left w:w="15" w:type="dxa"/>
              <w:right w:w="15" w:type="dxa"/>
            </w:tcMar>
            <w:vAlign w:val="center"/>
          </w:tcPr>
          <w:p w14:paraId="53DCFAA7">
            <w:pPr>
              <w:keepNext w:val="0"/>
              <w:keepLines w:val="0"/>
              <w:widowControl/>
              <w:suppressLineNumbers w:val="0"/>
              <w:jc w:val="right"/>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w:t>
            </w:r>
          </w:p>
        </w:tc>
        <w:tc>
          <w:tcPr>
            <w:tcW w:w="2017" w:type="dxa"/>
            <w:tcBorders>
              <w:top w:val="nil"/>
              <w:left w:val="nil"/>
              <w:bottom w:val="nil"/>
              <w:right w:val="nil"/>
            </w:tcBorders>
            <w:shd w:val="clear" w:color="auto" w:fill="auto"/>
            <w:noWrap/>
            <w:tcMar>
              <w:top w:w="15" w:type="dxa"/>
              <w:left w:w="15" w:type="dxa"/>
              <w:right w:w="15" w:type="dxa"/>
            </w:tcMar>
            <w:vAlign w:val="center"/>
          </w:tcPr>
          <w:p w14:paraId="60B51D9C">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22.3</w:t>
            </w:r>
          </w:p>
        </w:tc>
      </w:tr>
      <w:tr w14:paraId="2FE1587C">
        <w:tblPrEx>
          <w:tblCellMar>
            <w:top w:w="0" w:type="dxa"/>
            <w:left w:w="0" w:type="dxa"/>
            <w:bottom w:w="0" w:type="dxa"/>
            <w:right w:w="0" w:type="dxa"/>
          </w:tblCellMar>
        </w:tblPrEx>
        <w:trPr>
          <w:trHeight w:val="400" w:hRule="atLeast"/>
          <w:jc w:val="center"/>
        </w:trPr>
        <w:tc>
          <w:tcPr>
            <w:tcW w:w="3044" w:type="dxa"/>
            <w:tcBorders>
              <w:top w:val="nil"/>
              <w:left w:val="nil"/>
              <w:bottom w:val="nil"/>
              <w:right w:val="single" w:color="000000" w:sz="4" w:space="0"/>
            </w:tcBorders>
            <w:shd w:val="clear" w:color="auto" w:fill="auto"/>
            <w:noWrap/>
            <w:tcMar>
              <w:top w:w="15" w:type="dxa"/>
              <w:left w:w="15" w:type="dxa"/>
              <w:right w:w="15" w:type="dxa"/>
            </w:tcMar>
            <w:vAlign w:val="center"/>
          </w:tcPr>
          <w:p w14:paraId="10898E2E">
            <w:pPr>
              <w:keepNext w:val="0"/>
              <w:keepLines w:val="0"/>
              <w:widowControl/>
              <w:suppressLineNumbers w:val="0"/>
              <w:jc w:val="left"/>
              <w:textAlignment w:val="center"/>
              <w:rPr>
                <w:rFonts w:hint="default"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龙眼</w:t>
            </w:r>
          </w:p>
        </w:tc>
        <w:tc>
          <w:tcPr>
            <w:tcW w:w="1091" w:type="dxa"/>
            <w:tcBorders>
              <w:top w:val="nil"/>
              <w:left w:val="nil"/>
              <w:bottom w:val="nil"/>
              <w:right w:val="single" w:color="000000" w:sz="4" w:space="0"/>
            </w:tcBorders>
            <w:shd w:val="clear" w:color="auto" w:fill="auto"/>
            <w:noWrap/>
            <w:tcMar>
              <w:top w:w="15" w:type="dxa"/>
              <w:left w:w="15" w:type="dxa"/>
              <w:right w:w="15" w:type="dxa"/>
            </w:tcMar>
            <w:vAlign w:val="center"/>
          </w:tcPr>
          <w:p w14:paraId="78E42E34">
            <w:pPr>
              <w:keepNext w:val="0"/>
              <w:keepLines w:val="0"/>
              <w:widowControl/>
              <w:suppressLineNumbers w:val="0"/>
              <w:jc w:val="center"/>
              <w:textAlignment w:val="center"/>
              <w:rPr>
                <w:rFonts w:hint="default"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万吨</w:t>
            </w:r>
          </w:p>
        </w:tc>
        <w:tc>
          <w:tcPr>
            <w:tcW w:w="1050" w:type="dxa"/>
            <w:tcBorders>
              <w:top w:val="nil"/>
              <w:left w:val="nil"/>
              <w:bottom w:val="nil"/>
              <w:right w:val="single" w:color="000000" w:sz="4" w:space="0"/>
            </w:tcBorders>
            <w:shd w:val="clear" w:color="auto" w:fill="auto"/>
            <w:noWrap/>
            <w:tcMar>
              <w:top w:w="15" w:type="dxa"/>
              <w:left w:w="15" w:type="dxa"/>
              <w:right w:w="15" w:type="dxa"/>
            </w:tcMar>
            <w:vAlign w:val="center"/>
          </w:tcPr>
          <w:p w14:paraId="54ADDF8E">
            <w:pPr>
              <w:keepNext w:val="0"/>
              <w:keepLines w:val="0"/>
              <w:widowControl/>
              <w:suppressLineNumbers w:val="0"/>
              <w:jc w:val="right"/>
              <w:textAlignment w:val="center"/>
              <w:rPr>
                <w:rFonts w:hint="default"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0.05</w:t>
            </w:r>
          </w:p>
        </w:tc>
        <w:tc>
          <w:tcPr>
            <w:tcW w:w="2017" w:type="dxa"/>
            <w:tcBorders>
              <w:top w:val="nil"/>
              <w:left w:val="nil"/>
              <w:bottom w:val="nil"/>
              <w:right w:val="nil"/>
            </w:tcBorders>
            <w:shd w:val="clear" w:color="auto" w:fill="auto"/>
            <w:noWrap/>
            <w:tcMar>
              <w:top w:w="15" w:type="dxa"/>
              <w:left w:w="15" w:type="dxa"/>
              <w:right w:w="15" w:type="dxa"/>
            </w:tcMar>
            <w:vAlign w:val="center"/>
          </w:tcPr>
          <w:p w14:paraId="746547D9">
            <w:pPr>
              <w:keepNext w:val="0"/>
              <w:keepLines w:val="0"/>
              <w:widowControl/>
              <w:suppressLineNumbers w:val="0"/>
              <w:jc w:val="center"/>
              <w:textAlignment w:val="center"/>
              <w:rPr>
                <w:rFonts w:hint="default"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-4.1</w:t>
            </w:r>
          </w:p>
        </w:tc>
      </w:tr>
      <w:tr w14:paraId="1AD15CFD">
        <w:tblPrEx>
          <w:tblCellMar>
            <w:top w:w="0" w:type="dxa"/>
            <w:left w:w="0" w:type="dxa"/>
            <w:bottom w:w="0" w:type="dxa"/>
            <w:right w:w="0" w:type="dxa"/>
          </w:tblCellMar>
        </w:tblPrEx>
        <w:trPr>
          <w:trHeight w:val="400" w:hRule="atLeast"/>
          <w:jc w:val="center"/>
        </w:trPr>
        <w:tc>
          <w:tcPr>
            <w:tcW w:w="3044" w:type="dxa"/>
            <w:tcBorders>
              <w:top w:val="nil"/>
              <w:left w:val="nil"/>
              <w:bottom w:val="nil"/>
              <w:right w:val="single" w:color="000000" w:sz="4" w:space="0"/>
            </w:tcBorders>
            <w:shd w:val="clear" w:color="auto" w:fill="auto"/>
            <w:noWrap/>
            <w:tcMar>
              <w:top w:w="15" w:type="dxa"/>
              <w:left w:w="15" w:type="dxa"/>
              <w:right w:w="15" w:type="dxa"/>
            </w:tcMar>
            <w:vAlign w:val="center"/>
          </w:tcPr>
          <w:p w14:paraId="4AB5EBA6">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杨桃</w:t>
            </w:r>
          </w:p>
        </w:tc>
        <w:tc>
          <w:tcPr>
            <w:tcW w:w="1091" w:type="dxa"/>
            <w:tcBorders>
              <w:top w:val="nil"/>
              <w:left w:val="nil"/>
              <w:bottom w:val="nil"/>
              <w:right w:val="single" w:color="000000" w:sz="4" w:space="0"/>
            </w:tcBorders>
            <w:shd w:val="clear" w:color="auto" w:fill="auto"/>
            <w:noWrap/>
            <w:tcMar>
              <w:top w:w="15" w:type="dxa"/>
              <w:left w:w="15" w:type="dxa"/>
              <w:right w:w="15" w:type="dxa"/>
            </w:tcMar>
            <w:vAlign w:val="center"/>
          </w:tcPr>
          <w:p w14:paraId="2206315B">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万吨</w:t>
            </w:r>
          </w:p>
        </w:tc>
        <w:tc>
          <w:tcPr>
            <w:tcW w:w="1050" w:type="dxa"/>
            <w:tcBorders>
              <w:top w:val="nil"/>
              <w:left w:val="nil"/>
              <w:bottom w:val="nil"/>
              <w:right w:val="single" w:color="000000" w:sz="4" w:space="0"/>
            </w:tcBorders>
            <w:shd w:val="clear" w:color="auto" w:fill="auto"/>
            <w:noWrap/>
            <w:tcMar>
              <w:top w:w="15" w:type="dxa"/>
              <w:left w:w="15" w:type="dxa"/>
              <w:right w:w="15" w:type="dxa"/>
            </w:tcMar>
            <w:vAlign w:val="center"/>
          </w:tcPr>
          <w:p w14:paraId="39B0431E">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0.38</w:t>
            </w:r>
          </w:p>
        </w:tc>
        <w:tc>
          <w:tcPr>
            <w:tcW w:w="2017" w:type="dxa"/>
            <w:tcBorders>
              <w:top w:val="nil"/>
              <w:left w:val="nil"/>
              <w:bottom w:val="nil"/>
              <w:right w:val="nil"/>
            </w:tcBorders>
            <w:shd w:val="clear" w:color="auto" w:fill="auto"/>
            <w:noWrap/>
            <w:tcMar>
              <w:top w:w="15" w:type="dxa"/>
              <w:left w:w="15" w:type="dxa"/>
              <w:right w:w="15" w:type="dxa"/>
            </w:tcMar>
            <w:vAlign w:val="center"/>
          </w:tcPr>
          <w:p w14:paraId="7FBB4C55">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-1.5</w:t>
            </w:r>
          </w:p>
        </w:tc>
      </w:tr>
      <w:tr w14:paraId="5A33EB0A">
        <w:tblPrEx>
          <w:shd w:val="clear" w:color="auto" w:fill="auto"/>
          <w:tblCellMar>
            <w:top w:w="0" w:type="dxa"/>
            <w:left w:w="0" w:type="dxa"/>
            <w:bottom w:w="0" w:type="dxa"/>
            <w:right w:w="0" w:type="dxa"/>
          </w:tblCellMar>
        </w:tblPrEx>
        <w:trPr>
          <w:trHeight w:val="400" w:hRule="atLeast"/>
          <w:jc w:val="center"/>
        </w:trPr>
        <w:tc>
          <w:tcPr>
            <w:tcW w:w="3044" w:type="dxa"/>
            <w:tcBorders>
              <w:top w:val="nil"/>
              <w:left w:val="nil"/>
              <w:bottom w:val="nil"/>
              <w:right w:val="single" w:color="000000" w:sz="4" w:space="0"/>
            </w:tcBorders>
            <w:shd w:val="clear" w:color="auto" w:fill="auto"/>
            <w:noWrap/>
            <w:tcMar>
              <w:top w:w="15" w:type="dxa"/>
              <w:left w:w="15" w:type="dxa"/>
              <w:right w:w="15" w:type="dxa"/>
            </w:tcMar>
            <w:vAlign w:val="center"/>
          </w:tcPr>
          <w:p w14:paraId="18CFFCD5">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石榴</w:t>
            </w:r>
          </w:p>
        </w:tc>
        <w:tc>
          <w:tcPr>
            <w:tcW w:w="1091" w:type="dxa"/>
            <w:tcBorders>
              <w:top w:val="nil"/>
              <w:left w:val="nil"/>
              <w:bottom w:val="nil"/>
              <w:right w:val="single" w:color="000000" w:sz="4" w:space="0"/>
            </w:tcBorders>
            <w:shd w:val="clear" w:color="auto" w:fill="auto"/>
            <w:noWrap/>
            <w:tcMar>
              <w:top w:w="15" w:type="dxa"/>
              <w:left w:w="15" w:type="dxa"/>
              <w:right w:w="15" w:type="dxa"/>
            </w:tcMar>
            <w:vAlign w:val="center"/>
          </w:tcPr>
          <w:p w14:paraId="758C4D33">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万吨</w:t>
            </w:r>
          </w:p>
        </w:tc>
        <w:tc>
          <w:tcPr>
            <w:tcW w:w="1050" w:type="dxa"/>
            <w:tcBorders>
              <w:top w:val="nil"/>
              <w:left w:val="nil"/>
              <w:bottom w:val="nil"/>
              <w:right w:val="single" w:color="000000" w:sz="4" w:space="0"/>
            </w:tcBorders>
            <w:shd w:val="clear" w:color="auto" w:fill="auto"/>
            <w:noWrap/>
            <w:tcMar>
              <w:top w:w="15" w:type="dxa"/>
              <w:left w:w="15" w:type="dxa"/>
              <w:right w:w="15" w:type="dxa"/>
            </w:tcMar>
            <w:vAlign w:val="center"/>
          </w:tcPr>
          <w:p w14:paraId="1B6C2367">
            <w:pPr>
              <w:keepNext w:val="0"/>
              <w:keepLines w:val="0"/>
              <w:widowControl/>
              <w:suppressLineNumbers w:val="0"/>
              <w:jc w:val="right"/>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4.9</w:t>
            </w:r>
          </w:p>
        </w:tc>
        <w:tc>
          <w:tcPr>
            <w:tcW w:w="2017" w:type="dxa"/>
            <w:tcBorders>
              <w:top w:val="nil"/>
              <w:left w:val="nil"/>
              <w:bottom w:val="nil"/>
              <w:right w:val="nil"/>
            </w:tcBorders>
            <w:shd w:val="clear" w:color="auto" w:fill="auto"/>
            <w:noWrap/>
            <w:tcMar>
              <w:top w:w="15" w:type="dxa"/>
              <w:left w:w="15" w:type="dxa"/>
              <w:right w:w="15" w:type="dxa"/>
            </w:tcMar>
            <w:vAlign w:val="center"/>
          </w:tcPr>
          <w:p w14:paraId="2673F2B2">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-5.4</w:t>
            </w:r>
          </w:p>
        </w:tc>
      </w:tr>
      <w:tr w14:paraId="279FF21F">
        <w:tblPrEx>
          <w:tblCellMar>
            <w:top w:w="0" w:type="dxa"/>
            <w:left w:w="0" w:type="dxa"/>
            <w:bottom w:w="0" w:type="dxa"/>
            <w:right w:w="0" w:type="dxa"/>
          </w:tblCellMar>
        </w:tblPrEx>
        <w:trPr>
          <w:trHeight w:val="400" w:hRule="atLeast"/>
          <w:jc w:val="center"/>
        </w:trPr>
        <w:tc>
          <w:tcPr>
            <w:tcW w:w="3044" w:type="dxa"/>
            <w:tcBorders>
              <w:top w:val="nil"/>
              <w:left w:val="nil"/>
              <w:bottom w:val="nil"/>
              <w:right w:val="single" w:color="000000" w:sz="4" w:space="0"/>
            </w:tcBorders>
            <w:shd w:val="clear" w:color="auto" w:fill="auto"/>
            <w:noWrap/>
            <w:tcMar>
              <w:top w:w="15" w:type="dxa"/>
              <w:left w:w="15" w:type="dxa"/>
              <w:right w:w="15" w:type="dxa"/>
            </w:tcMar>
            <w:vAlign w:val="center"/>
          </w:tcPr>
          <w:p w14:paraId="5DE0EC1F">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橡胶</w:t>
            </w:r>
          </w:p>
        </w:tc>
        <w:tc>
          <w:tcPr>
            <w:tcW w:w="1091" w:type="dxa"/>
            <w:tcBorders>
              <w:top w:val="nil"/>
              <w:left w:val="nil"/>
              <w:bottom w:val="nil"/>
              <w:right w:val="single" w:color="000000" w:sz="4" w:space="0"/>
            </w:tcBorders>
            <w:shd w:val="clear" w:color="auto" w:fill="auto"/>
            <w:noWrap/>
            <w:tcMar>
              <w:top w:w="15" w:type="dxa"/>
              <w:left w:w="15" w:type="dxa"/>
              <w:right w:w="15" w:type="dxa"/>
            </w:tcMar>
            <w:vAlign w:val="center"/>
          </w:tcPr>
          <w:p w14:paraId="1A4B2E41">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万吨</w:t>
            </w:r>
          </w:p>
        </w:tc>
        <w:tc>
          <w:tcPr>
            <w:tcW w:w="1050" w:type="dxa"/>
            <w:tcBorders>
              <w:top w:val="nil"/>
              <w:left w:val="nil"/>
              <w:bottom w:val="nil"/>
              <w:right w:val="single" w:color="000000" w:sz="4" w:space="0"/>
            </w:tcBorders>
            <w:shd w:val="clear" w:color="auto" w:fill="auto"/>
            <w:noWrap/>
            <w:tcMar>
              <w:top w:w="15" w:type="dxa"/>
              <w:left w:w="15" w:type="dxa"/>
              <w:right w:w="15" w:type="dxa"/>
            </w:tcMar>
            <w:vAlign w:val="center"/>
          </w:tcPr>
          <w:p w14:paraId="0F3ECEC1">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3.0</w:t>
            </w:r>
          </w:p>
        </w:tc>
        <w:tc>
          <w:tcPr>
            <w:tcW w:w="2017" w:type="dxa"/>
            <w:tcBorders>
              <w:top w:val="nil"/>
              <w:left w:val="nil"/>
              <w:bottom w:val="nil"/>
              <w:right w:val="nil"/>
            </w:tcBorders>
            <w:shd w:val="clear" w:color="auto" w:fill="auto"/>
            <w:noWrap/>
            <w:tcMar>
              <w:top w:w="15" w:type="dxa"/>
              <w:left w:w="15" w:type="dxa"/>
              <w:right w:w="15" w:type="dxa"/>
            </w:tcMar>
            <w:vAlign w:val="center"/>
          </w:tcPr>
          <w:p w14:paraId="5759DA7C">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-2.0</w:t>
            </w:r>
          </w:p>
        </w:tc>
      </w:tr>
      <w:tr w14:paraId="1ADE5141">
        <w:tblPrEx>
          <w:tblCellMar>
            <w:top w:w="0" w:type="dxa"/>
            <w:left w:w="0" w:type="dxa"/>
            <w:bottom w:w="0" w:type="dxa"/>
            <w:right w:w="0" w:type="dxa"/>
          </w:tblCellMar>
        </w:tblPrEx>
        <w:trPr>
          <w:trHeight w:val="400" w:hRule="atLeast"/>
          <w:jc w:val="center"/>
        </w:trPr>
        <w:tc>
          <w:tcPr>
            <w:tcW w:w="3044" w:type="dxa"/>
            <w:tcBorders>
              <w:top w:val="nil"/>
              <w:left w:val="nil"/>
              <w:bottom w:val="nil"/>
              <w:right w:val="single" w:color="000000" w:sz="4" w:space="0"/>
            </w:tcBorders>
            <w:shd w:val="clear" w:color="auto" w:fill="auto"/>
            <w:noWrap/>
            <w:tcMar>
              <w:top w:w="15" w:type="dxa"/>
              <w:left w:w="15" w:type="dxa"/>
              <w:right w:w="15" w:type="dxa"/>
            </w:tcMar>
            <w:vAlign w:val="center"/>
          </w:tcPr>
          <w:p w14:paraId="139AAC90">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胡椒</w:t>
            </w:r>
          </w:p>
        </w:tc>
        <w:tc>
          <w:tcPr>
            <w:tcW w:w="1091" w:type="dxa"/>
            <w:tcBorders>
              <w:top w:val="nil"/>
              <w:left w:val="nil"/>
              <w:bottom w:val="nil"/>
              <w:right w:val="single" w:color="000000" w:sz="4" w:space="0"/>
            </w:tcBorders>
            <w:shd w:val="clear" w:color="auto" w:fill="auto"/>
            <w:noWrap/>
            <w:tcMar>
              <w:top w:w="15" w:type="dxa"/>
              <w:left w:w="15" w:type="dxa"/>
              <w:right w:w="15" w:type="dxa"/>
            </w:tcMar>
            <w:vAlign w:val="center"/>
          </w:tcPr>
          <w:p w14:paraId="7AF88728">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万吨</w:t>
            </w:r>
          </w:p>
        </w:tc>
        <w:tc>
          <w:tcPr>
            <w:tcW w:w="1050" w:type="dxa"/>
            <w:tcBorders>
              <w:top w:val="nil"/>
              <w:left w:val="nil"/>
              <w:bottom w:val="nil"/>
              <w:right w:val="single" w:color="000000" w:sz="4" w:space="0"/>
            </w:tcBorders>
            <w:shd w:val="clear" w:color="auto" w:fill="auto"/>
            <w:noWrap/>
            <w:tcMar>
              <w:top w:w="15" w:type="dxa"/>
              <w:left w:w="15" w:type="dxa"/>
              <w:right w:w="15" w:type="dxa"/>
            </w:tcMar>
            <w:vAlign w:val="center"/>
          </w:tcPr>
          <w:p w14:paraId="46C6D5E1">
            <w:pPr>
              <w:keepNext w:val="0"/>
              <w:keepLines w:val="0"/>
              <w:widowControl/>
              <w:suppressLineNumbers w:val="0"/>
              <w:jc w:val="right"/>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w:t>
            </w:r>
          </w:p>
        </w:tc>
        <w:tc>
          <w:tcPr>
            <w:tcW w:w="2017" w:type="dxa"/>
            <w:tcBorders>
              <w:top w:val="nil"/>
              <w:left w:val="nil"/>
              <w:bottom w:val="nil"/>
              <w:right w:val="nil"/>
            </w:tcBorders>
            <w:shd w:val="clear" w:color="auto" w:fill="auto"/>
            <w:noWrap/>
            <w:tcMar>
              <w:top w:w="15" w:type="dxa"/>
              <w:left w:w="15" w:type="dxa"/>
              <w:right w:w="15" w:type="dxa"/>
            </w:tcMar>
            <w:vAlign w:val="center"/>
          </w:tcPr>
          <w:p w14:paraId="1126C5DD">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-8.3</w:t>
            </w:r>
          </w:p>
        </w:tc>
      </w:tr>
      <w:tr w14:paraId="08691D6A">
        <w:tblPrEx>
          <w:shd w:val="clear" w:color="auto" w:fill="auto"/>
          <w:tblCellMar>
            <w:top w:w="0" w:type="dxa"/>
            <w:left w:w="0" w:type="dxa"/>
            <w:bottom w:w="0" w:type="dxa"/>
            <w:right w:w="0" w:type="dxa"/>
          </w:tblCellMar>
        </w:tblPrEx>
        <w:trPr>
          <w:trHeight w:val="400" w:hRule="atLeast"/>
          <w:jc w:val="center"/>
        </w:trPr>
        <w:tc>
          <w:tcPr>
            <w:tcW w:w="3044" w:type="dxa"/>
            <w:tcBorders>
              <w:top w:val="nil"/>
              <w:left w:val="nil"/>
              <w:bottom w:val="nil"/>
              <w:right w:val="single" w:color="000000" w:sz="4" w:space="0"/>
            </w:tcBorders>
            <w:shd w:val="clear" w:color="auto" w:fill="auto"/>
            <w:noWrap/>
            <w:tcMar>
              <w:top w:w="15" w:type="dxa"/>
              <w:left w:w="15" w:type="dxa"/>
              <w:right w:w="15" w:type="dxa"/>
            </w:tcMar>
            <w:vAlign w:val="center"/>
          </w:tcPr>
          <w:p w14:paraId="59B6600B">
            <w:pPr>
              <w:keepNext w:val="0"/>
              <w:keepLines w:val="0"/>
              <w:widowControl/>
              <w:suppressLineNumbers w:val="0"/>
              <w:jc w:val="left"/>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椰子</w:t>
            </w:r>
          </w:p>
        </w:tc>
        <w:tc>
          <w:tcPr>
            <w:tcW w:w="1091" w:type="dxa"/>
            <w:tcBorders>
              <w:top w:val="nil"/>
              <w:left w:val="nil"/>
              <w:bottom w:val="nil"/>
              <w:right w:val="single" w:color="000000" w:sz="4" w:space="0"/>
            </w:tcBorders>
            <w:shd w:val="clear" w:color="auto" w:fill="auto"/>
            <w:noWrap/>
            <w:tcMar>
              <w:top w:w="15" w:type="dxa"/>
              <w:left w:w="15" w:type="dxa"/>
              <w:right w:w="15" w:type="dxa"/>
            </w:tcMar>
            <w:vAlign w:val="center"/>
          </w:tcPr>
          <w:p w14:paraId="55D9AC6B">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亿个</w:t>
            </w:r>
          </w:p>
        </w:tc>
        <w:tc>
          <w:tcPr>
            <w:tcW w:w="1050" w:type="dxa"/>
            <w:tcBorders>
              <w:top w:val="nil"/>
              <w:left w:val="nil"/>
              <w:bottom w:val="nil"/>
              <w:right w:val="single" w:color="000000" w:sz="4" w:space="0"/>
            </w:tcBorders>
            <w:shd w:val="clear" w:color="auto" w:fill="auto"/>
            <w:noWrap/>
            <w:tcMar>
              <w:top w:w="15" w:type="dxa"/>
              <w:left w:w="15" w:type="dxa"/>
              <w:right w:w="15" w:type="dxa"/>
            </w:tcMar>
            <w:vAlign w:val="center"/>
          </w:tcPr>
          <w:p w14:paraId="2EEA6D66">
            <w:pPr>
              <w:keepNext w:val="0"/>
              <w:keepLines w:val="0"/>
              <w:widowControl/>
              <w:suppressLineNumbers w:val="0"/>
              <w:jc w:val="right"/>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0.7</w:t>
            </w:r>
          </w:p>
        </w:tc>
        <w:tc>
          <w:tcPr>
            <w:tcW w:w="2017" w:type="dxa"/>
            <w:tcBorders>
              <w:top w:val="nil"/>
              <w:left w:val="nil"/>
              <w:bottom w:val="nil"/>
              <w:right w:val="nil"/>
            </w:tcBorders>
            <w:shd w:val="clear" w:color="auto" w:fill="auto"/>
            <w:noWrap/>
            <w:tcMar>
              <w:top w:w="15" w:type="dxa"/>
              <w:left w:w="15" w:type="dxa"/>
              <w:right w:w="15" w:type="dxa"/>
            </w:tcMar>
            <w:vAlign w:val="center"/>
          </w:tcPr>
          <w:p w14:paraId="34B5D798">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2.4</w:t>
            </w:r>
          </w:p>
        </w:tc>
      </w:tr>
      <w:tr w14:paraId="0B00EC5D">
        <w:tblPrEx>
          <w:shd w:val="clear" w:color="auto" w:fill="auto"/>
          <w:tblCellMar>
            <w:top w:w="0" w:type="dxa"/>
            <w:left w:w="0" w:type="dxa"/>
            <w:bottom w:w="0" w:type="dxa"/>
            <w:right w:w="0" w:type="dxa"/>
          </w:tblCellMar>
        </w:tblPrEx>
        <w:trPr>
          <w:trHeight w:val="400" w:hRule="atLeast"/>
          <w:jc w:val="center"/>
        </w:trPr>
        <w:tc>
          <w:tcPr>
            <w:tcW w:w="3044" w:type="dxa"/>
            <w:tcBorders>
              <w:top w:val="nil"/>
              <w:left w:val="nil"/>
              <w:bottom w:val="nil"/>
              <w:right w:val="single" w:color="000000" w:sz="4" w:space="0"/>
            </w:tcBorders>
            <w:shd w:val="clear" w:color="auto" w:fill="auto"/>
            <w:noWrap/>
            <w:tcMar>
              <w:top w:w="15" w:type="dxa"/>
              <w:left w:w="15" w:type="dxa"/>
              <w:right w:w="15" w:type="dxa"/>
            </w:tcMar>
            <w:vAlign w:val="center"/>
          </w:tcPr>
          <w:p w14:paraId="6D4F9EB3">
            <w:pPr>
              <w:keepNext w:val="0"/>
              <w:keepLines w:val="0"/>
              <w:widowControl/>
              <w:suppressLineNumbers w:val="0"/>
              <w:jc w:val="left"/>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槟榔</w:t>
            </w:r>
          </w:p>
        </w:tc>
        <w:tc>
          <w:tcPr>
            <w:tcW w:w="1091" w:type="dxa"/>
            <w:tcBorders>
              <w:top w:val="nil"/>
              <w:left w:val="nil"/>
              <w:bottom w:val="nil"/>
              <w:right w:val="single" w:color="000000" w:sz="4" w:space="0"/>
            </w:tcBorders>
            <w:shd w:val="clear" w:color="auto" w:fill="auto"/>
            <w:noWrap/>
            <w:tcMar>
              <w:top w:w="15" w:type="dxa"/>
              <w:left w:w="15" w:type="dxa"/>
              <w:right w:w="15" w:type="dxa"/>
            </w:tcMar>
            <w:vAlign w:val="center"/>
          </w:tcPr>
          <w:p w14:paraId="210FCADE">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万吨</w:t>
            </w:r>
          </w:p>
        </w:tc>
        <w:tc>
          <w:tcPr>
            <w:tcW w:w="1050" w:type="dxa"/>
            <w:tcBorders>
              <w:top w:val="nil"/>
              <w:left w:val="nil"/>
              <w:bottom w:val="nil"/>
              <w:right w:val="single" w:color="000000" w:sz="4" w:space="0"/>
            </w:tcBorders>
            <w:shd w:val="clear" w:color="auto" w:fill="auto"/>
            <w:noWrap/>
            <w:tcMar>
              <w:top w:w="15" w:type="dxa"/>
              <w:left w:w="15" w:type="dxa"/>
              <w:right w:w="15" w:type="dxa"/>
            </w:tcMar>
            <w:vAlign w:val="center"/>
          </w:tcPr>
          <w:p w14:paraId="0B6C67F1">
            <w:pPr>
              <w:keepNext w:val="0"/>
              <w:keepLines w:val="0"/>
              <w:widowControl/>
              <w:suppressLineNumbers w:val="0"/>
              <w:jc w:val="right"/>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3.9</w:t>
            </w:r>
          </w:p>
        </w:tc>
        <w:tc>
          <w:tcPr>
            <w:tcW w:w="2017" w:type="dxa"/>
            <w:tcBorders>
              <w:top w:val="nil"/>
              <w:left w:val="nil"/>
              <w:bottom w:val="nil"/>
              <w:right w:val="nil"/>
            </w:tcBorders>
            <w:shd w:val="clear" w:color="auto" w:fill="auto"/>
            <w:noWrap/>
            <w:tcMar>
              <w:top w:w="15" w:type="dxa"/>
              <w:left w:w="15" w:type="dxa"/>
              <w:right w:w="15" w:type="dxa"/>
            </w:tcMar>
            <w:vAlign w:val="center"/>
          </w:tcPr>
          <w:p w14:paraId="5FE8E0AB">
            <w:pPr>
              <w:keepNext w:val="0"/>
              <w:keepLines w:val="0"/>
              <w:widowControl/>
              <w:suppressLineNumbers w:val="0"/>
              <w:jc w:val="center"/>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-13.8</w:t>
            </w:r>
          </w:p>
        </w:tc>
      </w:tr>
      <w:tr w14:paraId="339556A0">
        <w:tblPrEx>
          <w:shd w:val="clear" w:color="auto" w:fill="auto"/>
          <w:tblCellMar>
            <w:top w:w="0" w:type="dxa"/>
            <w:left w:w="0" w:type="dxa"/>
            <w:bottom w:w="0" w:type="dxa"/>
            <w:right w:w="0" w:type="dxa"/>
          </w:tblCellMar>
        </w:tblPrEx>
        <w:trPr>
          <w:trHeight w:val="400" w:hRule="atLeast"/>
          <w:jc w:val="center"/>
        </w:trPr>
        <w:tc>
          <w:tcPr>
            <w:tcW w:w="3044" w:type="dxa"/>
            <w:tcBorders>
              <w:top w:val="nil"/>
              <w:left w:val="nil"/>
              <w:bottom w:val="nil"/>
              <w:right w:val="single" w:color="000000" w:sz="4" w:space="0"/>
            </w:tcBorders>
            <w:shd w:val="clear" w:color="auto" w:fill="auto"/>
            <w:tcMar>
              <w:top w:w="15" w:type="dxa"/>
              <w:left w:w="15" w:type="dxa"/>
              <w:right w:w="15" w:type="dxa"/>
            </w:tcMar>
            <w:vAlign w:val="center"/>
          </w:tcPr>
          <w:p w14:paraId="76F5C487">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总肉量</w:t>
            </w:r>
          </w:p>
        </w:tc>
        <w:tc>
          <w:tcPr>
            <w:tcW w:w="1091" w:type="dxa"/>
            <w:tcBorders>
              <w:top w:val="nil"/>
              <w:left w:val="nil"/>
              <w:bottom w:val="nil"/>
              <w:right w:val="single" w:color="000000" w:sz="4" w:space="0"/>
            </w:tcBorders>
            <w:shd w:val="clear" w:color="auto" w:fill="auto"/>
            <w:noWrap/>
            <w:tcMar>
              <w:top w:w="15" w:type="dxa"/>
              <w:left w:w="15" w:type="dxa"/>
              <w:right w:w="15" w:type="dxa"/>
            </w:tcMar>
            <w:vAlign w:val="center"/>
          </w:tcPr>
          <w:p w14:paraId="40A1898F">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万吨</w:t>
            </w:r>
          </w:p>
        </w:tc>
        <w:tc>
          <w:tcPr>
            <w:tcW w:w="1050" w:type="dxa"/>
            <w:tcBorders>
              <w:top w:val="nil"/>
              <w:left w:val="nil"/>
              <w:bottom w:val="nil"/>
              <w:right w:val="single" w:color="000000" w:sz="4" w:space="0"/>
            </w:tcBorders>
            <w:shd w:val="clear" w:color="auto" w:fill="auto"/>
            <w:noWrap/>
            <w:tcMar>
              <w:top w:w="15" w:type="dxa"/>
              <w:left w:w="15" w:type="dxa"/>
              <w:right w:w="15" w:type="dxa"/>
            </w:tcMar>
            <w:vAlign w:val="center"/>
          </w:tcPr>
          <w:p w14:paraId="796E48AC">
            <w:pPr>
              <w:keepNext w:val="0"/>
              <w:keepLines w:val="0"/>
              <w:widowControl/>
              <w:suppressLineNumbers w:val="0"/>
              <w:jc w:val="right"/>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6.84</w:t>
            </w:r>
          </w:p>
        </w:tc>
        <w:tc>
          <w:tcPr>
            <w:tcW w:w="2017" w:type="dxa"/>
            <w:tcBorders>
              <w:top w:val="nil"/>
              <w:left w:val="nil"/>
              <w:bottom w:val="nil"/>
              <w:right w:val="nil"/>
            </w:tcBorders>
            <w:shd w:val="clear" w:color="auto" w:fill="auto"/>
            <w:noWrap/>
            <w:tcMar>
              <w:top w:w="15" w:type="dxa"/>
              <w:left w:w="15" w:type="dxa"/>
              <w:right w:w="15" w:type="dxa"/>
            </w:tcMar>
            <w:vAlign w:val="center"/>
          </w:tcPr>
          <w:p w14:paraId="392EB9D5">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-6.6</w:t>
            </w:r>
          </w:p>
        </w:tc>
      </w:tr>
      <w:tr w14:paraId="7E77CD47">
        <w:tblPrEx>
          <w:tblCellMar>
            <w:top w:w="0" w:type="dxa"/>
            <w:left w:w="0" w:type="dxa"/>
            <w:bottom w:w="0" w:type="dxa"/>
            <w:right w:w="0" w:type="dxa"/>
          </w:tblCellMar>
        </w:tblPrEx>
        <w:trPr>
          <w:trHeight w:val="400" w:hRule="atLeast"/>
          <w:jc w:val="center"/>
        </w:trPr>
        <w:tc>
          <w:tcPr>
            <w:tcW w:w="3044" w:type="dxa"/>
            <w:tcBorders>
              <w:top w:val="nil"/>
              <w:left w:val="nil"/>
              <w:bottom w:val="nil"/>
              <w:right w:val="single" w:color="000000" w:sz="4" w:space="0"/>
            </w:tcBorders>
            <w:shd w:val="clear" w:color="auto" w:fill="auto"/>
            <w:noWrap/>
            <w:tcMar>
              <w:top w:w="15" w:type="dxa"/>
              <w:left w:w="15" w:type="dxa"/>
              <w:right w:w="15" w:type="dxa"/>
            </w:tcMar>
            <w:vAlign w:val="center"/>
          </w:tcPr>
          <w:p w14:paraId="33E262CA">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其中：猪肉</w:t>
            </w:r>
          </w:p>
        </w:tc>
        <w:tc>
          <w:tcPr>
            <w:tcW w:w="1091" w:type="dxa"/>
            <w:tcBorders>
              <w:top w:val="nil"/>
              <w:left w:val="nil"/>
              <w:bottom w:val="nil"/>
              <w:right w:val="single" w:color="000000" w:sz="4" w:space="0"/>
            </w:tcBorders>
            <w:shd w:val="clear" w:color="auto" w:fill="auto"/>
            <w:noWrap/>
            <w:tcMar>
              <w:top w:w="15" w:type="dxa"/>
              <w:left w:w="15" w:type="dxa"/>
              <w:right w:w="15" w:type="dxa"/>
            </w:tcMar>
            <w:vAlign w:val="center"/>
          </w:tcPr>
          <w:p w14:paraId="1C304822">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万吨</w:t>
            </w:r>
          </w:p>
        </w:tc>
        <w:tc>
          <w:tcPr>
            <w:tcW w:w="1050" w:type="dxa"/>
            <w:tcBorders>
              <w:top w:val="nil"/>
              <w:left w:val="nil"/>
              <w:bottom w:val="nil"/>
              <w:right w:val="single" w:color="000000" w:sz="4" w:space="0"/>
            </w:tcBorders>
            <w:shd w:val="clear" w:color="auto" w:fill="auto"/>
            <w:noWrap/>
            <w:tcMar>
              <w:top w:w="15" w:type="dxa"/>
              <w:left w:w="15" w:type="dxa"/>
              <w:right w:w="15" w:type="dxa"/>
            </w:tcMar>
            <w:vAlign w:val="center"/>
          </w:tcPr>
          <w:p w14:paraId="187E4A58">
            <w:pPr>
              <w:keepNext w:val="0"/>
              <w:keepLines w:val="0"/>
              <w:widowControl/>
              <w:suppressLineNumbers w:val="0"/>
              <w:jc w:val="right"/>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2.45</w:t>
            </w:r>
          </w:p>
        </w:tc>
        <w:tc>
          <w:tcPr>
            <w:tcW w:w="2017" w:type="dxa"/>
            <w:tcBorders>
              <w:top w:val="nil"/>
              <w:left w:val="nil"/>
              <w:bottom w:val="nil"/>
              <w:right w:val="nil"/>
            </w:tcBorders>
            <w:shd w:val="clear" w:color="auto" w:fill="auto"/>
            <w:noWrap/>
            <w:tcMar>
              <w:top w:w="15" w:type="dxa"/>
              <w:left w:w="15" w:type="dxa"/>
              <w:right w:w="15" w:type="dxa"/>
            </w:tcMar>
            <w:vAlign w:val="center"/>
          </w:tcPr>
          <w:p w14:paraId="286D5BA3">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-17.7</w:t>
            </w:r>
          </w:p>
        </w:tc>
      </w:tr>
      <w:tr w14:paraId="159A492A">
        <w:tblPrEx>
          <w:tblCellMar>
            <w:top w:w="0" w:type="dxa"/>
            <w:left w:w="0" w:type="dxa"/>
            <w:bottom w:w="0" w:type="dxa"/>
            <w:right w:w="0" w:type="dxa"/>
          </w:tblCellMar>
        </w:tblPrEx>
        <w:trPr>
          <w:trHeight w:val="400" w:hRule="atLeast"/>
          <w:jc w:val="center"/>
        </w:trPr>
        <w:tc>
          <w:tcPr>
            <w:tcW w:w="3044" w:type="dxa"/>
            <w:tcBorders>
              <w:top w:val="nil"/>
              <w:left w:val="nil"/>
              <w:bottom w:val="nil"/>
              <w:right w:val="single" w:color="000000" w:sz="4" w:space="0"/>
            </w:tcBorders>
            <w:shd w:val="clear" w:color="auto" w:fill="auto"/>
            <w:noWrap/>
            <w:tcMar>
              <w:top w:w="15" w:type="dxa"/>
              <w:left w:w="15" w:type="dxa"/>
              <w:right w:w="15" w:type="dxa"/>
            </w:tcMar>
            <w:vAlign w:val="center"/>
          </w:tcPr>
          <w:p w14:paraId="78FB264D">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禽肉</w:t>
            </w:r>
          </w:p>
        </w:tc>
        <w:tc>
          <w:tcPr>
            <w:tcW w:w="1091" w:type="dxa"/>
            <w:tcBorders>
              <w:top w:val="nil"/>
              <w:left w:val="nil"/>
              <w:bottom w:val="nil"/>
              <w:right w:val="single" w:color="000000" w:sz="4" w:space="0"/>
            </w:tcBorders>
            <w:shd w:val="clear" w:color="auto" w:fill="auto"/>
            <w:noWrap/>
            <w:tcMar>
              <w:top w:w="15" w:type="dxa"/>
              <w:left w:w="15" w:type="dxa"/>
              <w:right w:w="15" w:type="dxa"/>
            </w:tcMar>
            <w:vAlign w:val="center"/>
          </w:tcPr>
          <w:p w14:paraId="0F9531E9">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万吨</w:t>
            </w:r>
          </w:p>
        </w:tc>
        <w:tc>
          <w:tcPr>
            <w:tcW w:w="1050" w:type="dxa"/>
            <w:tcBorders>
              <w:top w:val="nil"/>
              <w:left w:val="nil"/>
              <w:bottom w:val="nil"/>
              <w:right w:val="single" w:color="000000" w:sz="4" w:space="0"/>
            </w:tcBorders>
            <w:shd w:val="clear" w:color="auto" w:fill="auto"/>
            <w:noWrap/>
            <w:tcMar>
              <w:top w:w="15" w:type="dxa"/>
              <w:left w:w="15" w:type="dxa"/>
              <w:right w:w="15" w:type="dxa"/>
            </w:tcMar>
            <w:vAlign w:val="center"/>
          </w:tcPr>
          <w:p w14:paraId="073BD638">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4.2</w:t>
            </w:r>
          </w:p>
        </w:tc>
        <w:tc>
          <w:tcPr>
            <w:tcW w:w="2017" w:type="dxa"/>
            <w:tcBorders>
              <w:top w:val="nil"/>
              <w:left w:val="nil"/>
              <w:bottom w:val="nil"/>
              <w:right w:val="nil"/>
            </w:tcBorders>
            <w:shd w:val="clear" w:color="auto" w:fill="auto"/>
            <w:noWrap/>
            <w:tcMar>
              <w:top w:w="15" w:type="dxa"/>
              <w:left w:w="15" w:type="dxa"/>
              <w:right w:w="15" w:type="dxa"/>
            </w:tcMar>
            <w:vAlign w:val="center"/>
          </w:tcPr>
          <w:p w14:paraId="7A3B0564">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-0.02</w:t>
            </w:r>
          </w:p>
        </w:tc>
      </w:tr>
      <w:tr w14:paraId="77A4FFE1">
        <w:tblPrEx>
          <w:shd w:val="clear" w:color="auto" w:fill="auto"/>
          <w:tblCellMar>
            <w:top w:w="0" w:type="dxa"/>
            <w:left w:w="0" w:type="dxa"/>
            <w:bottom w:w="0" w:type="dxa"/>
            <w:right w:w="0" w:type="dxa"/>
          </w:tblCellMar>
        </w:tblPrEx>
        <w:trPr>
          <w:trHeight w:val="400" w:hRule="atLeast"/>
          <w:jc w:val="center"/>
        </w:trPr>
        <w:tc>
          <w:tcPr>
            <w:tcW w:w="3044" w:type="dxa"/>
            <w:tcBorders>
              <w:top w:val="nil"/>
              <w:left w:val="nil"/>
              <w:bottom w:val="nil"/>
              <w:right w:val="single" w:color="000000" w:sz="4" w:space="0"/>
            </w:tcBorders>
            <w:shd w:val="clear" w:color="auto" w:fill="auto"/>
            <w:noWrap/>
            <w:tcMar>
              <w:top w:w="15" w:type="dxa"/>
              <w:left w:w="15" w:type="dxa"/>
              <w:right w:w="15" w:type="dxa"/>
            </w:tcMar>
            <w:vAlign w:val="center"/>
          </w:tcPr>
          <w:p w14:paraId="047DA0F2">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水产品产量</w:t>
            </w:r>
          </w:p>
        </w:tc>
        <w:tc>
          <w:tcPr>
            <w:tcW w:w="1091" w:type="dxa"/>
            <w:tcBorders>
              <w:top w:val="nil"/>
              <w:left w:val="nil"/>
              <w:bottom w:val="nil"/>
              <w:right w:val="single" w:color="000000" w:sz="4" w:space="0"/>
            </w:tcBorders>
            <w:shd w:val="clear" w:color="auto" w:fill="auto"/>
            <w:noWrap/>
            <w:tcMar>
              <w:top w:w="15" w:type="dxa"/>
              <w:left w:w="15" w:type="dxa"/>
              <w:right w:w="15" w:type="dxa"/>
            </w:tcMar>
            <w:vAlign w:val="center"/>
          </w:tcPr>
          <w:p w14:paraId="4F33C496">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万吨</w:t>
            </w:r>
          </w:p>
        </w:tc>
        <w:tc>
          <w:tcPr>
            <w:tcW w:w="1050" w:type="dxa"/>
            <w:tcBorders>
              <w:top w:val="nil"/>
              <w:left w:val="nil"/>
              <w:bottom w:val="nil"/>
              <w:right w:val="single" w:color="000000" w:sz="4" w:space="0"/>
            </w:tcBorders>
            <w:shd w:val="clear" w:color="auto" w:fill="auto"/>
            <w:noWrap/>
            <w:tcMar>
              <w:top w:w="15" w:type="dxa"/>
              <w:left w:w="15" w:type="dxa"/>
              <w:right w:w="15" w:type="dxa"/>
            </w:tcMar>
            <w:vAlign w:val="center"/>
          </w:tcPr>
          <w:p w14:paraId="73C53105">
            <w:pPr>
              <w:keepNext w:val="0"/>
              <w:keepLines w:val="0"/>
              <w:widowControl/>
              <w:suppressLineNumbers w:val="0"/>
              <w:jc w:val="right"/>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8.5</w:t>
            </w:r>
          </w:p>
        </w:tc>
        <w:tc>
          <w:tcPr>
            <w:tcW w:w="2017" w:type="dxa"/>
            <w:tcBorders>
              <w:top w:val="nil"/>
              <w:left w:val="nil"/>
              <w:bottom w:val="nil"/>
              <w:right w:val="nil"/>
            </w:tcBorders>
            <w:shd w:val="clear" w:color="auto" w:fill="auto"/>
            <w:noWrap/>
            <w:tcMar>
              <w:top w:w="15" w:type="dxa"/>
              <w:left w:w="15" w:type="dxa"/>
              <w:right w:w="15" w:type="dxa"/>
            </w:tcMar>
            <w:vAlign w:val="center"/>
          </w:tcPr>
          <w:p w14:paraId="36B57E4A">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-4.6</w:t>
            </w:r>
          </w:p>
        </w:tc>
      </w:tr>
      <w:tr w14:paraId="52ECC67B">
        <w:tblPrEx>
          <w:shd w:val="clear" w:color="auto" w:fill="auto"/>
          <w:tblCellMar>
            <w:top w:w="0" w:type="dxa"/>
            <w:left w:w="0" w:type="dxa"/>
            <w:bottom w:w="0" w:type="dxa"/>
            <w:right w:w="0" w:type="dxa"/>
          </w:tblCellMar>
        </w:tblPrEx>
        <w:trPr>
          <w:trHeight w:val="400" w:hRule="atLeast"/>
          <w:jc w:val="center"/>
        </w:trPr>
        <w:tc>
          <w:tcPr>
            <w:tcW w:w="3044" w:type="dxa"/>
            <w:tcBorders>
              <w:top w:val="nil"/>
              <w:left w:val="nil"/>
              <w:bottom w:val="nil"/>
              <w:right w:val="single" w:color="000000" w:sz="4" w:space="0"/>
            </w:tcBorders>
            <w:shd w:val="clear" w:color="auto" w:fill="auto"/>
            <w:noWrap/>
            <w:tcMar>
              <w:top w:w="15" w:type="dxa"/>
              <w:left w:w="15" w:type="dxa"/>
              <w:right w:w="15" w:type="dxa"/>
            </w:tcMar>
            <w:vAlign w:val="center"/>
          </w:tcPr>
          <w:p w14:paraId="4FF87043">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其中：海水产品</w:t>
            </w:r>
          </w:p>
        </w:tc>
        <w:tc>
          <w:tcPr>
            <w:tcW w:w="1091" w:type="dxa"/>
            <w:tcBorders>
              <w:top w:val="nil"/>
              <w:left w:val="nil"/>
              <w:bottom w:val="nil"/>
              <w:right w:val="single" w:color="000000" w:sz="4" w:space="0"/>
            </w:tcBorders>
            <w:shd w:val="clear" w:color="auto" w:fill="auto"/>
            <w:noWrap/>
            <w:tcMar>
              <w:top w:w="15" w:type="dxa"/>
              <w:left w:w="15" w:type="dxa"/>
              <w:right w:w="15" w:type="dxa"/>
            </w:tcMar>
            <w:vAlign w:val="center"/>
          </w:tcPr>
          <w:p w14:paraId="2FB0D2CF">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万吨</w:t>
            </w:r>
          </w:p>
        </w:tc>
        <w:tc>
          <w:tcPr>
            <w:tcW w:w="1050" w:type="dxa"/>
            <w:tcBorders>
              <w:top w:val="nil"/>
              <w:left w:val="nil"/>
              <w:bottom w:val="nil"/>
              <w:right w:val="single" w:color="000000" w:sz="4" w:space="0"/>
            </w:tcBorders>
            <w:shd w:val="clear" w:color="auto" w:fill="auto"/>
            <w:noWrap/>
            <w:tcMar>
              <w:top w:w="15" w:type="dxa"/>
              <w:left w:w="15" w:type="dxa"/>
              <w:right w:w="15" w:type="dxa"/>
            </w:tcMar>
            <w:vAlign w:val="center"/>
          </w:tcPr>
          <w:p w14:paraId="7DCE0E08">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5.6</w:t>
            </w:r>
          </w:p>
        </w:tc>
        <w:tc>
          <w:tcPr>
            <w:tcW w:w="2017" w:type="dxa"/>
            <w:tcBorders>
              <w:top w:val="nil"/>
              <w:left w:val="nil"/>
              <w:bottom w:val="nil"/>
              <w:right w:val="nil"/>
            </w:tcBorders>
            <w:shd w:val="clear" w:color="auto" w:fill="auto"/>
            <w:noWrap/>
            <w:tcMar>
              <w:top w:w="15" w:type="dxa"/>
              <w:left w:w="15" w:type="dxa"/>
              <w:right w:w="15" w:type="dxa"/>
            </w:tcMar>
            <w:vAlign w:val="center"/>
          </w:tcPr>
          <w:p w14:paraId="1FDC93B7">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-5.5 </w:t>
            </w:r>
          </w:p>
        </w:tc>
      </w:tr>
      <w:tr w14:paraId="552AE5CE">
        <w:tblPrEx>
          <w:shd w:val="clear" w:color="auto" w:fill="auto"/>
          <w:tblCellMar>
            <w:top w:w="0" w:type="dxa"/>
            <w:left w:w="0" w:type="dxa"/>
            <w:bottom w:w="0" w:type="dxa"/>
            <w:right w:w="0" w:type="dxa"/>
          </w:tblCellMar>
        </w:tblPrEx>
        <w:trPr>
          <w:trHeight w:val="400" w:hRule="atLeast"/>
          <w:jc w:val="center"/>
        </w:trPr>
        <w:tc>
          <w:tcPr>
            <w:tcW w:w="3044" w:type="dxa"/>
            <w:tcBorders>
              <w:top w:val="nil"/>
              <w:left w:val="nil"/>
              <w:bottom w:val="single" w:color="auto" w:sz="12" w:space="0"/>
              <w:right w:val="single" w:color="000000" w:sz="4" w:space="0"/>
            </w:tcBorders>
            <w:shd w:val="clear" w:color="auto" w:fill="auto"/>
            <w:noWrap/>
            <w:tcMar>
              <w:top w:w="15" w:type="dxa"/>
              <w:left w:w="15" w:type="dxa"/>
              <w:right w:w="15" w:type="dxa"/>
            </w:tcMar>
            <w:vAlign w:val="center"/>
          </w:tcPr>
          <w:p w14:paraId="1835211E">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淡水产品</w:t>
            </w:r>
          </w:p>
        </w:tc>
        <w:tc>
          <w:tcPr>
            <w:tcW w:w="1091" w:type="dxa"/>
            <w:tcBorders>
              <w:top w:val="nil"/>
              <w:left w:val="nil"/>
              <w:bottom w:val="single" w:color="auto" w:sz="12" w:space="0"/>
              <w:right w:val="single" w:color="000000" w:sz="4" w:space="0"/>
            </w:tcBorders>
            <w:shd w:val="clear" w:color="auto" w:fill="auto"/>
            <w:noWrap/>
            <w:tcMar>
              <w:top w:w="15" w:type="dxa"/>
              <w:left w:w="15" w:type="dxa"/>
              <w:right w:w="15" w:type="dxa"/>
            </w:tcMar>
            <w:vAlign w:val="center"/>
          </w:tcPr>
          <w:p w14:paraId="72C2A5AC">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万吨</w:t>
            </w:r>
          </w:p>
        </w:tc>
        <w:tc>
          <w:tcPr>
            <w:tcW w:w="1050" w:type="dxa"/>
            <w:tcBorders>
              <w:top w:val="nil"/>
              <w:left w:val="nil"/>
              <w:bottom w:val="single" w:color="auto" w:sz="12" w:space="0"/>
              <w:right w:val="single" w:color="000000" w:sz="4" w:space="0"/>
            </w:tcBorders>
            <w:shd w:val="clear" w:color="auto" w:fill="auto"/>
            <w:noWrap/>
            <w:tcMar>
              <w:top w:w="15" w:type="dxa"/>
              <w:left w:w="15" w:type="dxa"/>
              <w:right w:w="15" w:type="dxa"/>
            </w:tcMar>
            <w:vAlign w:val="center"/>
          </w:tcPr>
          <w:p w14:paraId="358A0B57">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2.9</w:t>
            </w:r>
          </w:p>
        </w:tc>
        <w:tc>
          <w:tcPr>
            <w:tcW w:w="2017" w:type="dxa"/>
            <w:tcBorders>
              <w:top w:val="nil"/>
              <w:left w:val="nil"/>
              <w:bottom w:val="single" w:color="auto" w:sz="12" w:space="0"/>
              <w:right w:val="nil"/>
            </w:tcBorders>
            <w:shd w:val="clear" w:color="auto" w:fill="auto"/>
            <w:noWrap/>
            <w:tcMar>
              <w:top w:w="15" w:type="dxa"/>
              <w:left w:w="15" w:type="dxa"/>
              <w:right w:w="15" w:type="dxa"/>
            </w:tcMar>
            <w:vAlign w:val="center"/>
          </w:tcPr>
          <w:p w14:paraId="41EAE295">
            <w:pPr>
              <w:keepNext w:val="0"/>
              <w:keepLines w:val="0"/>
              <w:widowControl/>
              <w:suppressLineNumbers w:val="0"/>
              <w:jc w:val="center"/>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-2.9</w:t>
            </w:r>
          </w:p>
        </w:tc>
      </w:tr>
    </w:tbl>
    <w:p w14:paraId="6EB5C8E7">
      <w:pPr>
        <w:keepNext w:val="0"/>
        <w:keepLines w:val="0"/>
        <w:pageBreakBefore w:val="0"/>
        <w:widowControl w:val="0"/>
        <w:tabs>
          <w:tab w:val="left" w:pos="606"/>
        </w:tabs>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全年全市农林牧渔及服务业增加值101亿元，比上年增长4.5%。其中，热带特色高效农业增加值70.51亿元，比上年增长6.0%，比上年提高1.8个百分点。</w:t>
      </w:r>
    </w:p>
    <w:p w14:paraId="7FF6226D">
      <w:pPr>
        <w:keepNext w:val="0"/>
        <w:keepLines w:val="0"/>
        <w:pageBreakBefore w:val="0"/>
        <w:widowControl w:val="0"/>
        <w:tabs>
          <w:tab w:val="left" w:pos="606"/>
        </w:tabs>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0000FF"/>
          <w:sz w:val="32"/>
          <w:szCs w:val="32"/>
          <w:highlight w:val="none"/>
          <w:u w:val="none"/>
          <w:lang w:val="en-US" w:eastAsia="zh-CN"/>
        </w:rPr>
      </w:pPr>
      <w:r>
        <w:rPr>
          <w:rFonts w:hint="eastAsia" w:ascii="仿宋_GB2312" w:hAnsi="仿宋_GB2312" w:eastAsia="仿宋_GB2312" w:cs="仿宋_GB2312"/>
          <w:b w:val="0"/>
          <w:bCs w:val="0"/>
          <w:color w:val="000000" w:themeColor="text1"/>
          <w:sz w:val="32"/>
          <w:szCs w:val="32"/>
          <w:shd w:val="clear" w:color="auto" w:fill="auto"/>
          <w:lang w:val="en-US" w:eastAsia="zh-CN"/>
          <w14:textFill>
            <w14:solidFill>
              <w14:schemeClr w14:val="tx1"/>
            </w14:solidFill>
          </w14:textFill>
        </w:rPr>
        <w:t>年末农业机械总动力32.24万千瓦，比上年增长0.6%。农用大中型拖拉机381台，减少58台；农用运输车2705辆，增加87辆。全年农用化肥施用量（折纯）4.94万吨，比上年下降7.7%。现有农田水利有效灌溉面积0.11万公顷。</w:t>
      </w:r>
    </w:p>
    <w:p w14:paraId="382DDD6B">
      <w:pPr>
        <w:keepNext w:val="0"/>
        <w:keepLines w:val="0"/>
        <w:pageBreakBefore w:val="0"/>
        <w:widowControl w:val="0"/>
        <w:tabs>
          <w:tab w:val="left" w:pos="606"/>
        </w:tabs>
        <w:kinsoku/>
        <w:wordWrap/>
        <w:overflowPunct/>
        <w:topLinePunct w:val="0"/>
        <w:bidi w:val="0"/>
        <w:snapToGrid/>
        <w:spacing w:line="560" w:lineRule="exact"/>
        <w:ind w:firstLine="672" w:firstLineChars="200"/>
        <w:jc w:val="left"/>
        <w:textAlignment w:val="auto"/>
        <w:rPr>
          <w:rStyle w:val="9"/>
          <w:rFonts w:hint="eastAsia" w:ascii="黑体" w:hAnsi="黑体" w:eastAsia="黑体" w:cs="黑体"/>
          <w:b w:val="0"/>
          <w:bCs w:val="0"/>
          <w:i w:val="0"/>
          <w:caps w:val="0"/>
          <w:color w:val="000000" w:themeColor="text1"/>
          <w:spacing w:val="8"/>
          <w:sz w:val="32"/>
          <w:szCs w:val="32"/>
          <w:shd w:val="clear" w:color="auto" w:fill="auto"/>
          <w14:textFill>
            <w14:solidFill>
              <w14:schemeClr w14:val="tx1"/>
            </w14:solidFill>
          </w14:textFill>
        </w:rPr>
      </w:pPr>
      <w:r>
        <w:rPr>
          <w:rStyle w:val="9"/>
          <w:rFonts w:hint="eastAsia" w:ascii="黑体" w:hAnsi="黑体" w:eastAsia="黑体" w:cs="黑体"/>
          <w:b w:val="0"/>
          <w:bCs w:val="0"/>
          <w:i w:val="0"/>
          <w:caps w:val="0"/>
          <w:color w:val="000000" w:themeColor="text1"/>
          <w:spacing w:val="8"/>
          <w:sz w:val="32"/>
          <w:szCs w:val="32"/>
          <w:shd w:val="clear" w:color="auto" w:fill="auto"/>
          <w14:textFill>
            <w14:solidFill>
              <w14:schemeClr w14:val="tx1"/>
            </w14:solidFill>
          </w14:textFill>
        </w:rPr>
        <w:t>三、工业和建筑业</w:t>
      </w:r>
    </w:p>
    <w:p w14:paraId="3D88085A">
      <w:pPr>
        <w:keepNext w:val="0"/>
        <w:keepLines w:val="0"/>
        <w:pageBreakBefore w:val="0"/>
        <w:widowControl w:val="0"/>
        <w:tabs>
          <w:tab w:val="left" w:pos="666"/>
        </w:tabs>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FF"/>
          <w:sz w:val="32"/>
          <w:szCs w:val="32"/>
          <w:shd w:val="clear" w:color="auto" w:fill="FFFFFF"/>
          <w:lang w:val="en-US" w:eastAsia="zh-CN"/>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全年全市工业增加值8.22亿元，比上年下降2.3%。规模以上工业</w:t>
      </w:r>
      <w:r>
        <w:rPr>
          <w:rFonts w:hint="eastAsia" w:ascii="仿宋_GB2312" w:hAnsi="仿宋_GB2312" w:eastAsia="仿宋_GB2312" w:cs="仿宋_GB2312"/>
          <w:color w:val="000000" w:themeColor="text1"/>
          <w:sz w:val="32"/>
          <w:szCs w:val="32"/>
          <w14:textFill>
            <w14:solidFill>
              <w14:schemeClr w14:val="tx1"/>
            </w14:solidFill>
          </w14:textFill>
        </w:rPr>
        <w:t>产值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20.0</w:t>
      </w:r>
      <w:r>
        <w:rPr>
          <w:rFonts w:hint="eastAsia" w:ascii="仿宋_GB2312" w:hAnsi="仿宋_GB2312" w:eastAsia="仿宋_GB2312" w:cs="仿宋_GB2312"/>
          <w:color w:val="000000" w:themeColor="text1"/>
          <w:sz w:val="32"/>
          <w:szCs w:val="32"/>
          <w14:textFill>
            <w14:solidFill>
              <w14:schemeClr w14:val="tx1"/>
            </w14:solidFill>
          </w14:textFill>
        </w:rPr>
        <w:t>亿元，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比上年</w:t>
      </w:r>
      <w:r>
        <w:rPr>
          <w:rFonts w:hint="eastAsia" w:ascii="仿宋_GB2312" w:hAnsi="仿宋_GB2312" w:eastAsia="仿宋_GB2312" w:cs="仿宋_GB2312"/>
          <w:color w:val="000000" w:themeColor="text1"/>
          <w:sz w:val="32"/>
          <w:szCs w:val="32"/>
          <w:lang w:eastAsia="zh-CN"/>
          <w14:textFill>
            <w14:solidFill>
              <w14:schemeClr w14:val="tx1"/>
            </w14:solidFill>
          </w14:textFill>
        </w:rPr>
        <w:t>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长5.2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。按轻重工业分，轻工业产值下降2.1%；重工业产值增长8.2%。从经济类型看，国有企业产值增长7.8%；股份制企业增长10.1%；外商及港澳台商投资企业下降4.1%。</w:t>
      </w:r>
    </w:p>
    <w:p w14:paraId="76FFE4D0">
      <w:pPr>
        <w:keepNext w:val="0"/>
        <w:keepLines w:val="0"/>
        <w:pageBreakBefore w:val="0"/>
        <w:widowControl w:val="0"/>
        <w:tabs>
          <w:tab w:val="left" w:pos="666"/>
        </w:tabs>
        <w:kinsoku/>
        <w:wordWrap/>
        <w:overflowPunct/>
        <w:topLinePunct w:val="0"/>
        <w:bidi w:val="0"/>
        <w:snapToGrid/>
        <w:spacing w:line="560" w:lineRule="exact"/>
        <w:ind w:firstLine="640" w:firstLineChars="200"/>
        <w:textAlignment w:val="auto"/>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全年规模以上工业中，农副食品加工业产值下降9.1%，食品制造业增长45.1%，酒、饮料和精制茶制造业下降10.2%，医药制造业下降9.9%，非金属矿物制品业增长1.2%，通用设备制造业下降3.4%，电力、热力的生产和供应业增长3.3%，燃气生产和供应业下降16.1%，水的生产和供应业增长1.5%。全年主要工业产品产量及其增长速度见表3。</w:t>
      </w:r>
    </w:p>
    <w:p w14:paraId="632D76C4">
      <w:pPr>
        <w:keepNext w:val="0"/>
        <w:keepLines w:val="0"/>
        <w:pageBreakBefore w:val="0"/>
        <w:tabs>
          <w:tab w:val="left" w:pos="666"/>
        </w:tabs>
        <w:kinsoku/>
        <w:wordWrap/>
        <w:overflowPunct/>
        <w:topLinePunct w:val="0"/>
        <w:bidi w:val="0"/>
        <w:snapToGrid/>
        <w:spacing w:line="560" w:lineRule="exact"/>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全年规模以上工业企业营业收入比上年增长4.2%，每百元营业收入中的成本为62.08元，比上年减少3.93元。年末规模以上工业企业资产负债率为66.2%。</w:t>
      </w:r>
    </w:p>
    <w:p w14:paraId="0EF294A5">
      <w:pPr>
        <w:keepNext w:val="0"/>
        <w:keepLines w:val="0"/>
        <w:pageBreakBefore w:val="0"/>
        <w:tabs>
          <w:tab w:val="left" w:pos="726"/>
        </w:tabs>
        <w:kinsoku/>
        <w:wordWrap/>
        <w:overflowPunct/>
        <w:topLinePunct w:val="0"/>
        <w:bidi w:val="0"/>
        <w:snapToGrid/>
        <w:spacing w:line="560" w:lineRule="exact"/>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全年全市建筑业增加值32.02亿元，比上年增长19.2%。本市具有资质等级的建筑企业单位8家，全年实现利润总额4739.6万元，比上年增长249.0%。</w:t>
      </w:r>
    </w:p>
    <w:p w14:paraId="59B82C1B">
      <w:pPr>
        <w:pStyle w:val="13"/>
        <w:keepNext w:val="0"/>
        <w:keepLines w:val="0"/>
        <w:pageBreakBefore w:val="0"/>
        <w:widowControl w:val="0"/>
        <w:kinsoku/>
        <w:wordWrap/>
        <w:overflowPunct/>
        <w:topLinePunct w:val="0"/>
        <w:bidi w:val="0"/>
        <w:snapToGrid/>
        <w:spacing w:line="560" w:lineRule="exact"/>
        <w:textAlignment w:val="auto"/>
        <w:rPr>
          <w:rFonts w:hint="eastAsia"/>
          <w:color w:val="000000" w:themeColor="text1"/>
          <w:lang w:val="en-US" w:eastAsia="zh-CN"/>
          <w14:textFill>
            <w14:solidFill>
              <w14:schemeClr w14:val="tx1"/>
            </w14:solidFill>
          </w14:textFill>
        </w:rPr>
      </w:pPr>
    </w:p>
    <w:tbl>
      <w:tblPr>
        <w:tblStyle w:val="7"/>
        <w:tblW w:w="7695" w:type="dxa"/>
        <w:jc w:val="center"/>
        <w:shd w:val="clear" w:color="auto" w:fill="auto"/>
        <w:tblLayout w:type="fixed"/>
        <w:tblCellMar>
          <w:top w:w="0" w:type="dxa"/>
          <w:left w:w="0" w:type="dxa"/>
          <w:bottom w:w="0" w:type="dxa"/>
          <w:right w:w="0" w:type="dxa"/>
        </w:tblCellMar>
      </w:tblPr>
      <w:tblGrid>
        <w:gridCol w:w="3024"/>
        <w:gridCol w:w="1174"/>
        <w:gridCol w:w="1316"/>
        <w:gridCol w:w="2181"/>
      </w:tblGrid>
      <w:tr w14:paraId="2A0C7A4C">
        <w:tblPrEx>
          <w:shd w:val="clear" w:color="auto" w:fill="auto"/>
          <w:tblCellMar>
            <w:top w:w="0" w:type="dxa"/>
            <w:left w:w="0" w:type="dxa"/>
            <w:bottom w:w="0" w:type="dxa"/>
            <w:right w:w="0" w:type="dxa"/>
          </w:tblCellMar>
        </w:tblPrEx>
        <w:trPr>
          <w:trHeight w:val="580" w:hRule="atLeast"/>
          <w:jc w:val="center"/>
        </w:trPr>
        <w:tc>
          <w:tcPr>
            <w:tcW w:w="7695" w:type="dxa"/>
            <w:gridSpan w:val="4"/>
            <w:tcBorders>
              <w:top w:val="nil"/>
              <w:left w:val="nil"/>
              <w:bottom w:val="single" w:color="auto" w:sz="12" w:space="0"/>
              <w:right w:val="nil"/>
            </w:tcBorders>
            <w:shd w:val="clear" w:color="auto" w:fill="auto"/>
            <w:noWrap/>
            <w:tcMar>
              <w:top w:w="15" w:type="dxa"/>
              <w:left w:w="15" w:type="dxa"/>
              <w:right w:w="15" w:type="dxa"/>
            </w:tcMar>
            <w:vAlign w:val="center"/>
          </w:tcPr>
          <w:p w14:paraId="2C3E4311">
            <w:pPr>
              <w:keepNext w:val="0"/>
              <w:keepLines w:val="0"/>
              <w:widowControl/>
              <w:suppressLineNumbers w:val="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黑体" w:hAnsi="黑体" w:eastAsia="黑体" w:cs="黑体"/>
                <w:i w:val="0"/>
                <w:color w:val="000000" w:themeColor="text1"/>
                <w:kern w:val="0"/>
                <w:sz w:val="30"/>
                <w:szCs w:val="30"/>
                <w:u w:val="none"/>
                <w:lang w:val="en-US" w:eastAsia="zh-CN" w:bidi="ar"/>
                <w14:textFill>
                  <w14:solidFill>
                    <w14:schemeClr w14:val="tx1"/>
                  </w14:solidFill>
                </w14:textFill>
              </w:rPr>
              <w:t>表3  2020年主要工业产品产量及其增长速度</w:t>
            </w:r>
          </w:p>
        </w:tc>
      </w:tr>
      <w:tr w14:paraId="2FF74526">
        <w:tblPrEx>
          <w:shd w:val="clear" w:color="auto" w:fill="auto"/>
          <w:tblCellMar>
            <w:top w:w="0" w:type="dxa"/>
            <w:left w:w="0" w:type="dxa"/>
            <w:bottom w:w="0" w:type="dxa"/>
            <w:right w:w="0" w:type="dxa"/>
          </w:tblCellMar>
        </w:tblPrEx>
        <w:trPr>
          <w:trHeight w:val="480" w:hRule="atLeast"/>
          <w:jc w:val="center"/>
        </w:trPr>
        <w:tc>
          <w:tcPr>
            <w:tcW w:w="3024" w:type="dxa"/>
            <w:tcBorders>
              <w:top w:val="single" w:color="auto" w:sz="12"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F5EDB1">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产品名称</w:t>
            </w:r>
          </w:p>
        </w:tc>
        <w:tc>
          <w:tcPr>
            <w:tcW w:w="1174" w:type="dxa"/>
            <w:tcBorders>
              <w:top w:val="single" w:color="auto" w:sz="12" w:space="0"/>
              <w:left w:val="nil"/>
              <w:bottom w:val="single" w:color="000000" w:sz="4" w:space="0"/>
              <w:right w:val="single" w:color="000000" w:sz="4" w:space="0"/>
            </w:tcBorders>
            <w:shd w:val="clear" w:color="auto" w:fill="auto"/>
            <w:noWrap/>
            <w:tcMar>
              <w:top w:w="15" w:type="dxa"/>
              <w:left w:w="15" w:type="dxa"/>
              <w:right w:w="15" w:type="dxa"/>
            </w:tcMar>
            <w:vAlign w:val="center"/>
          </w:tcPr>
          <w:p w14:paraId="2C850FBD">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单位</w:t>
            </w:r>
          </w:p>
        </w:tc>
        <w:tc>
          <w:tcPr>
            <w:tcW w:w="1316" w:type="dxa"/>
            <w:tcBorders>
              <w:top w:val="single" w:color="auto" w:sz="12" w:space="0"/>
              <w:left w:val="single" w:color="000000" w:sz="4" w:space="0"/>
              <w:bottom w:val="single" w:color="000000" w:sz="4" w:space="0"/>
              <w:right w:val="nil"/>
            </w:tcBorders>
            <w:shd w:val="clear" w:color="auto" w:fill="auto"/>
            <w:noWrap/>
            <w:tcMar>
              <w:top w:w="15" w:type="dxa"/>
              <w:left w:w="15" w:type="dxa"/>
              <w:right w:w="15" w:type="dxa"/>
            </w:tcMar>
            <w:vAlign w:val="center"/>
          </w:tcPr>
          <w:p w14:paraId="383481B0">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绝对数</w:t>
            </w:r>
          </w:p>
        </w:tc>
        <w:tc>
          <w:tcPr>
            <w:tcW w:w="2181" w:type="dxa"/>
            <w:tcBorders>
              <w:top w:val="single" w:color="auto" w:sz="12" w:space="0"/>
              <w:left w:val="single" w:color="000000" w:sz="4" w:space="0"/>
              <w:bottom w:val="single" w:color="000000" w:sz="4" w:space="0"/>
              <w:right w:val="nil"/>
            </w:tcBorders>
            <w:shd w:val="clear" w:color="auto" w:fill="auto"/>
            <w:noWrap/>
            <w:tcMar>
              <w:top w:w="15" w:type="dxa"/>
              <w:left w:w="15" w:type="dxa"/>
              <w:right w:w="15" w:type="dxa"/>
            </w:tcMar>
            <w:vAlign w:val="center"/>
          </w:tcPr>
          <w:p w14:paraId="1DF2E4E6">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比上年增减（%）</w:t>
            </w:r>
          </w:p>
        </w:tc>
      </w:tr>
      <w:tr w14:paraId="4BA67454">
        <w:tblPrEx>
          <w:shd w:val="clear" w:color="auto" w:fill="auto"/>
          <w:tblCellMar>
            <w:top w:w="0" w:type="dxa"/>
            <w:left w:w="0" w:type="dxa"/>
            <w:bottom w:w="0" w:type="dxa"/>
            <w:right w:w="0" w:type="dxa"/>
          </w:tblCellMar>
        </w:tblPrEx>
        <w:trPr>
          <w:trHeight w:val="400" w:hRule="atLeast"/>
          <w:jc w:val="center"/>
        </w:trPr>
        <w:tc>
          <w:tcPr>
            <w:tcW w:w="3024" w:type="dxa"/>
            <w:tcBorders>
              <w:top w:val="nil"/>
              <w:left w:val="nil"/>
              <w:bottom w:val="nil"/>
              <w:right w:val="nil"/>
            </w:tcBorders>
            <w:shd w:val="clear" w:color="auto" w:fill="auto"/>
            <w:noWrap/>
            <w:tcMar>
              <w:top w:w="15" w:type="dxa"/>
              <w:left w:w="15" w:type="dxa"/>
              <w:right w:w="15" w:type="dxa"/>
            </w:tcMar>
            <w:vAlign w:val="center"/>
          </w:tcPr>
          <w:p w14:paraId="6A2D69A6">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自来水生产量</w:t>
            </w:r>
          </w:p>
        </w:tc>
        <w:tc>
          <w:tcPr>
            <w:tcW w:w="1174"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64957196">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万立方米</w:t>
            </w:r>
          </w:p>
        </w:tc>
        <w:tc>
          <w:tcPr>
            <w:tcW w:w="1316" w:type="dxa"/>
            <w:tcBorders>
              <w:top w:val="nil"/>
              <w:left w:val="nil"/>
              <w:bottom w:val="nil"/>
              <w:right w:val="single" w:color="000000" w:sz="4" w:space="0"/>
            </w:tcBorders>
            <w:shd w:val="clear" w:color="auto" w:fill="auto"/>
            <w:noWrap/>
            <w:tcMar>
              <w:top w:w="15" w:type="dxa"/>
              <w:left w:w="15" w:type="dxa"/>
              <w:right w:w="15" w:type="dxa"/>
            </w:tcMar>
            <w:vAlign w:val="center"/>
          </w:tcPr>
          <w:p w14:paraId="475093E1">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3693.88 </w:t>
            </w:r>
          </w:p>
        </w:tc>
        <w:tc>
          <w:tcPr>
            <w:tcW w:w="2181" w:type="dxa"/>
            <w:tcBorders>
              <w:top w:val="nil"/>
              <w:left w:val="nil"/>
              <w:bottom w:val="nil"/>
              <w:right w:val="nil"/>
            </w:tcBorders>
            <w:shd w:val="clear" w:color="auto" w:fill="auto"/>
            <w:noWrap/>
            <w:tcMar>
              <w:top w:w="15" w:type="dxa"/>
              <w:left w:w="15" w:type="dxa"/>
              <w:right w:w="15" w:type="dxa"/>
            </w:tcMar>
            <w:vAlign w:val="center"/>
          </w:tcPr>
          <w:p w14:paraId="46664706">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2.4 </w:t>
            </w:r>
          </w:p>
        </w:tc>
      </w:tr>
      <w:tr w14:paraId="0525517D">
        <w:tblPrEx>
          <w:shd w:val="clear" w:color="auto" w:fill="auto"/>
          <w:tblCellMar>
            <w:top w:w="0" w:type="dxa"/>
            <w:left w:w="0" w:type="dxa"/>
            <w:bottom w:w="0" w:type="dxa"/>
            <w:right w:w="0" w:type="dxa"/>
          </w:tblCellMar>
        </w:tblPrEx>
        <w:trPr>
          <w:trHeight w:val="400" w:hRule="atLeast"/>
          <w:jc w:val="center"/>
        </w:trPr>
        <w:tc>
          <w:tcPr>
            <w:tcW w:w="3024" w:type="dxa"/>
            <w:tcBorders>
              <w:top w:val="nil"/>
              <w:left w:val="nil"/>
              <w:bottom w:val="nil"/>
              <w:right w:val="nil"/>
            </w:tcBorders>
            <w:shd w:val="clear" w:color="auto" w:fill="auto"/>
            <w:noWrap/>
            <w:tcMar>
              <w:top w:w="15" w:type="dxa"/>
              <w:left w:w="15" w:type="dxa"/>
              <w:right w:w="15" w:type="dxa"/>
            </w:tcMar>
            <w:vAlign w:val="center"/>
          </w:tcPr>
          <w:p w14:paraId="22AF3812">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发电量</w:t>
            </w:r>
          </w:p>
        </w:tc>
        <w:tc>
          <w:tcPr>
            <w:tcW w:w="1174"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15C8A9C4">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万千瓦时</w:t>
            </w:r>
          </w:p>
        </w:tc>
        <w:tc>
          <w:tcPr>
            <w:tcW w:w="1316" w:type="dxa"/>
            <w:tcBorders>
              <w:top w:val="nil"/>
              <w:left w:val="nil"/>
              <w:bottom w:val="nil"/>
              <w:right w:val="single" w:color="000000" w:sz="4" w:space="0"/>
            </w:tcBorders>
            <w:shd w:val="clear" w:color="auto" w:fill="auto"/>
            <w:noWrap/>
            <w:tcMar>
              <w:top w:w="15" w:type="dxa"/>
              <w:left w:w="15" w:type="dxa"/>
              <w:right w:w="15" w:type="dxa"/>
            </w:tcMar>
            <w:vAlign w:val="center"/>
          </w:tcPr>
          <w:p w14:paraId="03C7A805">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23149.44</w:t>
            </w:r>
          </w:p>
        </w:tc>
        <w:tc>
          <w:tcPr>
            <w:tcW w:w="2181" w:type="dxa"/>
            <w:tcBorders>
              <w:top w:val="nil"/>
              <w:left w:val="nil"/>
              <w:bottom w:val="nil"/>
              <w:right w:val="nil"/>
            </w:tcBorders>
            <w:shd w:val="clear" w:color="auto" w:fill="auto"/>
            <w:noWrap/>
            <w:tcMar>
              <w:top w:w="15" w:type="dxa"/>
              <w:left w:w="15" w:type="dxa"/>
              <w:right w:w="15" w:type="dxa"/>
            </w:tcMar>
            <w:vAlign w:val="center"/>
          </w:tcPr>
          <w:p w14:paraId="43CA8A81">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33.7 </w:t>
            </w:r>
          </w:p>
        </w:tc>
      </w:tr>
      <w:tr w14:paraId="14885CDE">
        <w:tblPrEx>
          <w:shd w:val="clear" w:color="auto" w:fill="auto"/>
          <w:tblCellMar>
            <w:top w:w="0" w:type="dxa"/>
            <w:left w:w="0" w:type="dxa"/>
            <w:bottom w:w="0" w:type="dxa"/>
            <w:right w:w="0" w:type="dxa"/>
          </w:tblCellMar>
        </w:tblPrEx>
        <w:trPr>
          <w:trHeight w:val="400" w:hRule="atLeast"/>
          <w:jc w:val="center"/>
        </w:trPr>
        <w:tc>
          <w:tcPr>
            <w:tcW w:w="3024" w:type="dxa"/>
            <w:tcBorders>
              <w:top w:val="nil"/>
              <w:left w:val="nil"/>
              <w:bottom w:val="nil"/>
              <w:right w:val="nil"/>
            </w:tcBorders>
            <w:shd w:val="clear" w:color="auto" w:fill="auto"/>
            <w:noWrap/>
            <w:tcMar>
              <w:top w:w="15" w:type="dxa"/>
              <w:left w:w="15" w:type="dxa"/>
              <w:right w:w="15" w:type="dxa"/>
            </w:tcMar>
            <w:vAlign w:val="center"/>
          </w:tcPr>
          <w:p w14:paraId="32AEAEFA">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其中： 水力发电量</w:t>
            </w:r>
          </w:p>
        </w:tc>
        <w:tc>
          <w:tcPr>
            <w:tcW w:w="1174"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044B3D55">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万千瓦时</w:t>
            </w:r>
          </w:p>
        </w:tc>
        <w:tc>
          <w:tcPr>
            <w:tcW w:w="1316" w:type="dxa"/>
            <w:tcBorders>
              <w:top w:val="nil"/>
              <w:left w:val="nil"/>
              <w:bottom w:val="nil"/>
              <w:right w:val="single" w:color="000000" w:sz="4" w:space="0"/>
            </w:tcBorders>
            <w:shd w:val="clear" w:color="auto" w:fill="auto"/>
            <w:noWrap/>
            <w:tcMar>
              <w:top w:w="15" w:type="dxa"/>
              <w:left w:w="15" w:type="dxa"/>
              <w:right w:w="15" w:type="dxa"/>
            </w:tcMar>
            <w:vAlign w:val="center"/>
          </w:tcPr>
          <w:p w14:paraId="6D7093E2">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23149.44</w:t>
            </w:r>
          </w:p>
        </w:tc>
        <w:tc>
          <w:tcPr>
            <w:tcW w:w="2181" w:type="dxa"/>
            <w:tcBorders>
              <w:top w:val="nil"/>
              <w:left w:val="nil"/>
              <w:bottom w:val="nil"/>
              <w:right w:val="nil"/>
            </w:tcBorders>
            <w:shd w:val="clear" w:color="auto" w:fill="auto"/>
            <w:noWrap/>
            <w:tcMar>
              <w:top w:w="15" w:type="dxa"/>
              <w:left w:w="15" w:type="dxa"/>
              <w:right w:w="15" w:type="dxa"/>
            </w:tcMar>
            <w:vAlign w:val="center"/>
          </w:tcPr>
          <w:p w14:paraId="7543BBE7">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33.7 </w:t>
            </w:r>
          </w:p>
        </w:tc>
      </w:tr>
      <w:tr w14:paraId="1B8234C6">
        <w:tblPrEx>
          <w:tblCellMar>
            <w:top w:w="0" w:type="dxa"/>
            <w:left w:w="0" w:type="dxa"/>
            <w:bottom w:w="0" w:type="dxa"/>
            <w:right w:w="0" w:type="dxa"/>
          </w:tblCellMar>
        </w:tblPrEx>
        <w:trPr>
          <w:trHeight w:val="400" w:hRule="atLeast"/>
          <w:jc w:val="center"/>
        </w:trPr>
        <w:tc>
          <w:tcPr>
            <w:tcW w:w="3024" w:type="dxa"/>
            <w:tcBorders>
              <w:top w:val="nil"/>
              <w:left w:val="nil"/>
              <w:bottom w:val="nil"/>
              <w:right w:val="nil"/>
            </w:tcBorders>
            <w:shd w:val="clear" w:color="auto" w:fill="auto"/>
            <w:noWrap/>
            <w:tcMar>
              <w:top w:w="15" w:type="dxa"/>
              <w:left w:w="15" w:type="dxa"/>
              <w:right w:w="15" w:type="dxa"/>
            </w:tcMar>
            <w:vAlign w:val="center"/>
          </w:tcPr>
          <w:p w14:paraId="3ECC6A20">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商品混凝土</w:t>
            </w:r>
          </w:p>
        </w:tc>
        <w:tc>
          <w:tcPr>
            <w:tcW w:w="1174"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2CBE2A6B">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立方米</w:t>
            </w:r>
          </w:p>
        </w:tc>
        <w:tc>
          <w:tcPr>
            <w:tcW w:w="1316" w:type="dxa"/>
            <w:tcBorders>
              <w:top w:val="nil"/>
              <w:left w:val="nil"/>
              <w:bottom w:val="nil"/>
              <w:right w:val="single" w:color="000000" w:sz="4" w:space="0"/>
            </w:tcBorders>
            <w:shd w:val="clear" w:color="auto" w:fill="auto"/>
            <w:noWrap/>
            <w:tcMar>
              <w:top w:w="15" w:type="dxa"/>
              <w:left w:w="15" w:type="dxa"/>
              <w:right w:w="15" w:type="dxa"/>
            </w:tcMar>
            <w:vAlign w:val="center"/>
          </w:tcPr>
          <w:p w14:paraId="6D6AE990">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796209.3 </w:t>
            </w:r>
          </w:p>
        </w:tc>
        <w:tc>
          <w:tcPr>
            <w:tcW w:w="2181" w:type="dxa"/>
            <w:tcBorders>
              <w:top w:val="nil"/>
              <w:left w:val="nil"/>
              <w:bottom w:val="nil"/>
              <w:right w:val="nil"/>
            </w:tcBorders>
            <w:shd w:val="clear" w:color="auto" w:fill="auto"/>
            <w:noWrap/>
            <w:tcMar>
              <w:top w:w="15" w:type="dxa"/>
              <w:left w:w="15" w:type="dxa"/>
              <w:right w:w="15" w:type="dxa"/>
            </w:tcMar>
            <w:vAlign w:val="center"/>
          </w:tcPr>
          <w:p w14:paraId="21C9BDAA">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0.6 </w:t>
            </w:r>
          </w:p>
        </w:tc>
      </w:tr>
      <w:tr w14:paraId="33F7339F">
        <w:tblPrEx>
          <w:shd w:val="clear" w:color="auto" w:fill="auto"/>
          <w:tblCellMar>
            <w:top w:w="0" w:type="dxa"/>
            <w:left w:w="0" w:type="dxa"/>
            <w:bottom w:w="0" w:type="dxa"/>
            <w:right w:w="0" w:type="dxa"/>
          </w:tblCellMar>
        </w:tblPrEx>
        <w:trPr>
          <w:trHeight w:val="400" w:hRule="atLeast"/>
          <w:jc w:val="center"/>
        </w:trPr>
        <w:tc>
          <w:tcPr>
            <w:tcW w:w="3024" w:type="dxa"/>
            <w:tcBorders>
              <w:top w:val="nil"/>
              <w:left w:val="nil"/>
              <w:bottom w:val="nil"/>
              <w:right w:val="nil"/>
            </w:tcBorders>
            <w:shd w:val="clear" w:color="auto" w:fill="auto"/>
            <w:noWrap/>
            <w:tcMar>
              <w:top w:w="15" w:type="dxa"/>
              <w:left w:w="15" w:type="dxa"/>
              <w:right w:w="15" w:type="dxa"/>
            </w:tcMar>
            <w:vAlign w:val="center"/>
          </w:tcPr>
          <w:p w14:paraId="21E0A57E">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饮料</w:t>
            </w:r>
          </w:p>
        </w:tc>
        <w:tc>
          <w:tcPr>
            <w:tcW w:w="1174"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3D689F7F">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吨</w:t>
            </w:r>
          </w:p>
        </w:tc>
        <w:tc>
          <w:tcPr>
            <w:tcW w:w="1316" w:type="dxa"/>
            <w:tcBorders>
              <w:top w:val="nil"/>
              <w:left w:val="nil"/>
              <w:bottom w:val="nil"/>
              <w:right w:val="single" w:color="000000" w:sz="4" w:space="0"/>
            </w:tcBorders>
            <w:shd w:val="clear" w:color="auto" w:fill="auto"/>
            <w:noWrap/>
            <w:tcMar>
              <w:top w:w="15" w:type="dxa"/>
              <w:left w:w="15" w:type="dxa"/>
              <w:right w:w="15" w:type="dxa"/>
            </w:tcMar>
            <w:vAlign w:val="center"/>
          </w:tcPr>
          <w:p w14:paraId="5B27137D">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5585.11</w:t>
            </w:r>
          </w:p>
        </w:tc>
        <w:tc>
          <w:tcPr>
            <w:tcW w:w="2181" w:type="dxa"/>
            <w:tcBorders>
              <w:top w:val="nil"/>
              <w:left w:val="nil"/>
              <w:bottom w:val="nil"/>
              <w:right w:val="nil"/>
            </w:tcBorders>
            <w:shd w:val="clear" w:color="auto" w:fill="auto"/>
            <w:noWrap/>
            <w:tcMar>
              <w:top w:w="15" w:type="dxa"/>
              <w:left w:w="15" w:type="dxa"/>
              <w:right w:w="15" w:type="dxa"/>
            </w:tcMar>
            <w:vAlign w:val="center"/>
          </w:tcPr>
          <w:p w14:paraId="1215A3F8">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-10.2 </w:t>
            </w:r>
          </w:p>
        </w:tc>
      </w:tr>
      <w:tr w14:paraId="7FB10762">
        <w:tblPrEx>
          <w:tblCellMar>
            <w:top w:w="0" w:type="dxa"/>
            <w:left w:w="0" w:type="dxa"/>
            <w:bottom w:w="0" w:type="dxa"/>
            <w:right w:w="0" w:type="dxa"/>
          </w:tblCellMar>
        </w:tblPrEx>
        <w:trPr>
          <w:trHeight w:val="400" w:hRule="atLeast"/>
          <w:jc w:val="center"/>
        </w:trPr>
        <w:tc>
          <w:tcPr>
            <w:tcW w:w="3024" w:type="dxa"/>
            <w:tcBorders>
              <w:top w:val="nil"/>
              <w:left w:val="nil"/>
              <w:bottom w:val="nil"/>
              <w:right w:val="nil"/>
            </w:tcBorders>
            <w:shd w:val="clear" w:color="auto" w:fill="auto"/>
            <w:noWrap/>
            <w:tcMar>
              <w:top w:w="15" w:type="dxa"/>
              <w:left w:w="15" w:type="dxa"/>
              <w:right w:w="15" w:type="dxa"/>
            </w:tcMar>
            <w:vAlign w:val="center"/>
          </w:tcPr>
          <w:p w14:paraId="073ECC7F">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其中： 蛋白饮料</w:t>
            </w:r>
          </w:p>
        </w:tc>
        <w:tc>
          <w:tcPr>
            <w:tcW w:w="1174"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4CB3CB75">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吨</w:t>
            </w:r>
          </w:p>
        </w:tc>
        <w:tc>
          <w:tcPr>
            <w:tcW w:w="1316" w:type="dxa"/>
            <w:tcBorders>
              <w:top w:val="nil"/>
              <w:left w:val="nil"/>
              <w:bottom w:val="nil"/>
              <w:right w:val="single" w:color="000000" w:sz="4" w:space="0"/>
            </w:tcBorders>
            <w:shd w:val="clear" w:color="auto" w:fill="auto"/>
            <w:noWrap/>
            <w:tcMar>
              <w:top w:w="15" w:type="dxa"/>
              <w:left w:w="15" w:type="dxa"/>
              <w:right w:w="15" w:type="dxa"/>
            </w:tcMar>
            <w:vAlign w:val="center"/>
          </w:tcPr>
          <w:p w14:paraId="588C19E8">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5413.38 </w:t>
            </w:r>
          </w:p>
        </w:tc>
        <w:tc>
          <w:tcPr>
            <w:tcW w:w="2181" w:type="dxa"/>
            <w:tcBorders>
              <w:top w:val="nil"/>
              <w:left w:val="nil"/>
              <w:bottom w:val="nil"/>
              <w:right w:val="nil"/>
            </w:tcBorders>
            <w:shd w:val="clear" w:color="auto" w:fill="auto"/>
            <w:noWrap/>
            <w:tcMar>
              <w:top w:w="15" w:type="dxa"/>
              <w:left w:w="15" w:type="dxa"/>
              <w:right w:w="15" w:type="dxa"/>
            </w:tcMar>
            <w:vAlign w:val="center"/>
          </w:tcPr>
          <w:p w14:paraId="015DB684">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-10.7 </w:t>
            </w:r>
          </w:p>
        </w:tc>
      </w:tr>
      <w:tr w14:paraId="4520980E">
        <w:tblPrEx>
          <w:shd w:val="clear" w:color="auto" w:fill="auto"/>
          <w:tblCellMar>
            <w:top w:w="0" w:type="dxa"/>
            <w:left w:w="0" w:type="dxa"/>
            <w:bottom w:w="0" w:type="dxa"/>
            <w:right w:w="0" w:type="dxa"/>
          </w:tblCellMar>
        </w:tblPrEx>
        <w:trPr>
          <w:trHeight w:val="400" w:hRule="atLeast"/>
          <w:jc w:val="center"/>
        </w:trPr>
        <w:tc>
          <w:tcPr>
            <w:tcW w:w="3024" w:type="dxa"/>
            <w:tcBorders>
              <w:top w:val="nil"/>
              <w:left w:val="nil"/>
              <w:bottom w:val="nil"/>
              <w:right w:val="nil"/>
            </w:tcBorders>
            <w:shd w:val="clear" w:color="auto" w:fill="auto"/>
            <w:noWrap/>
            <w:tcMar>
              <w:top w:w="15" w:type="dxa"/>
              <w:left w:w="15" w:type="dxa"/>
              <w:right w:w="15" w:type="dxa"/>
            </w:tcMar>
            <w:vAlign w:val="center"/>
          </w:tcPr>
          <w:p w14:paraId="174C909E">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冷冻水产品</w:t>
            </w:r>
          </w:p>
        </w:tc>
        <w:tc>
          <w:tcPr>
            <w:tcW w:w="1174"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384468FB">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吨</w:t>
            </w:r>
          </w:p>
        </w:tc>
        <w:tc>
          <w:tcPr>
            <w:tcW w:w="1316" w:type="dxa"/>
            <w:tcBorders>
              <w:top w:val="nil"/>
              <w:left w:val="nil"/>
              <w:bottom w:val="nil"/>
              <w:right w:val="single" w:color="000000" w:sz="4" w:space="0"/>
            </w:tcBorders>
            <w:shd w:val="clear" w:color="auto" w:fill="auto"/>
            <w:noWrap/>
            <w:tcMar>
              <w:top w:w="15" w:type="dxa"/>
              <w:left w:w="15" w:type="dxa"/>
              <w:right w:w="15" w:type="dxa"/>
            </w:tcMar>
            <w:vAlign w:val="center"/>
          </w:tcPr>
          <w:p w14:paraId="76258889">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126.00 </w:t>
            </w:r>
          </w:p>
        </w:tc>
        <w:tc>
          <w:tcPr>
            <w:tcW w:w="2181" w:type="dxa"/>
            <w:tcBorders>
              <w:top w:val="nil"/>
              <w:left w:val="nil"/>
              <w:bottom w:val="nil"/>
              <w:right w:val="nil"/>
            </w:tcBorders>
            <w:shd w:val="clear" w:color="auto" w:fill="auto"/>
            <w:noWrap/>
            <w:tcMar>
              <w:top w:w="15" w:type="dxa"/>
              <w:left w:w="15" w:type="dxa"/>
              <w:right w:w="15" w:type="dxa"/>
            </w:tcMar>
            <w:vAlign w:val="center"/>
          </w:tcPr>
          <w:p w14:paraId="70A0F8F5">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-9.4 </w:t>
            </w:r>
          </w:p>
        </w:tc>
      </w:tr>
      <w:tr w14:paraId="6081B4EC">
        <w:tblPrEx>
          <w:tblCellMar>
            <w:top w:w="0" w:type="dxa"/>
            <w:left w:w="0" w:type="dxa"/>
            <w:bottom w:w="0" w:type="dxa"/>
            <w:right w:w="0" w:type="dxa"/>
          </w:tblCellMar>
        </w:tblPrEx>
        <w:trPr>
          <w:trHeight w:val="400" w:hRule="atLeast"/>
          <w:jc w:val="center"/>
        </w:trPr>
        <w:tc>
          <w:tcPr>
            <w:tcW w:w="3024" w:type="dxa"/>
            <w:tcBorders>
              <w:top w:val="nil"/>
              <w:left w:val="nil"/>
              <w:bottom w:val="nil"/>
              <w:right w:val="nil"/>
            </w:tcBorders>
            <w:shd w:val="clear" w:color="auto" w:fill="auto"/>
            <w:noWrap/>
            <w:tcMar>
              <w:top w:w="15" w:type="dxa"/>
              <w:left w:w="15" w:type="dxa"/>
              <w:right w:w="15" w:type="dxa"/>
            </w:tcMar>
            <w:vAlign w:val="center"/>
          </w:tcPr>
          <w:p w14:paraId="721A8A1E">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焙烤松脆食品</w:t>
            </w:r>
          </w:p>
        </w:tc>
        <w:tc>
          <w:tcPr>
            <w:tcW w:w="1174"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59F8DB14">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吨</w:t>
            </w:r>
          </w:p>
        </w:tc>
        <w:tc>
          <w:tcPr>
            <w:tcW w:w="1316" w:type="dxa"/>
            <w:tcBorders>
              <w:top w:val="nil"/>
              <w:left w:val="nil"/>
              <w:bottom w:val="nil"/>
              <w:right w:val="single" w:color="000000" w:sz="4" w:space="0"/>
            </w:tcBorders>
            <w:shd w:val="clear" w:color="auto" w:fill="auto"/>
            <w:noWrap/>
            <w:tcMar>
              <w:top w:w="15" w:type="dxa"/>
              <w:left w:w="15" w:type="dxa"/>
              <w:right w:w="15" w:type="dxa"/>
            </w:tcMar>
            <w:vAlign w:val="center"/>
          </w:tcPr>
          <w:p w14:paraId="38D678BA">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43.99</w:t>
            </w:r>
          </w:p>
        </w:tc>
        <w:tc>
          <w:tcPr>
            <w:tcW w:w="2181" w:type="dxa"/>
            <w:tcBorders>
              <w:top w:val="nil"/>
              <w:left w:val="nil"/>
              <w:bottom w:val="nil"/>
              <w:right w:val="nil"/>
            </w:tcBorders>
            <w:shd w:val="clear" w:color="auto" w:fill="auto"/>
            <w:noWrap/>
            <w:tcMar>
              <w:top w:w="15" w:type="dxa"/>
              <w:left w:w="15" w:type="dxa"/>
              <w:right w:w="15" w:type="dxa"/>
            </w:tcMar>
            <w:vAlign w:val="center"/>
          </w:tcPr>
          <w:p w14:paraId="18275D8D">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83.3 </w:t>
            </w:r>
          </w:p>
        </w:tc>
      </w:tr>
      <w:tr w14:paraId="6BE5E989">
        <w:tblPrEx>
          <w:shd w:val="clear" w:color="auto" w:fill="auto"/>
          <w:tblCellMar>
            <w:top w:w="0" w:type="dxa"/>
            <w:left w:w="0" w:type="dxa"/>
            <w:bottom w:w="0" w:type="dxa"/>
            <w:right w:w="0" w:type="dxa"/>
          </w:tblCellMar>
        </w:tblPrEx>
        <w:trPr>
          <w:trHeight w:val="400" w:hRule="atLeast"/>
          <w:jc w:val="center"/>
        </w:trPr>
        <w:tc>
          <w:tcPr>
            <w:tcW w:w="3024" w:type="dxa"/>
            <w:tcBorders>
              <w:top w:val="nil"/>
              <w:left w:val="nil"/>
              <w:bottom w:val="single" w:color="auto" w:sz="12" w:space="0"/>
              <w:right w:val="nil"/>
            </w:tcBorders>
            <w:shd w:val="clear" w:color="auto" w:fill="auto"/>
            <w:noWrap/>
            <w:tcMar>
              <w:top w:w="15" w:type="dxa"/>
              <w:left w:w="15" w:type="dxa"/>
              <w:right w:w="15" w:type="dxa"/>
            </w:tcMar>
            <w:vAlign w:val="center"/>
          </w:tcPr>
          <w:p w14:paraId="1BF2FD4D">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糖果</w:t>
            </w:r>
          </w:p>
        </w:tc>
        <w:tc>
          <w:tcPr>
            <w:tcW w:w="1174" w:type="dxa"/>
            <w:tcBorders>
              <w:top w:val="nil"/>
              <w:left w:val="single" w:color="000000" w:sz="4" w:space="0"/>
              <w:bottom w:val="single" w:color="auto" w:sz="12" w:space="0"/>
              <w:right w:val="single" w:color="000000" w:sz="4" w:space="0"/>
            </w:tcBorders>
            <w:shd w:val="clear" w:color="auto" w:fill="auto"/>
            <w:noWrap/>
            <w:tcMar>
              <w:top w:w="15" w:type="dxa"/>
              <w:left w:w="15" w:type="dxa"/>
              <w:right w:w="15" w:type="dxa"/>
            </w:tcMar>
            <w:vAlign w:val="center"/>
          </w:tcPr>
          <w:p w14:paraId="47B2BCE4">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吨</w:t>
            </w:r>
          </w:p>
        </w:tc>
        <w:tc>
          <w:tcPr>
            <w:tcW w:w="1316" w:type="dxa"/>
            <w:tcBorders>
              <w:top w:val="nil"/>
              <w:left w:val="nil"/>
              <w:bottom w:val="single" w:color="auto" w:sz="12" w:space="0"/>
              <w:right w:val="single" w:color="000000" w:sz="4" w:space="0"/>
            </w:tcBorders>
            <w:shd w:val="clear" w:color="auto" w:fill="auto"/>
            <w:noWrap/>
            <w:tcMar>
              <w:top w:w="15" w:type="dxa"/>
              <w:left w:w="15" w:type="dxa"/>
              <w:right w:w="15" w:type="dxa"/>
            </w:tcMar>
            <w:vAlign w:val="center"/>
          </w:tcPr>
          <w:p w14:paraId="52898B5A">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327.32</w:t>
            </w:r>
          </w:p>
        </w:tc>
        <w:tc>
          <w:tcPr>
            <w:tcW w:w="2181" w:type="dxa"/>
            <w:tcBorders>
              <w:top w:val="nil"/>
              <w:left w:val="nil"/>
              <w:bottom w:val="single" w:color="auto" w:sz="12" w:space="0"/>
              <w:right w:val="nil"/>
            </w:tcBorders>
            <w:shd w:val="clear" w:color="auto" w:fill="auto"/>
            <w:noWrap/>
            <w:tcMar>
              <w:top w:w="15" w:type="dxa"/>
              <w:left w:w="15" w:type="dxa"/>
              <w:right w:w="15" w:type="dxa"/>
            </w:tcMar>
            <w:vAlign w:val="center"/>
          </w:tcPr>
          <w:p w14:paraId="6E08E0D2">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42.3 </w:t>
            </w:r>
          </w:p>
        </w:tc>
      </w:tr>
    </w:tbl>
    <w:p w14:paraId="34E136DA">
      <w:pPr>
        <w:keepNext w:val="0"/>
        <w:keepLines w:val="0"/>
        <w:pageBreakBefore w:val="0"/>
        <w:kinsoku/>
        <w:wordWrap/>
        <w:overflowPunct/>
        <w:topLinePunct w:val="0"/>
        <w:bidi w:val="0"/>
        <w:snapToGrid/>
        <w:spacing w:line="560" w:lineRule="exact"/>
        <w:ind w:firstLine="672" w:firstLineChars="200"/>
        <w:jc w:val="left"/>
        <w:rPr>
          <w:rStyle w:val="9"/>
          <w:rFonts w:hint="eastAsia" w:ascii="黑体" w:hAnsi="黑体" w:eastAsia="黑体" w:cs="黑体"/>
          <w:b w:val="0"/>
          <w:bCs w:val="0"/>
          <w:i w:val="0"/>
          <w:caps w:val="0"/>
          <w:color w:val="000000" w:themeColor="text1"/>
          <w:spacing w:val="8"/>
          <w:sz w:val="32"/>
          <w:szCs w:val="32"/>
          <w:shd w:val="clear" w:color="auto" w:fill="auto"/>
          <w14:textFill>
            <w14:solidFill>
              <w14:schemeClr w14:val="tx1"/>
            </w14:solidFill>
          </w14:textFill>
        </w:rPr>
      </w:pPr>
      <w:r>
        <w:rPr>
          <w:rStyle w:val="9"/>
          <w:rFonts w:hint="eastAsia" w:ascii="黑体" w:hAnsi="黑体" w:eastAsia="黑体" w:cs="黑体"/>
          <w:b w:val="0"/>
          <w:bCs w:val="0"/>
          <w:i w:val="0"/>
          <w:caps w:val="0"/>
          <w:color w:val="000000" w:themeColor="text1"/>
          <w:spacing w:val="8"/>
          <w:sz w:val="32"/>
          <w:szCs w:val="32"/>
          <w:shd w:val="clear" w:color="auto" w:fill="auto"/>
          <w14:textFill>
            <w14:solidFill>
              <w14:schemeClr w14:val="tx1"/>
            </w14:solidFill>
          </w14:textFill>
        </w:rPr>
        <w:t>四、服务业</w:t>
      </w:r>
    </w:p>
    <w:p w14:paraId="1A855C6E">
      <w:pPr>
        <w:keepNext w:val="0"/>
        <w:keepLines w:val="0"/>
        <w:pageBreakBefore w:val="0"/>
        <w:tabs>
          <w:tab w:val="left" w:pos="726"/>
        </w:tabs>
        <w:kinsoku/>
        <w:wordWrap/>
        <w:overflowPunct/>
        <w:topLinePunct w:val="0"/>
        <w:bidi w:val="0"/>
        <w:snapToGrid/>
        <w:spacing w:line="560" w:lineRule="exact"/>
        <w:ind w:firstLine="640" w:firstLineChars="200"/>
        <w:rPr>
          <w:rFonts w:hint="eastAsia" w:ascii="仿宋_GB2312" w:hAnsi="仿宋_GB2312" w:eastAsia="仿宋_GB2312" w:cs="仿宋_GB2312"/>
          <w:color w:val="0000FF"/>
          <w:sz w:val="32"/>
          <w:szCs w:val="32"/>
          <w:shd w:val="clear" w:color="auto" w:fill="FFFFFF"/>
          <w:lang w:val="en-US" w:eastAsia="zh-CN"/>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全年全市批发和零售业增加值35.71亿元，比上年增长0.6%；交通运输、仓储和邮政业增加值7.25亿元，下降10.1%；住宿和餐饮业增加值19.51亿元，下降10.4%；金融业增加值12.84亿元，增长4.3%；房地产业增加值25.72亿元，下降6.1%；其他服务业增加值49.81亿元，增长5.9%。全年规模以上服务业企业营业收入比上年增长10.1%，每百元营业收入中的成本为62.7元，营业收入利润率为3.07%。</w:t>
      </w:r>
    </w:p>
    <w:p w14:paraId="73A60ECD">
      <w:pPr>
        <w:keepNext w:val="0"/>
        <w:keepLines w:val="0"/>
        <w:pageBreakBefore w:val="0"/>
        <w:tabs>
          <w:tab w:val="left" w:pos="726"/>
        </w:tabs>
        <w:kinsoku/>
        <w:wordWrap/>
        <w:overflowPunct/>
        <w:topLinePunct w:val="0"/>
        <w:bidi w:val="0"/>
        <w:snapToGrid/>
        <w:spacing w:line="560" w:lineRule="exact"/>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全年货物运输量216万吨，货物运输周转量8904万吨公里。全年旅客运输量273万人，旅客运输周转量9361万人公里。全年博鳌机场旅客吞吐量56.26万人次，比上年增长0.6%；货邮吞吐量552.05吨，比上年增长3.3%。高速公路通车里程112.42公里，比上年增长34.1%。各种运输方式旅客和货物运输情况见表4。</w:t>
      </w:r>
    </w:p>
    <w:tbl>
      <w:tblPr>
        <w:tblStyle w:val="7"/>
        <w:tblW w:w="7720" w:type="dxa"/>
        <w:jc w:val="center"/>
        <w:shd w:val="clear" w:color="auto" w:fill="auto"/>
        <w:tblLayout w:type="fixed"/>
        <w:tblCellMar>
          <w:top w:w="0" w:type="dxa"/>
          <w:left w:w="0" w:type="dxa"/>
          <w:bottom w:w="0" w:type="dxa"/>
          <w:right w:w="0" w:type="dxa"/>
        </w:tblCellMar>
      </w:tblPr>
      <w:tblGrid>
        <w:gridCol w:w="2361"/>
        <w:gridCol w:w="1367"/>
        <w:gridCol w:w="1454"/>
        <w:gridCol w:w="2538"/>
      </w:tblGrid>
      <w:tr w14:paraId="5729136B">
        <w:tblPrEx>
          <w:shd w:val="clear" w:color="auto" w:fill="auto"/>
          <w:tblCellMar>
            <w:top w:w="0" w:type="dxa"/>
            <w:left w:w="0" w:type="dxa"/>
            <w:bottom w:w="0" w:type="dxa"/>
            <w:right w:w="0" w:type="dxa"/>
          </w:tblCellMar>
        </w:tblPrEx>
        <w:trPr>
          <w:trHeight w:val="674" w:hRule="atLeast"/>
          <w:jc w:val="center"/>
        </w:trPr>
        <w:tc>
          <w:tcPr>
            <w:tcW w:w="7720" w:type="dxa"/>
            <w:gridSpan w:val="4"/>
            <w:tcBorders>
              <w:top w:val="nil"/>
              <w:left w:val="nil"/>
              <w:bottom w:val="single" w:color="auto" w:sz="12" w:space="0"/>
              <w:right w:val="nil"/>
            </w:tcBorders>
            <w:shd w:val="clear" w:color="auto" w:fill="auto"/>
            <w:noWrap/>
            <w:tcMar>
              <w:top w:w="15" w:type="dxa"/>
              <w:left w:w="15" w:type="dxa"/>
              <w:right w:w="15" w:type="dxa"/>
            </w:tcMar>
            <w:vAlign w:val="center"/>
          </w:tcPr>
          <w:p w14:paraId="382C92F1">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黑体" w:hAnsi="黑体" w:eastAsia="黑体" w:cs="黑体"/>
                <w:i w:val="0"/>
                <w:color w:val="000000" w:themeColor="text1"/>
                <w:kern w:val="0"/>
                <w:sz w:val="30"/>
                <w:szCs w:val="30"/>
                <w:u w:val="none"/>
                <w:lang w:val="en-US" w:eastAsia="zh-CN" w:bidi="ar"/>
                <w14:textFill>
                  <w14:solidFill>
                    <w14:schemeClr w14:val="tx1"/>
                  </w14:solidFill>
                </w14:textFill>
              </w:rPr>
              <w:t>表4   2020年运输方式旅客和货物运输情况</w:t>
            </w:r>
          </w:p>
        </w:tc>
      </w:tr>
      <w:tr w14:paraId="22B5ED3F">
        <w:tblPrEx>
          <w:shd w:val="clear" w:color="auto" w:fill="auto"/>
          <w:tblCellMar>
            <w:top w:w="0" w:type="dxa"/>
            <w:left w:w="0" w:type="dxa"/>
            <w:bottom w:w="0" w:type="dxa"/>
            <w:right w:w="0" w:type="dxa"/>
          </w:tblCellMar>
        </w:tblPrEx>
        <w:trPr>
          <w:trHeight w:val="505" w:hRule="atLeast"/>
          <w:jc w:val="center"/>
        </w:trPr>
        <w:tc>
          <w:tcPr>
            <w:tcW w:w="2361" w:type="dxa"/>
            <w:tcBorders>
              <w:top w:val="single" w:color="auto" w:sz="12" w:space="0"/>
              <w:left w:val="nil"/>
              <w:bottom w:val="single" w:color="000000" w:sz="4" w:space="0"/>
              <w:right w:val="single" w:color="000000" w:sz="4" w:space="0"/>
            </w:tcBorders>
            <w:shd w:val="clear" w:color="auto" w:fill="auto"/>
            <w:noWrap/>
            <w:tcMar>
              <w:top w:w="15" w:type="dxa"/>
              <w:left w:w="15" w:type="dxa"/>
              <w:right w:w="15" w:type="dxa"/>
            </w:tcMar>
            <w:vAlign w:val="center"/>
          </w:tcPr>
          <w:p w14:paraId="04197311">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指标</w:t>
            </w:r>
          </w:p>
        </w:tc>
        <w:tc>
          <w:tcPr>
            <w:tcW w:w="1367" w:type="dxa"/>
            <w:tcBorders>
              <w:top w:val="single" w:color="auto" w:sz="12" w:space="0"/>
              <w:left w:val="nil"/>
              <w:bottom w:val="single" w:color="000000" w:sz="4" w:space="0"/>
              <w:right w:val="single" w:color="000000" w:sz="4" w:space="0"/>
            </w:tcBorders>
            <w:shd w:val="clear" w:color="auto" w:fill="auto"/>
            <w:noWrap/>
            <w:tcMar>
              <w:top w:w="15" w:type="dxa"/>
              <w:left w:w="15" w:type="dxa"/>
              <w:right w:w="15" w:type="dxa"/>
            </w:tcMar>
            <w:vAlign w:val="center"/>
          </w:tcPr>
          <w:p w14:paraId="486378FD">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单位</w:t>
            </w:r>
          </w:p>
        </w:tc>
        <w:tc>
          <w:tcPr>
            <w:tcW w:w="1454" w:type="dxa"/>
            <w:tcBorders>
              <w:top w:val="single" w:color="auto" w:sz="12" w:space="0"/>
              <w:left w:val="single" w:color="000000" w:sz="4" w:space="0"/>
              <w:bottom w:val="single" w:color="000000" w:sz="4" w:space="0"/>
              <w:right w:val="nil"/>
            </w:tcBorders>
            <w:shd w:val="clear" w:color="auto" w:fill="auto"/>
            <w:noWrap/>
            <w:tcMar>
              <w:top w:w="15" w:type="dxa"/>
              <w:left w:w="15" w:type="dxa"/>
              <w:right w:w="15" w:type="dxa"/>
            </w:tcMar>
            <w:vAlign w:val="center"/>
          </w:tcPr>
          <w:p w14:paraId="36020935">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绝对数</w:t>
            </w:r>
          </w:p>
        </w:tc>
        <w:tc>
          <w:tcPr>
            <w:tcW w:w="2538" w:type="dxa"/>
            <w:tcBorders>
              <w:top w:val="single" w:color="auto" w:sz="12" w:space="0"/>
              <w:left w:val="single" w:color="000000" w:sz="4" w:space="0"/>
              <w:bottom w:val="single" w:color="000000" w:sz="4" w:space="0"/>
              <w:right w:val="nil"/>
            </w:tcBorders>
            <w:shd w:val="clear" w:color="auto" w:fill="auto"/>
            <w:noWrap/>
            <w:tcMar>
              <w:top w:w="15" w:type="dxa"/>
              <w:left w:w="15" w:type="dxa"/>
              <w:right w:w="15" w:type="dxa"/>
            </w:tcMar>
            <w:vAlign w:val="center"/>
          </w:tcPr>
          <w:p w14:paraId="028F657C">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比上年增减（%）</w:t>
            </w:r>
          </w:p>
        </w:tc>
      </w:tr>
      <w:tr w14:paraId="12D02A92">
        <w:tblPrEx>
          <w:shd w:val="clear" w:color="auto" w:fill="auto"/>
          <w:tblCellMar>
            <w:top w:w="0" w:type="dxa"/>
            <w:left w:w="0" w:type="dxa"/>
            <w:bottom w:w="0" w:type="dxa"/>
            <w:right w:w="0" w:type="dxa"/>
          </w:tblCellMar>
        </w:tblPrEx>
        <w:trPr>
          <w:trHeight w:val="425" w:hRule="atLeast"/>
          <w:jc w:val="center"/>
        </w:trPr>
        <w:tc>
          <w:tcPr>
            <w:tcW w:w="2361" w:type="dxa"/>
            <w:tcBorders>
              <w:top w:val="nil"/>
              <w:left w:val="nil"/>
              <w:bottom w:val="nil"/>
              <w:right w:val="nil"/>
            </w:tcBorders>
            <w:shd w:val="clear" w:color="auto" w:fill="auto"/>
            <w:noWrap/>
            <w:tcMar>
              <w:top w:w="15" w:type="dxa"/>
              <w:left w:w="15" w:type="dxa"/>
              <w:right w:w="15" w:type="dxa"/>
            </w:tcMar>
            <w:vAlign w:val="bottom"/>
          </w:tcPr>
          <w:p w14:paraId="5665E085">
            <w:pPr>
              <w:keepNext w:val="0"/>
              <w:keepLines w:val="0"/>
              <w:widowControl/>
              <w:suppressLineNumbers w:val="0"/>
              <w:jc w:val="left"/>
              <w:textAlignment w:val="bottom"/>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一、公路</w:t>
            </w:r>
          </w:p>
        </w:tc>
        <w:tc>
          <w:tcPr>
            <w:tcW w:w="1367"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65777AF1">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454" w:type="dxa"/>
            <w:tcBorders>
              <w:top w:val="nil"/>
              <w:left w:val="nil"/>
              <w:bottom w:val="nil"/>
              <w:right w:val="single" w:color="000000" w:sz="4" w:space="0"/>
            </w:tcBorders>
            <w:shd w:val="clear" w:color="auto" w:fill="auto"/>
            <w:noWrap/>
            <w:tcMar>
              <w:top w:w="15" w:type="dxa"/>
              <w:left w:w="15" w:type="dxa"/>
              <w:right w:w="15" w:type="dxa"/>
            </w:tcMar>
            <w:vAlign w:val="bottom"/>
          </w:tcPr>
          <w:p w14:paraId="58C1313D">
            <w:pPr>
              <w:jc w:val="right"/>
              <w:rPr>
                <w:rFonts w:hint="eastAsia" w:ascii="宋体" w:hAnsi="宋体" w:eastAsia="宋体" w:cs="宋体"/>
                <w:i w:val="0"/>
                <w:color w:val="000000" w:themeColor="text1"/>
                <w:sz w:val="24"/>
                <w:szCs w:val="24"/>
                <w:u w:val="none"/>
                <w14:textFill>
                  <w14:solidFill>
                    <w14:schemeClr w14:val="tx1"/>
                  </w14:solidFill>
                </w14:textFill>
              </w:rPr>
            </w:pPr>
          </w:p>
        </w:tc>
        <w:tc>
          <w:tcPr>
            <w:tcW w:w="2538" w:type="dxa"/>
            <w:tcBorders>
              <w:top w:val="nil"/>
              <w:left w:val="nil"/>
              <w:bottom w:val="nil"/>
              <w:right w:val="nil"/>
            </w:tcBorders>
            <w:shd w:val="clear" w:color="auto" w:fill="auto"/>
            <w:noWrap/>
            <w:tcMar>
              <w:top w:w="15" w:type="dxa"/>
              <w:left w:w="15" w:type="dxa"/>
              <w:right w:w="15" w:type="dxa"/>
            </w:tcMar>
            <w:vAlign w:val="center"/>
          </w:tcPr>
          <w:p w14:paraId="7E686684">
            <w:pPr>
              <w:jc w:val="right"/>
              <w:rPr>
                <w:rFonts w:hint="eastAsia" w:ascii="宋体" w:hAnsi="宋体" w:eastAsia="宋体" w:cs="宋体"/>
                <w:i w:val="0"/>
                <w:color w:val="000000" w:themeColor="text1"/>
                <w:sz w:val="24"/>
                <w:szCs w:val="24"/>
                <w:u w:val="none"/>
                <w14:textFill>
                  <w14:solidFill>
                    <w14:schemeClr w14:val="tx1"/>
                  </w14:solidFill>
                </w14:textFill>
              </w:rPr>
            </w:pPr>
          </w:p>
        </w:tc>
      </w:tr>
      <w:tr w14:paraId="5AC98E48">
        <w:tblPrEx>
          <w:shd w:val="clear" w:color="auto" w:fill="auto"/>
          <w:tblCellMar>
            <w:top w:w="0" w:type="dxa"/>
            <w:left w:w="0" w:type="dxa"/>
            <w:bottom w:w="0" w:type="dxa"/>
            <w:right w:w="0" w:type="dxa"/>
          </w:tblCellMar>
        </w:tblPrEx>
        <w:trPr>
          <w:trHeight w:val="415" w:hRule="atLeast"/>
          <w:jc w:val="center"/>
        </w:trPr>
        <w:tc>
          <w:tcPr>
            <w:tcW w:w="2361" w:type="dxa"/>
            <w:tcBorders>
              <w:top w:val="nil"/>
              <w:left w:val="nil"/>
              <w:bottom w:val="nil"/>
              <w:right w:val="nil"/>
            </w:tcBorders>
            <w:shd w:val="clear" w:color="auto" w:fill="auto"/>
            <w:noWrap/>
            <w:tcMar>
              <w:top w:w="15" w:type="dxa"/>
              <w:left w:w="15" w:type="dxa"/>
              <w:right w:w="15" w:type="dxa"/>
            </w:tcMar>
            <w:vAlign w:val="bottom"/>
          </w:tcPr>
          <w:p w14:paraId="1E449C4E">
            <w:pPr>
              <w:keepNext w:val="0"/>
              <w:keepLines w:val="0"/>
              <w:widowControl/>
              <w:suppressLineNumbers w:val="0"/>
              <w:jc w:val="left"/>
              <w:textAlignment w:val="bottom"/>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货运量</w:t>
            </w:r>
          </w:p>
        </w:tc>
        <w:tc>
          <w:tcPr>
            <w:tcW w:w="1367"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0ACBFEF9">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万吨</w:t>
            </w:r>
          </w:p>
        </w:tc>
        <w:tc>
          <w:tcPr>
            <w:tcW w:w="1454" w:type="dxa"/>
            <w:tcBorders>
              <w:top w:val="nil"/>
              <w:left w:val="nil"/>
              <w:bottom w:val="nil"/>
              <w:right w:val="single" w:color="000000" w:sz="4" w:space="0"/>
            </w:tcBorders>
            <w:shd w:val="clear" w:color="auto" w:fill="auto"/>
            <w:noWrap/>
            <w:tcMar>
              <w:top w:w="15" w:type="dxa"/>
              <w:left w:w="15" w:type="dxa"/>
              <w:right w:w="15" w:type="dxa"/>
            </w:tcMar>
            <w:vAlign w:val="center"/>
          </w:tcPr>
          <w:p w14:paraId="7DF12129">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216 </w:t>
            </w:r>
          </w:p>
        </w:tc>
        <w:tc>
          <w:tcPr>
            <w:tcW w:w="2538" w:type="dxa"/>
            <w:tcBorders>
              <w:top w:val="nil"/>
              <w:left w:val="nil"/>
              <w:bottom w:val="nil"/>
              <w:right w:val="nil"/>
            </w:tcBorders>
            <w:shd w:val="clear" w:color="auto" w:fill="auto"/>
            <w:noWrap/>
            <w:tcMar>
              <w:top w:w="15" w:type="dxa"/>
              <w:left w:w="15" w:type="dxa"/>
              <w:right w:w="15" w:type="dxa"/>
            </w:tcMar>
            <w:vAlign w:val="center"/>
          </w:tcPr>
          <w:p w14:paraId="7FCE9FE6">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-49.3 </w:t>
            </w:r>
          </w:p>
        </w:tc>
      </w:tr>
      <w:tr w14:paraId="252E1372">
        <w:tblPrEx>
          <w:shd w:val="clear" w:color="auto" w:fill="auto"/>
          <w:tblCellMar>
            <w:top w:w="0" w:type="dxa"/>
            <w:left w:w="0" w:type="dxa"/>
            <w:bottom w:w="0" w:type="dxa"/>
            <w:right w:w="0" w:type="dxa"/>
          </w:tblCellMar>
        </w:tblPrEx>
        <w:trPr>
          <w:trHeight w:val="415" w:hRule="atLeast"/>
          <w:jc w:val="center"/>
        </w:trPr>
        <w:tc>
          <w:tcPr>
            <w:tcW w:w="2361" w:type="dxa"/>
            <w:tcBorders>
              <w:top w:val="nil"/>
              <w:left w:val="nil"/>
              <w:bottom w:val="nil"/>
              <w:right w:val="nil"/>
            </w:tcBorders>
            <w:shd w:val="clear" w:color="auto" w:fill="auto"/>
            <w:noWrap/>
            <w:tcMar>
              <w:top w:w="15" w:type="dxa"/>
              <w:left w:w="15" w:type="dxa"/>
              <w:right w:w="15" w:type="dxa"/>
            </w:tcMar>
            <w:vAlign w:val="bottom"/>
          </w:tcPr>
          <w:p w14:paraId="008C9CDE">
            <w:pPr>
              <w:keepNext w:val="0"/>
              <w:keepLines w:val="0"/>
              <w:widowControl/>
              <w:suppressLineNumbers w:val="0"/>
              <w:jc w:val="left"/>
              <w:textAlignment w:val="bottom"/>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货物周转量</w:t>
            </w:r>
          </w:p>
        </w:tc>
        <w:tc>
          <w:tcPr>
            <w:tcW w:w="1367"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7974D85E">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万吨公里</w:t>
            </w:r>
          </w:p>
        </w:tc>
        <w:tc>
          <w:tcPr>
            <w:tcW w:w="1454" w:type="dxa"/>
            <w:tcBorders>
              <w:top w:val="nil"/>
              <w:left w:val="nil"/>
              <w:bottom w:val="nil"/>
              <w:right w:val="single" w:color="000000" w:sz="4" w:space="0"/>
            </w:tcBorders>
            <w:shd w:val="clear" w:color="auto" w:fill="auto"/>
            <w:noWrap/>
            <w:tcMar>
              <w:top w:w="15" w:type="dxa"/>
              <w:left w:w="15" w:type="dxa"/>
              <w:right w:w="15" w:type="dxa"/>
            </w:tcMar>
            <w:vAlign w:val="center"/>
          </w:tcPr>
          <w:p w14:paraId="7A684A40">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8904 </w:t>
            </w:r>
          </w:p>
        </w:tc>
        <w:tc>
          <w:tcPr>
            <w:tcW w:w="2538" w:type="dxa"/>
            <w:tcBorders>
              <w:top w:val="nil"/>
              <w:left w:val="nil"/>
              <w:bottom w:val="nil"/>
              <w:right w:val="nil"/>
            </w:tcBorders>
            <w:shd w:val="clear" w:color="auto" w:fill="auto"/>
            <w:noWrap/>
            <w:tcMar>
              <w:top w:w="15" w:type="dxa"/>
              <w:left w:w="15" w:type="dxa"/>
              <w:right w:w="15" w:type="dxa"/>
            </w:tcMar>
            <w:vAlign w:val="center"/>
          </w:tcPr>
          <w:p w14:paraId="3F10B2A7">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-65.5 </w:t>
            </w:r>
          </w:p>
        </w:tc>
      </w:tr>
      <w:tr w14:paraId="38474DF0">
        <w:tblPrEx>
          <w:shd w:val="clear" w:color="auto" w:fill="auto"/>
          <w:tblCellMar>
            <w:top w:w="0" w:type="dxa"/>
            <w:left w:w="0" w:type="dxa"/>
            <w:bottom w:w="0" w:type="dxa"/>
            <w:right w:w="0" w:type="dxa"/>
          </w:tblCellMar>
        </w:tblPrEx>
        <w:trPr>
          <w:trHeight w:val="415" w:hRule="atLeast"/>
          <w:jc w:val="center"/>
        </w:trPr>
        <w:tc>
          <w:tcPr>
            <w:tcW w:w="2361" w:type="dxa"/>
            <w:tcBorders>
              <w:top w:val="nil"/>
              <w:left w:val="nil"/>
              <w:bottom w:val="nil"/>
              <w:right w:val="nil"/>
            </w:tcBorders>
            <w:shd w:val="clear" w:color="auto" w:fill="auto"/>
            <w:noWrap/>
            <w:tcMar>
              <w:top w:w="15" w:type="dxa"/>
              <w:left w:w="15" w:type="dxa"/>
              <w:right w:w="15" w:type="dxa"/>
            </w:tcMar>
            <w:vAlign w:val="bottom"/>
          </w:tcPr>
          <w:p w14:paraId="0F0CFD2D">
            <w:pPr>
              <w:keepNext w:val="0"/>
              <w:keepLines w:val="0"/>
              <w:widowControl/>
              <w:suppressLineNumbers w:val="0"/>
              <w:jc w:val="left"/>
              <w:textAlignment w:val="bottom"/>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客运量</w:t>
            </w:r>
          </w:p>
        </w:tc>
        <w:tc>
          <w:tcPr>
            <w:tcW w:w="1367"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7DDA8F9E">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万人</w:t>
            </w:r>
          </w:p>
        </w:tc>
        <w:tc>
          <w:tcPr>
            <w:tcW w:w="1454" w:type="dxa"/>
            <w:tcBorders>
              <w:top w:val="nil"/>
              <w:left w:val="nil"/>
              <w:bottom w:val="nil"/>
              <w:right w:val="single" w:color="000000" w:sz="4" w:space="0"/>
            </w:tcBorders>
            <w:shd w:val="clear" w:color="auto" w:fill="auto"/>
            <w:noWrap/>
            <w:tcMar>
              <w:top w:w="15" w:type="dxa"/>
              <w:left w:w="15" w:type="dxa"/>
              <w:right w:w="15" w:type="dxa"/>
            </w:tcMar>
            <w:vAlign w:val="center"/>
          </w:tcPr>
          <w:p w14:paraId="5CB2AD8A">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238 </w:t>
            </w:r>
          </w:p>
        </w:tc>
        <w:tc>
          <w:tcPr>
            <w:tcW w:w="2538" w:type="dxa"/>
            <w:tcBorders>
              <w:top w:val="nil"/>
              <w:left w:val="nil"/>
              <w:bottom w:val="nil"/>
              <w:right w:val="nil"/>
            </w:tcBorders>
            <w:shd w:val="clear" w:color="auto" w:fill="auto"/>
            <w:noWrap/>
            <w:tcMar>
              <w:top w:w="15" w:type="dxa"/>
              <w:left w:w="15" w:type="dxa"/>
              <w:right w:w="15" w:type="dxa"/>
            </w:tcMar>
            <w:vAlign w:val="center"/>
          </w:tcPr>
          <w:p w14:paraId="1F8A8935">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-43.2 </w:t>
            </w:r>
          </w:p>
        </w:tc>
      </w:tr>
      <w:tr w14:paraId="2951DD0D">
        <w:tblPrEx>
          <w:shd w:val="clear" w:color="auto" w:fill="auto"/>
          <w:tblCellMar>
            <w:top w:w="0" w:type="dxa"/>
            <w:left w:w="0" w:type="dxa"/>
            <w:bottom w:w="0" w:type="dxa"/>
            <w:right w:w="0" w:type="dxa"/>
          </w:tblCellMar>
        </w:tblPrEx>
        <w:trPr>
          <w:trHeight w:val="415" w:hRule="atLeast"/>
          <w:jc w:val="center"/>
        </w:trPr>
        <w:tc>
          <w:tcPr>
            <w:tcW w:w="2361" w:type="dxa"/>
            <w:tcBorders>
              <w:top w:val="nil"/>
              <w:left w:val="nil"/>
              <w:bottom w:val="nil"/>
              <w:right w:val="nil"/>
            </w:tcBorders>
            <w:shd w:val="clear" w:color="auto" w:fill="auto"/>
            <w:noWrap/>
            <w:tcMar>
              <w:top w:w="15" w:type="dxa"/>
              <w:left w:w="15" w:type="dxa"/>
              <w:right w:w="15" w:type="dxa"/>
            </w:tcMar>
            <w:vAlign w:val="bottom"/>
          </w:tcPr>
          <w:p w14:paraId="4C3F6277">
            <w:pPr>
              <w:keepNext w:val="0"/>
              <w:keepLines w:val="0"/>
              <w:widowControl/>
              <w:suppressLineNumbers w:val="0"/>
              <w:jc w:val="left"/>
              <w:textAlignment w:val="bottom"/>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旅客周转量</w:t>
            </w:r>
          </w:p>
        </w:tc>
        <w:tc>
          <w:tcPr>
            <w:tcW w:w="1367"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0FCEA104">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万人公里</w:t>
            </w:r>
          </w:p>
        </w:tc>
        <w:tc>
          <w:tcPr>
            <w:tcW w:w="1454" w:type="dxa"/>
            <w:tcBorders>
              <w:top w:val="nil"/>
              <w:left w:val="nil"/>
              <w:bottom w:val="nil"/>
              <w:right w:val="single" w:color="000000" w:sz="4" w:space="0"/>
            </w:tcBorders>
            <w:shd w:val="clear" w:color="auto" w:fill="auto"/>
            <w:noWrap/>
            <w:tcMar>
              <w:top w:w="15" w:type="dxa"/>
              <w:left w:w="15" w:type="dxa"/>
              <w:right w:w="15" w:type="dxa"/>
            </w:tcMar>
            <w:vAlign w:val="center"/>
          </w:tcPr>
          <w:p w14:paraId="516269E9">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9242 </w:t>
            </w:r>
          </w:p>
        </w:tc>
        <w:tc>
          <w:tcPr>
            <w:tcW w:w="2538" w:type="dxa"/>
            <w:tcBorders>
              <w:top w:val="nil"/>
              <w:left w:val="nil"/>
              <w:bottom w:val="nil"/>
              <w:right w:val="nil"/>
            </w:tcBorders>
            <w:shd w:val="clear" w:color="auto" w:fill="auto"/>
            <w:noWrap/>
            <w:tcMar>
              <w:top w:w="15" w:type="dxa"/>
              <w:left w:w="15" w:type="dxa"/>
              <w:right w:w="15" w:type="dxa"/>
            </w:tcMar>
            <w:vAlign w:val="center"/>
          </w:tcPr>
          <w:p w14:paraId="06F2F644">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-43.5 </w:t>
            </w:r>
          </w:p>
        </w:tc>
      </w:tr>
      <w:tr w14:paraId="781B9D84">
        <w:tblPrEx>
          <w:shd w:val="clear" w:color="auto" w:fill="auto"/>
          <w:tblCellMar>
            <w:top w:w="0" w:type="dxa"/>
            <w:left w:w="0" w:type="dxa"/>
            <w:bottom w:w="0" w:type="dxa"/>
            <w:right w:w="0" w:type="dxa"/>
          </w:tblCellMar>
        </w:tblPrEx>
        <w:trPr>
          <w:trHeight w:val="415" w:hRule="atLeast"/>
          <w:jc w:val="center"/>
        </w:trPr>
        <w:tc>
          <w:tcPr>
            <w:tcW w:w="2361" w:type="dxa"/>
            <w:tcBorders>
              <w:top w:val="nil"/>
              <w:left w:val="nil"/>
              <w:bottom w:val="nil"/>
              <w:right w:val="nil"/>
            </w:tcBorders>
            <w:shd w:val="clear" w:color="auto" w:fill="auto"/>
            <w:noWrap/>
            <w:tcMar>
              <w:top w:w="15" w:type="dxa"/>
              <w:left w:w="15" w:type="dxa"/>
              <w:right w:w="15" w:type="dxa"/>
            </w:tcMar>
            <w:vAlign w:val="bottom"/>
          </w:tcPr>
          <w:p w14:paraId="77FA2532">
            <w:pPr>
              <w:keepNext w:val="0"/>
              <w:keepLines w:val="0"/>
              <w:widowControl/>
              <w:suppressLineNumbers w:val="0"/>
              <w:jc w:val="left"/>
              <w:textAlignment w:val="bottom"/>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二、水运</w:t>
            </w:r>
          </w:p>
        </w:tc>
        <w:tc>
          <w:tcPr>
            <w:tcW w:w="1367"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34725B5E">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454" w:type="dxa"/>
            <w:tcBorders>
              <w:top w:val="nil"/>
              <w:left w:val="nil"/>
              <w:bottom w:val="nil"/>
              <w:right w:val="single" w:color="000000" w:sz="4" w:space="0"/>
            </w:tcBorders>
            <w:shd w:val="clear" w:color="auto" w:fill="auto"/>
            <w:noWrap/>
            <w:tcMar>
              <w:top w:w="15" w:type="dxa"/>
              <w:left w:w="15" w:type="dxa"/>
              <w:right w:w="15" w:type="dxa"/>
            </w:tcMar>
            <w:vAlign w:val="center"/>
          </w:tcPr>
          <w:p w14:paraId="2B7F748A">
            <w:pPr>
              <w:jc w:val="right"/>
              <w:rPr>
                <w:rFonts w:hint="eastAsia" w:ascii="宋体" w:hAnsi="宋体" w:eastAsia="宋体" w:cs="宋体"/>
                <w:i w:val="0"/>
                <w:color w:val="000000" w:themeColor="text1"/>
                <w:sz w:val="24"/>
                <w:szCs w:val="24"/>
                <w:u w:val="none"/>
                <w14:textFill>
                  <w14:solidFill>
                    <w14:schemeClr w14:val="tx1"/>
                  </w14:solidFill>
                </w14:textFill>
              </w:rPr>
            </w:pPr>
          </w:p>
        </w:tc>
        <w:tc>
          <w:tcPr>
            <w:tcW w:w="2538" w:type="dxa"/>
            <w:tcBorders>
              <w:top w:val="nil"/>
              <w:left w:val="nil"/>
              <w:bottom w:val="nil"/>
              <w:right w:val="nil"/>
            </w:tcBorders>
            <w:shd w:val="clear" w:color="auto" w:fill="auto"/>
            <w:noWrap/>
            <w:tcMar>
              <w:top w:w="15" w:type="dxa"/>
              <w:left w:w="15" w:type="dxa"/>
              <w:right w:w="15" w:type="dxa"/>
            </w:tcMar>
            <w:vAlign w:val="center"/>
          </w:tcPr>
          <w:p w14:paraId="448AA12A">
            <w:pPr>
              <w:jc w:val="right"/>
              <w:rPr>
                <w:rFonts w:hint="eastAsia" w:ascii="宋体" w:hAnsi="宋体" w:eastAsia="宋体" w:cs="宋体"/>
                <w:i w:val="0"/>
                <w:color w:val="000000" w:themeColor="text1"/>
                <w:sz w:val="24"/>
                <w:szCs w:val="24"/>
                <w:u w:val="none"/>
                <w14:textFill>
                  <w14:solidFill>
                    <w14:schemeClr w14:val="tx1"/>
                  </w14:solidFill>
                </w14:textFill>
              </w:rPr>
            </w:pPr>
          </w:p>
        </w:tc>
      </w:tr>
      <w:tr w14:paraId="3C3DA937">
        <w:tblPrEx>
          <w:shd w:val="clear" w:color="auto" w:fill="auto"/>
          <w:tblCellMar>
            <w:top w:w="0" w:type="dxa"/>
            <w:left w:w="0" w:type="dxa"/>
            <w:bottom w:w="0" w:type="dxa"/>
            <w:right w:w="0" w:type="dxa"/>
          </w:tblCellMar>
        </w:tblPrEx>
        <w:trPr>
          <w:trHeight w:val="415" w:hRule="atLeast"/>
          <w:jc w:val="center"/>
        </w:trPr>
        <w:tc>
          <w:tcPr>
            <w:tcW w:w="2361" w:type="dxa"/>
            <w:tcBorders>
              <w:top w:val="nil"/>
              <w:left w:val="nil"/>
              <w:bottom w:val="nil"/>
              <w:right w:val="nil"/>
            </w:tcBorders>
            <w:shd w:val="clear" w:color="auto" w:fill="auto"/>
            <w:noWrap/>
            <w:tcMar>
              <w:top w:w="15" w:type="dxa"/>
              <w:left w:w="15" w:type="dxa"/>
              <w:right w:w="15" w:type="dxa"/>
            </w:tcMar>
            <w:vAlign w:val="bottom"/>
          </w:tcPr>
          <w:p w14:paraId="5BFA8129">
            <w:pPr>
              <w:keepNext w:val="0"/>
              <w:keepLines w:val="0"/>
              <w:widowControl/>
              <w:suppressLineNumbers w:val="0"/>
              <w:jc w:val="left"/>
              <w:textAlignment w:val="bottom"/>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货运量</w:t>
            </w:r>
          </w:p>
        </w:tc>
        <w:tc>
          <w:tcPr>
            <w:tcW w:w="1367"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44F7238D">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万吨</w:t>
            </w:r>
          </w:p>
        </w:tc>
        <w:tc>
          <w:tcPr>
            <w:tcW w:w="1454" w:type="dxa"/>
            <w:tcBorders>
              <w:top w:val="nil"/>
              <w:left w:val="nil"/>
              <w:bottom w:val="nil"/>
              <w:right w:val="single" w:color="000000" w:sz="4" w:space="0"/>
            </w:tcBorders>
            <w:shd w:val="clear" w:color="auto" w:fill="auto"/>
            <w:noWrap/>
            <w:tcMar>
              <w:top w:w="15" w:type="dxa"/>
              <w:left w:w="15" w:type="dxa"/>
              <w:right w:w="15" w:type="dxa"/>
            </w:tcMar>
            <w:vAlign w:val="center"/>
          </w:tcPr>
          <w:p w14:paraId="7C048833">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c>
          <w:tcPr>
            <w:tcW w:w="2538" w:type="dxa"/>
            <w:tcBorders>
              <w:top w:val="nil"/>
              <w:left w:val="nil"/>
              <w:bottom w:val="nil"/>
              <w:right w:val="nil"/>
            </w:tcBorders>
            <w:shd w:val="clear" w:color="auto" w:fill="auto"/>
            <w:noWrap/>
            <w:tcMar>
              <w:top w:w="15" w:type="dxa"/>
              <w:left w:w="15" w:type="dxa"/>
              <w:right w:w="15" w:type="dxa"/>
            </w:tcMar>
            <w:vAlign w:val="center"/>
          </w:tcPr>
          <w:p w14:paraId="56FFC8A1">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r>
      <w:tr w14:paraId="72D1DF25">
        <w:tblPrEx>
          <w:shd w:val="clear" w:color="auto" w:fill="auto"/>
          <w:tblCellMar>
            <w:top w:w="0" w:type="dxa"/>
            <w:left w:w="0" w:type="dxa"/>
            <w:bottom w:w="0" w:type="dxa"/>
            <w:right w:w="0" w:type="dxa"/>
          </w:tblCellMar>
        </w:tblPrEx>
        <w:trPr>
          <w:trHeight w:val="415" w:hRule="atLeast"/>
          <w:jc w:val="center"/>
        </w:trPr>
        <w:tc>
          <w:tcPr>
            <w:tcW w:w="2361" w:type="dxa"/>
            <w:tcBorders>
              <w:top w:val="nil"/>
              <w:left w:val="nil"/>
              <w:bottom w:val="nil"/>
              <w:right w:val="nil"/>
            </w:tcBorders>
            <w:shd w:val="clear" w:color="auto" w:fill="auto"/>
            <w:noWrap/>
            <w:tcMar>
              <w:top w:w="15" w:type="dxa"/>
              <w:left w:w="15" w:type="dxa"/>
              <w:right w:w="15" w:type="dxa"/>
            </w:tcMar>
            <w:vAlign w:val="bottom"/>
          </w:tcPr>
          <w:p w14:paraId="032B4745">
            <w:pPr>
              <w:keepNext w:val="0"/>
              <w:keepLines w:val="0"/>
              <w:widowControl/>
              <w:suppressLineNumbers w:val="0"/>
              <w:jc w:val="left"/>
              <w:textAlignment w:val="bottom"/>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货物周转量</w:t>
            </w:r>
          </w:p>
        </w:tc>
        <w:tc>
          <w:tcPr>
            <w:tcW w:w="1367"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3F211BD2">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万吨公里</w:t>
            </w:r>
          </w:p>
        </w:tc>
        <w:tc>
          <w:tcPr>
            <w:tcW w:w="1454" w:type="dxa"/>
            <w:tcBorders>
              <w:top w:val="nil"/>
              <w:left w:val="nil"/>
              <w:bottom w:val="nil"/>
              <w:right w:val="single" w:color="000000" w:sz="4" w:space="0"/>
            </w:tcBorders>
            <w:shd w:val="clear" w:color="auto" w:fill="auto"/>
            <w:noWrap/>
            <w:tcMar>
              <w:top w:w="15" w:type="dxa"/>
              <w:left w:w="15" w:type="dxa"/>
              <w:right w:w="15" w:type="dxa"/>
            </w:tcMar>
            <w:vAlign w:val="center"/>
          </w:tcPr>
          <w:p w14:paraId="0AB7B88C">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c>
          <w:tcPr>
            <w:tcW w:w="2538" w:type="dxa"/>
            <w:tcBorders>
              <w:top w:val="nil"/>
              <w:left w:val="nil"/>
              <w:bottom w:val="nil"/>
              <w:right w:val="nil"/>
            </w:tcBorders>
            <w:shd w:val="clear" w:color="auto" w:fill="auto"/>
            <w:noWrap/>
            <w:tcMar>
              <w:top w:w="15" w:type="dxa"/>
              <w:left w:w="15" w:type="dxa"/>
              <w:right w:w="15" w:type="dxa"/>
            </w:tcMar>
            <w:vAlign w:val="center"/>
          </w:tcPr>
          <w:p w14:paraId="6E16C7B2">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r>
      <w:tr w14:paraId="01182B29">
        <w:tblPrEx>
          <w:shd w:val="clear" w:color="auto" w:fill="auto"/>
          <w:tblCellMar>
            <w:top w:w="0" w:type="dxa"/>
            <w:left w:w="0" w:type="dxa"/>
            <w:bottom w:w="0" w:type="dxa"/>
            <w:right w:w="0" w:type="dxa"/>
          </w:tblCellMar>
        </w:tblPrEx>
        <w:trPr>
          <w:trHeight w:val="415" w:hRule="atLeast"/>
          <w:jc w:val="center"/>
        </w:trPr>
        <w:tc>
          <w:tcPr>
            <w:tcW w:w="2361" w:type="dxa"/>
            <w:tcBorders>
              <w:top w:val="nil"/>
              <w:left w:val="nil"/>
              <w:bottom w:val="nil"/>
              <w:right w:val="nil"/>
            </w:tcBorders>
            <w:shd w:val="clear" w:color="auto" w:fill="auto"/>
            <w:noWrap/>
            <w:tcMar>
              <w:top w:w="15" w:type="dxa"/>
              <w:left w:w="15" w:type="dxa"/>
              <w:right w:w="15" w:type="dxa"/>
            </w:tcMar>
            <w:vAlign w:val="bottom"/>
          </w:tcPr>
          <w:p w14:paraId="59465D42">
            <w:pPr>
              <w:keepNext w:val="0"/>
              <w:keepLines w:val="0"/>
              <w:widowControl/>
              <w:suppressLineNumbers w:val="0"/>
              <w:jc w:val="left"/>
              <w:textAlignment w:val="bottom"/>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客运量</w:t>
            </w:r>
          </w:p>
        </w:tc>
        <w:tc>
          <w:tcPr>
            <w:tcW w:w="1367"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795E0767">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万人</w:t>
            </w:r>
          </w:p>
        </w:tc>
        <w:tc>
          <w:tcPr>
            <w:tcW w:w="1454" w:type="dxa"/>
            <w:tcBorders>
              <w:top w:val="nil"/>
              <w:left w:val="nil"/>
              <w:bottom w:val="nil"/>
              <w:right w:val="single" w:color="000000" w:sz="4" w:space="0"/>
            </w:tcBorders>
            <w:shd w:val="clear" w:color="auto" w:fill="auto"/>
            <w:noWrap/>
            <w:tcMar>
              <w:top w:w="15" w:type="dxa"/>
              <w:left w:w="15" w:type="dxa"/>
              <w:right w:w="15" w:type="dxa"/>
            </w:tcMar>
            <w:vAlign w:val="center"/>
          </w:tcPr>
          <w:p w14:paraId="3EE7666F">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35 </w:t>
            </w:r>
          </w:p>
        </w:tc>
        <w:tc>
          <w:tcPr>
            <w:tcW w:w="2538" w:type="dxa"/>
            <w:tcBorders>
              <w:top w:val="nil"/>
              <w:left w:val="nil"/>
              <w:bottom w:val="nil"/>
              <w:right w:val="nil"/>
            </w:tcBorders>
            <w:shd w:val="clear" w:color="auto" w:fill="auto"/>
            <w:noWrap/>
            <w:tcMar>
              <w:top w:w="15" w:type="dxa"/>
              <w:left w:w="15" w:type="dxa"/>
              <w:right w:w="15" w:type="dxa"/>
            </w:tcMar>
            <w:vAlign w:val="center"/>
          </w:tcPr>
          <w:p w14:paraId="7694316A">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-55.1 </w:t>
            </w:r>
          </w:p>
        </w:tc>
      </w:tr>
      <w:tr w14:paraId="7720DBB2">
        <w:tblPrEx>
          <w:shd w:val="clear" w:color="auto" w:fill="auto"/>
          <w:tblCellMar>
            <w:top w:w="0" w:type="dxa"/>
            <w:left w:w="0" w:type="dxa"/>
            <w:bottom w:w="0" w:type="dxa"/>
            <w:right w:w="0" w:type="dxa"/>
          </w:tblCellMar>
        </w:tblPrEx>
        <w:trPr>
          <w:trHeight w:val="415" w:hRule="atLeast"/>
          <w:jc w:val="center"/>
        </w:trPr>
        <w:tc>
          <w:tcPr>
            <w:tcW w:w="2361" w:type="dxa"/>
            <w:tcBorders>
              <w:top w:val="nil"/>
              <w:left w:val="nil"/>
              <w:bottom w:val="nil"/>
              <w:right w:val="nil"/>
            </w:tcBorders>
            <w:shd w:val="clear" w:color="auto" w:fill="auto"/>
            <w:noWrap/>
            <w:tcMar>
              <w:top w:w="15" w:type="dxa"/>
              <w:left w:w="15" w:type="dxa"/>
              <w:right w:w="15" w:type="dxa"/>
            </w:tcMar>
            <w:vAlign w:val="bottom"/>
          </w:tcPr>
          <w:p w14:paraId="256447E7">
            <w:pPr>
              <w:keepNext w:val="0"/>
              <w:keepLines w:val="0"/>
              <w:widowControl/>
              <w:suppressLineNumbers w:val="0"/>
              <w:jc w:val="left"/>
              <w:textAlignment w:val="bottom"/>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旅客周转量</w:t>
            </w:r>
          </w:p>
        </w:tc>
        <w:tc>
          <w:tcPr>
            <w:tcW w:w="1367"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1C9ECB71">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万人公里</w:t>
            </w:r>
          </w:p>
        </w:tc>
        <w:tc>
          <w:tcPr>
            <w:tcW w:w="1454" w:type="dxa"/>
            <w:tcBorders>
              <w:top w:val="nil"/>
              <w:left w:val="nil"/>
              <w:bottom w:val="nil"/>
              <w:right w:val="single" w:color="000000" w:sz="4" w:space="0"/>
            </w:tcBorders>
            <w:shd w:val="clear" w:color="auto" w:fill="auto"/>
            <w:noWrap/>
            <w:tcMar>
              <w:top w:w="15" w:type="dxa"/>
              <w:left w:w="15" w:type="dxa"/>
              <w:right w:w="15" w:type="dxa"/>
            </w:tcMar>
            <w:vAlign w:val="center"/>
          </w:tcPr>
          <w:p w14:paraId="5F6C6CCC">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119 </w:t>
            </w:r>
          </w:p>
        </w:tc>
        <w:tc>
          <w:tcPr>
            <w:tcW w:w="2538" w:type="dxa"/>
            <w:tcBorders>
              <w:top w:val="nil"/>
              <w:left w:val="nil"/>
              <w:bottom w:val="nil"/>
              <w:right w:val="nil"/>
            </w:tcBorders>
            <w:shd w:val="clear" w:color="auto" w:fill="auto"/>
            <w:noWrap/>
            <w:tcMar>
              <w:top w:w="15" w:type="dxa"/>
              <w:left w:w="15" w:type="dxa"/>
              <w:right w:w="15" w:type="dxa"/>
            </w:tcMar>
            <w:vAlign w:val="center"/>
          </w:tcPr>
          <w:p w14:paraId="704CE238">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-56.3 </w:t>
            </w:r>
          </w:p>
        </w:tc>
      </w:tr>
      <w:tr w14:paraId="4332B1B0">
        <w:tblPrEx>
          <w:shd w:val="clear" w:color="auto" w:fill="auto"/>
          <w:tblCellMar>
            <w:top w:w="0" w:type="dxa"/>
            <w:left w:w="0" w:type="dxa"/>
            <w:bottom w:w="0" w:type="dxa"/>
            <w:right w:w="0" w:type="dxa"/>
          </w:tblCellMar>
        </w:tblPrEx>
        <w:trPr>
          <w:trHeight w:val="415" w:hRule="atLeast"/>
          <w:jc w:val="center"/>
        </w:trPr>
        <w:tc>
          <w:tcPr>
            <w:tcW w:w="2361" w:type="dxa"/>
            <w:tcBorders>
              <w:top w:val="nil"/>
              <w:left w:val="nil"/>
              <w:bottom w:val="nil"/>
              <w:right w:val="nil"/>
            </w:tcBorders>
            <w:shd w:val="clear" w:color="auto" w:fill="auto"/>
            <w:noWrap/>
            <w:tcMar>
              <w:top w:w="15" w:type="dxa"/>
              <w:left w:w="15" w:type="dxa"/>
              <w:right w:w="15" w:type="dxa"/>
            </w:tcMar>
            <w:vAlign w:val="center"/>
          </w:tcPr>
          <w:p w14:paraId="19641B53">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三、空运</w:t>
            </w:r>
          </w:p>
        </w:tc>
        <w:tc>
          <w:tcPr>
            <w:tcW w:w="1367"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4182F345">
            <w:pPr>
              <w:jc w:val="center"/>
              <w:rPr>
                <w:rFonts w:hint="eastAsia" w:ascii="宋体" w:hAnsi="宋体" w:eastAsia="宋体" w:cs="宋体"/>
                <w:i w:val="0"/>
                <w:color w:val="000000" w:themeColor="text1"/>
                <w:sz w:val="24"/>
                <w:szCs w:val="24"/>
                <w:u w:val="none"/>
                <w14:textFill>
                  <w14:solidFill>
                    <w14:schemeClr w14:val="tx1"/>
                  </w14:solidFill>
                </w14:textFill>
              </w:rPr>
            </w:pPr>
          </w:p>
        </w:tc>
        <w:tc>
          <w:tcPr>
            <w:tcW w:w="1454" w:type="dxa"/>
            <w:tcBorders>
              <w:top w:val="nil"/>
              <w:left w:val="nil"/>
              <w:bottom w:val="nil"/>
              <w:right w:val="single" w:color="000000" w:sz="4" w:space="0"/>
            </w:tcBorders>
            <w:shd w:val="clear" w:color="auto" w:fill="auto"/>
            <w:noWrap/>
            <w:tcMar>
              <w:top w:w="15" w:type="dxa"/>
              <w:left w:w="15" w:type="dxa"/>
              <w:right w:w="15" w:type="dxa"/>
            </w:tcMar>
            <w:vAlign w:val="center"/>
          </w:tcPr>
          <w:p w14:paraId="16345510">
            <w:pPr>
              <w:jc w:val="right"/>
              <w:rPr>
                <w:rFonts w:hint="eastAsia" w:ascii="宋体" w:hAnsi="宋体" w:eastAsia="宋体" w:cs="宋体"/>
                <w:i w:val="0"/>
                <w:color w:val="000000" w:themeColor="text1"/>
                <w:sz w:val="24"/>
                <w:szCs w:val="24"/>
                <w:u w:val="none"/>
                <w14:textFill>
                  <w14:solidFill>
                    <w14:schemeClr w14:val="tx1"/>
                  </w14:solidFill>
                </w14:textFill>
              </w:rPr>
            </w:pPr>
          </w:p>
        </w:tc>
        <w:tc>
          <w:tcPr>
            <w:tcW w:w="2538" w:type="dxa"/>
            <w:tcBorders>
              <w:top w:val="nil"/>
              <w:left w:val="nil"/>
              <w:bottom w:val="nil"/>
              <w:right w:val="nil"/>
            </w:tcBorders>
            <w:shd w:val="clear" w:color="auto" w:fill="auto"/>
            <w:noWrap/>
            <w:tcMar>
              <w:top w:w="15" w:type="dxa"/>
              <w:left w:w="15" w:type="dxa"/>
              <w:right w:w="15" w:type="dxa"/>
            </w:tcMar>
            <w:vAlign w:val="center"/>
          </w:tcPr>
          <w:p w14:paraId="66811AEF">
            <w:pPr>
              <w:jc w:val="right"/>
              <w:rPr>
                <w:rFonts w:hint="eastAsia" w:ascii="宋体" w:hAnsi="宋体" w:eastAsia="宋体" w:cs="宋体"/>
                <w:i w:val="0"/>
                <w:color w:val="000000" w:themeColor="text1"/>
                <w:sz w:val="24"/>
                <w:szCs w:val="24"/>
                <w:u w:val="none"/>
                <w14:textFill>
                  <w14:solidFill>
                    <w14:schemeClr w14:val="tx1"/>
                  </w14:solidFill>
                </w14:textFill>
              </w:rPr>
            </w:pPr>
          </w:p>
        </w:tc>
      </w:tr>
      <w:tr w14:paraId="7C40C810">
        <w:tblPrEx>
          <w:shd w:val="clear" w:color="auto" w:fill="auto"/>
          <w:tblCellMar>
            <w:top w:w="0" w:type="dxa"/>
            <w:left w:w="0" w:type="dxa"/>
            <w:bottom w:w="0" w:type="dxa"/>
            <w:right w:w="0" w:type="dxa"/>
          </w:tblCellMar>
        </w:tblPrEx>
        <w:trPr>
          <w:trHeight w:val="415" w:hRule="atLeast"/>
          <w:jc w:val="center"/>
        </w:trPr>
        <w:tc>
          <w:tcPr>
            <w:tcW w:w="2361" w:type="dxa"/>
            <w:tcBorders>
              <w:top w:val="nil"/>
              <w:left w:val="nil"/>
              <w:bottom w:val="nil"/>
              <w:right w:val="nil"/>
            </w:tcBorders>
            <w:shd w:val="clear" w:color="auto" w:fill="auto"/>
            <w:noWrap/>
            <w:tcMar>
              <w:top w:w="15" w:type="dxa"/>
              <w:left w:w="15" w:type="dxa"/>
              <w:right w:w="15" w:type="dxa"/>
            </w:tcMar>
            <w:vAlign w:val="center"/>
          </w:tcPr>
          <w:p w14:paraId="32BEF9EF">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旅客吞吐量</w:t>
            </w:r>
          </w:p>
        </w:tc>
        <w:tc>
          <w:tcPr>
            <w:tcW w:w="1367"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152ADAE8">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万人次</w:t>
            </w:r>
          </w:p>
        </w:tc>
        <w:tc>
          <w:tcPr>
            <w:tcW w:w="1454" w:type="dxa"/>
            <w:tcBorders>
              <w:top w:val="nil"/>
              <w:left w:val="nil"/>
              <w:bottom w:val="nil"/>
              <w:right w:val="single" w:color="000000" w:sz="4" w:space="0"/>
            </w:tcBorders>
            <w:shd w:val="clear" w:color="auto" w:fill="auto"/>
            <w:tcMar>
              <w:top w:w="15" w:type="dxa"/>
              <w:left w:w="15" w:type="dxa"/>
              <w:right w:w="15" w:type="dxa"/>
            </w:tcMar>
            <w:vAlign w:val="bottom"/>
          </w:tcPr>
          <w:p w14:paraId="15F8FB56">
            <w:pPr>
              <w:keepNext w:val="0"/>
              <w:keepLines w:val="0"/>
              <w:widowControl/>
              <w:suppressLineNumbers w:val="0"/>
              <w:jc w:val="right"/>
              <w:textAlignment w:val="bottom"/>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56.26</w:t>
            </w:r>
          </w:p>
        </w:tc>
        <w:tc>
          <w:tcPr>
            <w:tcW w:w="2538" w:type="dxa"/>
            <w:tcBorders>
              <w:top w:val="nil"/>
              <w:left w:val="nil"/>
              <w:bottom w:val="nil"/>
              <w:right w:val="nil"/>
            </w:tcBorders>
            <w:shd w:val="clear" w:color="auto" w:fill="auto"/>
            <w:noWrap/>
            <w:tcMar>
              <w:top w:w="15" w:type="dxa"/>
              <w:left w:w="15" w:type="dxa"/>
              <w:right w:w="15" w:type="dxa"/>
            </w:tcMar>
            <w:vAlign w:val="center"/>
          </w:tcPr>
          <w:p w14:paraId="705E8A21">
            <w:pPr>
              <w:keepNext w:val="0"/>
              <w:keepLines w:val="0"/>
              <w:widowControl/>
              <w:suppressLineNumbers w:val="0"/>
              <w:jc w:val="right"/>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0.6</w:t>
            </w:r>
          </w:p>
        </w:tc>
      </w:tr>
      <w:tr w14:paraId="56A30A9F">
        <w:tblPrEx>
          <w:shd w:val="clear" w:color="auto" w:fill="auto"/>
          <w:tblCellMar>
            <w:top w:w="0" w:type="dxa"/>
            <w:left w:w="0" w:type="dxa"/>
            <w:bottom w:w="0" w:type="dxa"/>
            <w:right w:w="0" w:type="dxa"/>
          </w:tblCellMar>
        </w:tblPrEx>
        <w:trPr>
          <w:trHeight w:val="425" w:hRule="atLeast"/>
          <w:jc w:val="center"/>
        </w:trPr>
        <w:tc>
          <w:tcPr>
            <w:tcW w:w="2361" w:type="dxa"/>
            <w:tcBorders>
              <w:top w:val="nil"/>
              <w:left w:val="nil"/>
              <w:bottom w:val="single" w:color="auto" w:sz="12" w:space="0"/>
              <w:right w:val="nil"/>
            </w:tcBorders>
            <w:shd w:val="clear" w:color="auto" w:fill="auto"/>
            <w:noWrap/>
            <w:tcMar>
              <w:top w:w="15" w:type="dxa"/>
              <w:left w:w="15" w:type="dxa"/>
              <w:right w:w="15" w:type="dxa"/>
            </w:tcMar>
            <w:vAlign w:val="center"/>
          </w:tcPr>
          <w:p w14:paraId="7D1FBED2">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    货邮吞吐量</w:t>
            </w:r>
          </w:p>
        </w:tc>
        <w:tc>
          <w:tcPr>
            <w:tcW w:w="1367" w:type="dxa"/>
            <w:tcBorders>
              <w:top w:val="nil"/>
              <w:left w:val="single" w:color="000000" w:sz="4" w:space="0"/>
              <w:bottom w:val="single" w:color="auto" w:sz="12" w:space="0"/>
              <w:right w:val="single" w:color="000000" w:sz="4" w:space="0"/>
            </w:tcBorders>
            <w:shd w:val="clear" w:color="auto" w:fill="auto"/>
            <w:noWrap/>
            <w:tcMar>
              <w:top w:w="15" w:type="dxa"/>
              <w:left w:w="15" w:type="dxa"/>
              <w:right w:w="15" w:type="dxa"/>
            </w:tcMar>
            <w:vAlign w:val="center"/>
          </w:tcPr>
          <w:p w14:paraId="607AE953">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吨</w:t>
            </w:r>
          </w:p>
        </w:tc>
        <w:tc>
          <w:tcPr>
            <w:tcW w:w="1454" w:type="dxa"/>
            <w:tcBorders>
              <w:top w:val="nil"/>
              <w:left w:val="nil"/>
              <w:bottom w:val="single" w:color="auto" w:sz="12" w:space="0"/>
              <w:right w:val="single" w:color="000000" w:sz="4" w:space="0"/>
            </w:tcBorders>
            <w:shd w:val="clear" w:color="auto" w:fill="auto"/>
            <w:tcMar>
              <w:top w:w="15" w:type="dxa"/>
              <w:left w:w="15" w:type="dxa"/>
              <w:right w:w="15" w:type="dxa"/>
            </w:tcMar>
            <w:vAlign w:val="bottom"/>
          </w:tcPr>
          <w:p w14:paraId="17AD5BAA">
            <w:pPr>
              <w:keepNext w:val="0"/>
              <w:keepLines w:val="0"/>
              <w:widowControl/>
              <w:suppressLineNumbers w:val="0"/>
              <w:jc w:val="right"/>
              <w:textAlignment w:val="bottom"/>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 xml:space="preserve">552.05 </w:t>
            </w:r>
          </w:p>
        </w:tc>
        <w:tc>
          <w:tcPr>
            <w:tcW w:w="2538" w:type="dxa"/>
            <w:tcBorders>
              <w:top w:val="nil"/>
              <w:left w:val="nil"/>
              <w:bottom w:val="single" w:color="auto" w:sz="12" w:space="0"/>
              <w:right w:val="nil"/>
            </w:tcBorders>
            <w:shd w:val="clear" w:color="auto" w:fill="auto"/>
            <w:noWrap/>
            <w:tcMar>
              <w:top w:w="15" w:type="dxa"/>
              <w:left w:w="15" w:type="dxa"/>
              <w:right w:w="15" w:type="dxa"/>
            </w:tcMar>
            <w:vAlign w:val="center"/>
          </w:tcPr>
          <w:p w14:paraId="772AB82E">
            <w:pPr>
              <w:keepNext w:val="0"/>
              <w:keepLines w:val="0"/>
              <w:widowControl/>
              <w:suppressLineNumbers w:val="0"/>
              <w:jc w:val="right"/>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3.3</w:t>
            </w:r>
          </w:p>
        </w:tc>
      </w:tr>
    </w:tbl>
    <w:p w14:paraId="57D1CA5E">
      <w:pPr>
        <w:keepNext w:val="0"/>
        <w:keepLines w:val="0"/>
        <w:pageBreakBefore w:val="0"/>
        <w:widowControl w:val="0"/>
        <w:tabs>
          <w:tab w:val="left" w:pos="726"/>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kern w:val="2"/>
          <w:sz w:val="32"/>
          <w:szCs w:val="32"/>
          <w:shd w:val="clear" w:color="auto" w:fill="FFFFFF"/>
          <w:lang w:val="en-US" w:eastAsia="zh-CN" w:bidi="ar-SA"/>
        </w:rPr>
      </w:pP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全年全市推广新能源汽车998辆，超额完成任务。全年建设5G通信基站371个，超额完成任务。</w:t>
      </w:r>
    </w:p>
    <w:p w14:paraId="61697B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Style w:val="9"/>
          <w:rFonts w:hint="eastAsia" w:ascii="黑体" w:hAnsi="黑体" w:eastAsia="黑体" w:cs="黑体"/>
          <w:b w:val="0"/>
          <w:bCs w:val="0"/>
          <w:i w:val="0"/>
          <w:caps w:val="0"/>
          <w:color w:val="000000" w:themeColor="text1"/>
          <w:spacing w:val="8"/>
          <w:sz w:val="32"/>
          <w:szCs w:val="32"/>
          <w:shd w:val="clear" w:color="auto" w:fill="auto"/>
          <w14:textFill>
            <w14:solidFill>
              <w14:schemeClr w14:val="tx1"/>
            </w14:solidFill>
          </w14:textFill>
        </w:rPr>
      </w:pPr>
      <w:r>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drawing>
          <wp:anchor distT="0" distB="0" distL="114300" distR="114300" simplePos="0" relativeHeight="251662336" behindDoc="1" locked="0" layoutInCell="1" allowOverlap="1">
            <wp:simplePos x="0" y="0"/>
            <wp:positionH relativeFrom="column">
              <wp:posOffset>240030</wp:posOffset>
            </wp:positionH>
            <wp:positionV relativeFrom="paragraph">
              <wp:posOffset>149860</wp:posOffset>
            </wp:positionV>
            <wp:extent cx="5110480" cy="2730500"/>
            <wp:effectExtent l="0" t="0" r="52070" b="50800"/>
            <wp:wrapTight wrapText="bothSides">
              <wp:wrapPolygon>
                <wp:start x="0" y="0"/>
                <wp:lineTo x="0" y="21399"/>
                <wp:lineTo x="21498" y="21399"/>
                <wp:lineTo x="21498" y="0"/>
                <wp:lineTo x="0" y="0"/>
              </wp:wrapPolygon>
            </wp:wrapTight>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Style w:val="9"/>
          <w:rFonts w:hint="eastAsia" w:ascii="黑体" w:hAnsi="黑体" w:eastAsia="黑体" w:cs="黑体"/>
          <w:b w:val="0"/>
          <w:bCs w:val="0"/>
          <w:i w:val="0"/>
          <w:caps w:val="0"/>
          <w:color w:val="000000" w:themeColor="text1"/>
          <w:spacing w:val="8"/>
          <w:sz w:val="32"/>
          <w:szCs w:val="32"/>
          <w:shd w:val="clear" w:color="auto" w:fill="auto"/>
          <w14:textFill>
            <w14:solidFill>
              <w14:schemeClr w14:val="tx1"/>
            </w14:solidFill>
          </w14:textFill>
        </w:rPr>
        <w:t>五、国内贸易</w:t>
      </w:r>
    </w:p>
    <w:p w14:paraId="5DFB41A0">
      <w:pPr>
        <w:keepNext w:val="0"/>
        <w:keepLines w:val="0"/>
        <w:pageBreakBefore w:val="0"/>
        <w:widowControl w:val="0"/>
        <w:tabs>
          <w:tab w:val="left" w:pos="74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全年社会消费品零售总额108.0亿元，比上年下降1.6%。按经营地统计，城镇消费品零售额98.5亿元，下降1.8%；乡村消费品零售额9.5亿元，增长0.3%。按消费类型统计，商品零售额87.5亿元，增长0.4%；餐饮收入额20.5亿元，下降9.6%。</w:t>
      </w:r>
    </w:p>
    <w:p w14:paraId="5DD6F366">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72" w:firstLineChars="200"/>
        <w:textAlignment w:val="auto"/>
        <w:rPr>
          <w:rStyle w:val="9"/>
          <w:rFonts w:hint="eastAsia" w:ascii="黑体" w:hAnsi="黑体" w:eastAsia="黑体" w:cs="黑体"/>
          <w:b w:val="0"/>
          <w:bCs w:val="0"/>
          <w:i w:val="0"/>
          <w:caps w:val="0"/>
          <w:color w:val="000000" w:themeColor="text1"/>
          <w:spacing w:val="8"/>
          <w:sz w:val="32"/>
          <w:szCs w:val="32"/>
          <w:shd w:val="clear" w:color="auto" w:fill="auto"/>
          <w14:textFill>
            <w14:solidFill>
              <w14:schemeClr w14:val="tx1"/>
            </w14:solidFill>
          </w14:textFill>
        </w:rPr>
      </w:pPr>
      <w:r>
        <w:rPr>
          <w:rStyle w:val="9"/>
          <w:rFonts w:hint="eastAsia" w:ascii="黑体" w:hAnsi="黑体" w:eastAsia="黑体" w:cs="黑体"/>
          <w:b w:val="0"/>
          <w:bCs w:val="0"/>
          <w:i w:val="0"/>
          <w:caps w:val="0"/>
          <w:color w:val="000000" w:themeColor="text1"/>
          <w:spacing w:val="8"/>
          <w:sz w:val="32"/>
          <w:szCs w:val="32"/>
          <w:shd w:val="clear" w:color="auto" w:fill="auto"/>
          <w14:textFill>
            <w14:solidFill>
              <w14:schemeClr w14:val="tx1"/>
            </w14:solidFill>
          </w14:textFill>
        </w:rPr>
        <w:t>六、固定资产投资</w:t>
      </w:r>
    </w:p>
    <w:p w14:paraId="78D634D6">
      <w:pPr>
        <w:keepNext w:val="0"/>
        <w:keepLines w:val="0"/>
        <w:pageBreakBefore w:val="0"/>
        <w:widowControl w:val="0"/>
        <w:tabs>
          <w:tab w:val="left" w:pos="74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shd w:val="clear" w:color="auto" w:fill="FFFFFF"/>
          <w:lang w:val="en-US" w:eastAsia="zh-CN"/>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全年固定资产投资比上年增长15.1%。其中，房地产开发投资增长7.7%，非房地产开发投资增长21.5%。分产业看，第一产业投资增长53.8%；第二产业投资增长35.1%；第三产业投资增长12.7%。</w:t>
      </w:r>
    </w:p>
    <w:tbl>
      <w:tblPr>
        <w:tblStyle w:val="7"/>
        <w:tblpPr w:leftFromText="180" w:rightFromText="180" w:vertAnchor="text" w:horzAnchor="page" w:tblpXSpec="center" w:tblpY="121"/>
        <w:tblOverlap w:val="never"/>
        <w:tblW w:w="8560" w:type="dxa"/>
        <w:jc w:val="center"/>
        <w:shd w:val="clear" w:color="auto" w:fill="auto"/>
        <w:tblLayout w:type="fixed"/>
        <w:tblCellMar>
          <w:top w:w="0" w:type="dxa"/>
          <w:left w:w="0" w:type="dxa"/>
          <w:bottom w:w="0" w:type="dxa"/>
          <w:right w:w="0" w:type="dxa"/>
        </w:tblCellMar>
      </w:tblPr>
      <w:tblGrid>
        <w:gridCol w:w="2694"/>
        <w:gridCol w:w="1323"/>
        <w:gridCol w:w="3217"/>
        <w:gridCol w:w="1326"/>
      </w:tblGrid>
      <w:tr w14:paraId="45DCAC77">
        <w:tblPrEx>
          <w:tblCellMar>
            <w:top w:w="0" w:type="dxa"/>
            <w:left w:w="0" w:type="dxa"/>
            <w:bottom w:w="0" w:type="dxa"/>
            <w:right w:w="0" w:type="dxa"/>
          </w:tblCellMar>
        </w:tblPrEx>
        <w:trPr>
          <w:trHeight w:val="637" w:hRule="atLeast"/>
          <w:jc w:val="center"/>
        </w:trPr>
        <w:tc>
          <w:tcPr>
            <w:tcW w:w="8560" w:type="dxa"/>
            <w:gridSpan w:val="4"/>
            <w:tcBorders>
              <w:top w:val="nil"/>
              <w:left w:val="nil"/>
              <w:bottom w:val="single" w:color="auto" w:sz="12" w:space="0"/>
              <w:right w:val="nil"/>
            </w:tcBorders>
            <w:shd w:val="clear" w:color="auto" w:fill="auto"/>
            <w:noWrap/>
            <w:tcMar>
              <w:top w:w="15" w:type="dxa"/>
              <w:left w:w="15" w:type="dxa"/>
              <w:right w:w="15" w:type="dxa"/>
            </w:tcMar>
            <w:vAlign w:val="center"/>
          </w:tcPr>
          <w:p w14:paraId="054095BE">
            <w:pPr>
              <w:keepNext w:val="0"/>
              <w:keepLines w:val="0"/>
              <w:widowControl/>
              <w:suppressLineNumbers w:val="0"/>
              <w:jc w:val="center"/>
              <w:textAlignment w:val="center"/>
              <w:rPr>
                <w:rFonts w:hint="eastAsia" w:ascii="宋体" w:hAnsi="宋体" w:eastAsia="宋体" w:cs="宋体"/>
                <w:i w:val="0"/>
                <w:color w:val="000000" w:themeColor="text1"/>
                <w:sz w:val="28"/>
                <w:szCs w:val="28"/>
                <w:u w:val="none"/>
                <w14:textFill>
                  <w14:solidFill>
                    <w14:schemeClr w14:val="tx1"/>
                  </w14:solidFill>
                </w14:textFill>
              </w:rPr>
            </w:pPr>
            <w:r>
              <w:rPr>
                <w:rFonts w:hint="eastAsia" w:ascii="黑体" w:hAnsi="黑体" w:eastAsia="黑体" w:cs="黑体"/>
                <w:i w:val="0"/>
                <w:color w:val="000000" w:themeColor="text1"/>
                <w:kern w:val="0"/>
                <w:sz w:val="30"/>
                <w:szCs w:val="30"/>
                <w:u w:val="none"/>
                <w:lang w:val="en-US" w:eastAsia="zh-CN" w:bidi="ar"/>
                <w14:textFill>
                  <w14:solidFill>
                    <w14:schemeClr w14:val="tx1"/>
                  </w14:solidFill>
                </w14:textFill>
              </w:rPr>
              <w:t>表5  2020年分行业固定资产投资(不含农户)增长速度</w:t>
            </w:r>
          </w:p>
        </w:tc>
      </w:tr>
      <w:tr w14:paraId="3A8017B0">
        <w:tblPrEx>
          <w:tblCellMar>
            <w:top w:w="0" w:type="dxa"/>
            <w:left w:w="0" w:type="dxa"/>
            <w:bottom w:w="0" w:type="dxa"/>
            <w:right w:w="0" w:type="dxa"/>
          </w:tblCellMar>
        </w:tblPrEx>
        <w:trPr>
          <w:trHeight w:val="978" w:hRule="atLeast"/>
          <w:jc w:val="center"/>
        </w:trPr>
        <w:tc>
          <w:tcPr>
            <w:tcW w:w="2694" w:type="dxa"/>
            <w:tcBorders>
              <w:top w:val="single" w:color="auto" w:sz="12" w:space="0"/>
              <w:left w:val="nil"/>
              <w:bottom w:val="single" w:color="000000" w:sz="4" w:space="0"/>
              <w:right w:val="nil"/>
            </w:tcBorders>
            <w:shd w:val="clear" w:color="auto" w:fill="auto"/>
            <w:noWrap/>
            <w:tcMar>
              <w:top w:w="15" w:type="dxa"/>
              <w:left w:w="15" w:type="dxa"/>
              <w:right w:w="15" w:type="dxa"/>
            </w:tcMar>
            <w:vAlign w:val="center"/>
          </w:tcPr>
          <w:p w14:paraId="4E102F8D">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行业</w:t>
            </w:r>
          </w:p>
        </w:tc>
        <w:tc>
          <w:tcPr>
            <w:tcW w:w="1323" w:type="dxa"/>
            <w:tcBorders>
              <w:top w:val="single" w:color="auto"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8AF21">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比上年增长</w:t>
            </w: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w:t>
            </w:r>
          </w:p>
        </w:tc>
        <w:tc>
          <w:tcPr>
            <w:tcW w:w="3217" w:type="dxa"/>
            <w:tcBorders>
              <w:top w:val="single" w:color="auto" w:sz="12" w:space="0"/>
              <w:left w:val="single" w:color="000000" w:sz="4" w:space="0"/>
              <w:bottom w:val="single" w:color="000000" w:sz="4" w:space="0"/>
              <w:right w:val="nil"/>
            </w:tcBorders>
            <w:shd w:val="clear" w:color="auto" w:fill="auto"/>
            <w:noWrap/>
            <w:tcMar>
              <w:top w:w="15" w:type="dxa"/>
              <w:left w:w="15" w:type="dxa"/>
              <w:right w:w="15" w:type="dxa"/>
            </w:tcMar>
            <w:vAlign w:val="center"/>
          </w:tcPr>
          <w:p w14:paraId="39BA6143">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行业</w:t>
            </w:r>
          </w:p>
        </w:tc>
        <w:tc>
          <w:tcPr>
            <w:tcW w:w="1326" w:type="dxa"/>
            <w:tcBorders>
              <w:top w:val="single" w:color="auto" w:sz="12" w:space="0"/>
              <w:left w:val="single" w:color="000000" w:sz="4" w:space="0"/>
              <w:bottom w:val="nil"/>
              <w:right w:val="nil"/>
            </w:tcBorders>
            <w:shd w:val="clear" w:color="auto" w:fill="auto"/>
            <w:tcMar>
              <w:top w:w="15" w:type="dxa"/>
              <w:left w:w="15" w:type="dxa"/>
              <w:right w:w="15" w:type="dxa"/>
            </w:tcMar>
            <w:vAlign w:val="center"/>
          </w:tcPr>
          <w:p w14:paraId="0315390A">
            <w:pPr>
              <w:keepNext w:val="0"/>
              <w:keepLines w:val="0"/>
              <w:widowControl/>
              <w:suppressLineNumbers w:val="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比上年增长</w:t>
            </w: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w:t>
            </w:r>
          </w:p>
        </w:tc>
      </w:tr>
      <w:tr w14:paraId="3B31318F">
        <w:tblPrEx>
          <w:shd w:val="clear" w:color="auto" w:fill="auto"/>
          <w:tblCellMar>
            <w:top w:w="0" w:type="dxa"/>
            <w:left w:w="0" w:type="dxa"/>
            <w:bottom w:w="0" w:type="dxa"/>
            <w:right w:w="0" w:type="dxa"/>
          </w:tblCellMar>
        </w:tblPrEx>
        <w:trPr>
          <w:trHeight w:val="336" w:hRule="atLeast"/>
          <w:jc w:val="center"/>
        </w:trPr>
        <w:tc>
          <w:tcPr>
            <w:tcW w:w="2694" w:type="dxa"/>
            <w:tcBorders>
              <w:top w:val="nil"/>
              <w:left w:val="nil"/>
              <w:bottom w:val="nil"/>
              <w:right w:val="nil"/>
            </w:tcBorders>
            <w:shd w:val="clear" w:color="auto" w:fill="auto"/>
            <w:noWrap/>
            <w:tcMar>
              <w:top w:w="15" w:type="dxa"/>
              <w:left w:w="15" w:type="dxa"/>
              <w:right w:w="15" w:type="dxa"/>
            </w:tcMar>
            <w:vAlign w:val="center"/>
          </w:tcPr>
          <w:p w14:paraId="6E47BCD4">
            <w:pPr>
              <w:keepNext w:val="0"/>
              <w:keepLines w:val="0"/>
              <w:widowControl/>
              <w:suppressLineNumbers w:val="0"/>
              <w:jc w:val="left"/>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总计</w:t>
            </w:r>
          </w:p>
        </w:tc>
        <w:tc>
          <w:tcPr>
            <w:tcW w:w="1323"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07004070">
            <w:pPr>
              <w:keepNext w:val="0"/>
              <w:keepLines w:val="0"/>
              <w:widowControl/>
              <w:suppressLineNumbers w:val="0"/>
              <w:jc w:val="right"/>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15.1</w:t>
            </w:r>
          </w:p>
        </w:tc>
        <w:tc>
          <w:tcPr>
            <w:tcW w:w="3217" w:type="dxa"/>
            <w:tcBorders>
              <w:top w:val="nil"/>
              <w:left w:val="nil"/>
              <w:bottom w:val="nil"/>
              <w:right w:val="nil"/>
            </w:tcBorders>
            <w:shd w:val="clear" w:color="auto" w:fill="auto"/>
            <w:noWrap/>
            <w:tcMar>
              <w:top w:w="15" w:type="dxa"/>
              <w:left w:w="15" w:type="dxa"/>
              <w:right w:w="15" w:type="dxa"/>
            </w:tcMar>
            <w:vAlign w:val="center"/>
          </w:tcPr>
          <w:p w14:paraId="3FE0BACF">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住宿和餐饮业</w:t>
            </w:r>
          </w:p>
        </w:tc>
        <w:tc>
          <w:tcPr>
            <w:tcW w:w="1326"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14:paraId="737F1F72">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311.3</w:t>
            </w:r>
          </w:p>
        </w:tc>
      </w:tr>
      <w:tr w14:paraId="4C6F391F">
        <w:tblPrEx>
          <w:shd w:val="clear" w:color="auto" w:fill="auto"/>
          <w:tblCellMar>
            <w:top w:w="0" w:type="dxa"/>
            <w:left w:w="0" w:type="dxa"/>
            <w:bottom w:w="0" w:type="dxa"/>
            <w:right w:w="0" w:type="dxa"/>
          </w:tblCellMar>
        </w:tblPrEx>
        <w:trPr>
          <w:trHeight w:val="326" w:hRule="atLeast"/>
          <w:jc w:val="center"/>
        </w:trPr>
        <w:tc>
          <w:tcPr>
            <w:tcW w:w="2694" w:type="dxa"/>
            <w:tcBorders>
              <w:top w:val="nil"/>
              <w:left w:val="nil"/>
              <w:bottom w:val="nil"/>
              <w:right w:val="nil"/>
            </w:tcBorders>
            <w:shd w:val="clear" w:color="auto" w:fill="auto"/>
            <w:noWrap/>
            <w:tcMar>
              <w:top w:w="15" w:type="dxa"/>
              <w:left w:w="15" w:type="dxa"/>
              <w:right w:w="15" w:type="dxa"/>
            </w:tcMar>
            <w:vAlign w:val="center"/>
          </w:tcPr>
          <w:p w14:paraId="72C41B82">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农林牧渔业</w:t>
            </w:r>
          </w:p>
        </w:tc>
        <w:tc>
          <w:tcPr>
            <w:tcW w:w="1323"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6A9C0F27">
            <w:pPr>
              <w:keepNext w:val="0"/>
              <w:keepLines w:val="0"/>
              <w:widowControl/>
              <w:suppressLineNumbers w:val="0"/>
              <w:jc w:val="right"/>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53.8</w:t>
            </w:r>
          </w:p>
        </w:tc>
        <w:tc>
          <w:tcPr>
            <w:tcW w:w="3217" w:type="dxa"/>
            <w:tcBorders>
              <w:top w:val="nil"/>
              <w:left w:val="nil"/>
              <w:bottom w:val="nil"/>
              <w:right w:val="nil"/>
            </w:tcBorders>
            <w:shd w:val="clear" w:color="auto" w:fill="auto"/>
            <w:noWrap/>
            <w:tcMar>
              <w:top w:w="15" w:type="dxa"/>
              <w:left w:w="15" w:type="dxa"/>
              <w:right w:w="15" w:type="dxa"/>
            </w:tcMar>
            <w:vAlign w:val="center"/>
          </w:tcPr>
          <w:p w14:paraId="6671C5BA">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金融业</w:t>
            </w:r>
          </w:p>
        </w:tc>
        <w:tc>
          <w:tcPr>
            <w:tcW w:w="1326" w:type="dxa"/>
            <w:tcBorders>
              <w:top w:val="nil"/>
              <w:left w:val="single" w:color="000000" w:sz="4" w:space="0"/>
              <w:bottom w:val="nil"/>
              <w:right w:val="nil"/>
            </w:tcBorders>
            <w:shd w:val="clear" w:color="auto" w:fill="auto"/>
            <w:noWrap/>
            <w:tcMar>
              <w:top w:w="15" w:type="dxa"/>
              <w:left w:w="15" w:type="dxa"/>
              <w:right w:w="15" w:type="dxa"/>
            </w:tcMar>
            <w:vAlign w:val="center"/>
          </w:tcPr>
          <w:p w14:paraId="3D38637B">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r>
      <w:tr w14:paraId="394F2564">
        <w:tblPrEx>
          <w:tblCellMar>
            <w:top w:w="0" w:type="dxa"/>
            <w:left w:w="0" w:type="dxa"/>
            <w:bottom w:w="0" w:type="dxa"/>
            <w:right w:w="0" w:type="dxa"/>
          </w:tblCellMar>
        </w:tblPrEx>
        <w:trPr>
          <w:trHeight w:val="326" w:hRule="atLeast"/>
          <w:jc w:val="center"/>
        </w:trPr>
        <w:tc>
          <w:tcPr>
            <w:tcW w:w="2694" w:type="dxa"/>
            <w:tcBorders>
              <w:top w:val="nil"/>
              <w:left w:val="nil"/>
              <w:bottom w:val="nil"/>
              <w:right w:val="nil"/>
            </w:tcBorders>
            <w:shd w:val="clear" w:color="auto" w:fill="auto"/>
            <w:noWrap/>
            <w:tcMar>
              <w:top w:w="15" w:type="dxa"/>
              <w:left w:w="15" w:type="dxa"/>
              <w:right w:w="15" w:type="dxa"/>
            </w:tcMar>
            <w:vAlign w:val="center"/>
          </w:tcPr>
          <w:p w14:paraId="6F12AD1E">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采矿业</w:t>
            </w:r>
          </w:p>
        </w:tc>
        <w:tc>
          <w:tcPr>
            <w:tcW w:w="1323"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686FA6BF">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c>
          <w:tcPr>
            <w:tcW w:w="3217" w:type="dxa"/>
            <w:tcBorders>
              <w:top w:val="nil"/>
              <w:left w:val="nil"/>
              <w:bottom w:val="nil"/>
              <w:right w:val="nil"/>
            </w:tcBorders>
            <w:shd w:val="clear" w:color="auto" w:fill="auto"/>
            <w:noWrap/>
            <w:tcMar>
              <w:top w:w="15" w:type="dxa"/>
              <w:left w:w="15" w:type="dxa"/>
              <w:right w:w="15" w:type="dxa"/>
            </w:tcMar>
            <w:vAlign w:val="center"/>
          </w:tcPr>
          <w:p w14:paraId="130B13AF">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房地产业</w:t>
            </w:r>
          </w:p>
        </w:tc>
        <w:tc>
          <w:tcPr>
            <w:tcW w:w="1326" w:type="dxa"/>
            <w:tcBorders>
              <w:top w:val="nil"/>
              <w:left w:val="single" w:color="000000" w:sz="4" w:space="0"/>
              <w:bottom w:val="nil"/>
              <w:right w:val="nil"/>
            </w:tcBorders>
            <w:shd w:val="clear" w:color="auto" w:fill="auto"/>
            <w:noWrap/>
            <w:tcMar>
              <w:top w:w="15" w:type="dxa"/>
              <w:left w:w="15" w:type="dxa"/>
              <w:right w:w="15" w:type="dxa"/>
            </w:tcMar>
            <w:vAlign w:val="center"/>
          </w:tcPr>
          <w:p w14:paraId="48CDE14F">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15.3</w:t>
            </w:r>
          </w:p>
        </w:tc>
      </w:tr>
      <w:tr w14:paraId="4F41124F">
        <w:tblPrEx>
          <w:shd w:val="clear" w:color="auto" w:fill="auto"/>
          <w:tblCellMar>
            <w:top w:w="0" w:type="dxa"/>
            <w:left w:w="0" w:type="dxa"/>
            <w:bottom w:w="0" w:type="dxa"/>
            <w:right w:w="0" w:type="dxa"/>
          </w:tblCellMar>
        </w:tblPrEx>
        <w:trPr>
          <w:trHeight w:val="326" w:hRule="atLeast"/>
          <w:jc w:val="center"/>
        </w:trPr>
        <w:tc>
          <w:tcPr>
            <w:tcW w:w="2694" w:type="dxa"/>
            <w:tcBorders>
              <w:top w:val="nil"/>
              <w:left w:val="nil"/>
              <w:bottom w:val="nil"/>
              <w:right w:val="nil"/>
            </w:tcBorders>
            <w:shd w:val="clear" w:color="auto" w:fill="auto"/>
            <w:noWrap/>
            <w:tcMar>
              <w:top w:w="15" w:type="dxa"/>
              <w:left w:w="15" w:type="dxa"/>
              <w:right w:w="15" w:type="dxa"/>
            </w:tcMar>
            <w:vAlign w:val="center"/>
          </w:tcPr>
          <w:p w14:paraId="5513525B">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制造业</w:t>
            </w:r>
          </w:p>
        </w:tc>
        <w:tc>
          <w:tcPr>
            <w:tcW w:w="1323"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5EA4064B">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678.6</w:t>
            </w:r>
          </w:p>
        </w:tc>
        <w:tc>
          <w:tcPr>
            <w:tcW w:w="3217" w:type="dxa"/>
            <w:tcBorders>
              <w:top w:val="nil"/>
              <w:left w:val="nil"/>
              <w:bottom w:val="nil"/>
              <w:right w:val="nil"/>
            </w:tcBorders>
            <w:shd w:val="clear" w:color="auto" w:fill="auto"/>
            <w:noWrap/>
            <w:tcMar>
              <w:top w:w="15" w:type="dxa"/>
              <w:left w:w="15" w:type="dxa"/>
              <w:right w:w="15" w:type="dxa"/>
            </w:tcMar>
            <w:vAlign w:val="center"/>
          </w:tcPr>
          <w:p w14:paraId="06423FB2">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租赁和商务服务业</w:t>
            </w:r>
          </w:p>
        </w:tc>
        <w:tc>
          <w:tcPr>
            <w:tcW w:w="1326" w:type="dxa"/>
            <w:tcBorders>
              <w:top w:val="nil"/>
              <w:left w:val="single" w:color="000000" w:sz="4" w:space="0"/>
              <w:bottom w:val="nil"/>
              <w:right w:val="nil"/>
            </w:tcBorders>
            <w:shd w:val="clear" w:color="auto" w:fill="auto"/>
            <w:noWrap/>
            <w:tcMar>
              <w:top w:w="15" w:type="dxa"/>
              <w:left w:w="15" w:type="dxa"/>
              <w:right w:w="15" w:type="dxa"/>
            </w:tcMar>
            <w:vAlign w:val="center"/>
          </w:tcPr>
          <w:p w14:paraId="185B4E79">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767.7</w:t>
            </w:r>
          </w:p>
        </w:tc>
      </w:tr>
      <w:tr w14:paraId="6E86A692">
        <w:tblPrEx>
          <w:tblCellMar>
            <w:top w:w="0" w:type="dxa"/>
            <w:left w:w="0" w:type="dxa"/>
            <w:bottom w:w="0" w:type="dxa"/>
            <w:right w:w="0" w:type="dxa"/>
          </w:tblCellMar>
        </w:tblPrEx>
        <w:trPr>
          <w:trHeight w:val="326" w:hRule="atLeast"/>
          <w:jc w:val="center"/>
        </w:trPr>
        <w:tc>
          <w:tcPr>
            <w:tcW w:w="2694" w:type="dxa"/>
            <w:vMerge w:val="restart"/>
            <w:tcBorders>
              <w:top w:val="nil"/>
              <w:left w:val="nil"/>
              <w:bottom w:val="nil"/>
              <w:right w:val="nil"/>
            </w:tcBorders>
            <w:shd w:val="clear" w:color="auto" w:fill="auto"/>
            <w:tcMar>
              <w:top w:w="15" w:type="dxa"/>
              <w:left w:w="15" w:type="dxa"/>
              <w:right w:w="15" w:type="dxa"/>
            </w:tcMar>
            <w:vAlign w:val="center"/>
          </w:tcPr>
          <w:p w14:paraId="2C0A7B23">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电力、燃气及水的生产和供应业</w:t>
            </w:r>
          </w:p>
        </w:tc>
        <w:tc>
          <w:tcPr>
            <w:tcW w:w="1323" w:type="dxa"/>
            <w:vMerge w:val="restar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547479DF">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59.6</w:t>
            </w:r>
          </w:p>
        </w:tc>
        <w:tc>
          <w:tcPr>
            <w:tcW w:w="3217" w:type="dxa"/>
            <w:tcBorders>
              <w:top w:val="nil"/>
              <w:left w:val="nil"/>
              <w:bottom w:val="nil"/>
              <w:right w:val="nil"/>
            </w:tcBorders>
            <w:shd w:val="clear" w:color="auto" w:fill="auto"/>
            <w:noWrap/>
            <w:tcMar>
              <w:top w:w="15" w:type="dxa"/>
              <w:left w:w="15" w:type="dxa"/>
              <w:right w:w="15" w:type="dxa"/>
            </w:tcMar>
            <w:vAlign w:val="center"/>
          </w:tcPr>
          <w:p w14:paraId="5833A6AA">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科学研究和技术服务业</w:t>
            </w:r>
          </w:p>
        </w:tc>
        <w:tc>
          <w:tcPr>
            <w:tcW w:w="1326" w:type="dxa"/>
            <w:tcBorders>
              <w:top w:val="nil"/>
              <w:left w:val="single" w:color="000000" w:sz="4" w:space="0"/>
              <w:bottom w:val="nil"/>
              <w:right w:val="nil"/>
            </w:tcBorders>
            <w:shd w:val="clear" w:color="auto" w:fill="auto"/>
            <w:noWrap/>
            <w:tcMar>
              <w:top w:w="15" w:type="dxa"/>
              <w:left w:w="15" w:type="dxa"/>
              <w:right w:w="15" w:type="dxa"/>
            </w:tcMar>
            <w:vAlign w:val="center"/>
          </w:tcPr>
          <w:p w14:paraId="3D49DC14">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-60.2</w:t>
            </w:r>
          </w:p>
        </w:tc>
      </w:tr>
      <w:tr w14:paraId="6EB76AA7">
        <w:tblPrEx>
          <w:tblCellMar>
            <w:top w:w="0" w:type="dxa"/>
            <w:left w:w="0" w:type="dxa"/>
            <w:bottom w:w="0" w:type="dxa"/>
            <w:right w:w="0" w:type="dxa"/>
          </w:tblCellMar>
        </w:tblPrEx>
        <w:trPr>
          <w:trHeight w:val="637" w:hRule="atLeast"/>
          <w:jc w:val="center"/>
        </w:trPr>
        <w:tc>
          <w:tcPr>
            <w:tcW w:w="2694" w:type="dxa"/>
            <w:vMerge w:val="continue"/>
            <w:tcBorders>
              <w:top w:val="nil"/>
              <w:left w:val="nil"/>
              <w:bottom w:val="nil"/>
              <w:right w:val="nil"/>
            </w:tcBorders>
            <w:shd w:val="clear" w:color="auto" w:fill="auto"/>
            <w:tcMar>
              <w:top w:w="15" w:type="dxa"/>
              <w:left w:w="15" w:type="dxa"/>
              <w:right w:w="15" w:type="dxa"/>
            </w:tcMar>
            <w:vAlign w:val="center"/>
          </w:tcPr>
          <w:p w14:paraId="33066AF3">
            <w:pPr>
              <w:jc w:val="left"/>
              <w:rPr>
                <w:rFonts w:hint="eastAsia" w:ascii="宋体" w:hAnsi="宋体" w:eastAsia="宋体" w:cs="宋体"/>
                <w:i w:val="0"/>
                <w:color w:val="000000" w:themeColor="text1"/>
                <w:sz w:val="24"/>
                <w:szCs w:val="24"/>
                <w:u w:val="none"/>
                <w14:textFill>
                  <w14:solidFill>
                    <w14:schemeClr w14:val="tx1"/>
                  </w14:solidFill>
                </w14:textFill>
              </w:rPr>
            </w:pPr>
          </w:p>
        </w:tc>
        <w:tc>
          <w:tcPr>
            <w:tcW w:w="1323"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334CDFB1">
            <w:pPr>
              <w:jc w:val="right"/>
              <w:rPr>
                <w:rFonts w:hint="eastAsia" w:ascii="宋体" w:hAnsi="宋体" w:eastAsia="宋体" w:cs="宋体"/>
                <w:i w:val="0"/>
                <w:color w:val="000000" w:themeColor="text1"/>
                <w:sz w:val="24"/>
                <w:szCs w:val="24"/>
                <w:u w:val="none"/>
                <w14:textFill>
                  <w14:solidFill>
                    <w14:schemeClr w14:val="tx1"/>
                  </w14:solidFill>
                </w14:textFill>
              </w:rPr>
            </w:pPr>
          </w:p>
        </w:tc>
        <w:tc>
          <w:tcPr>
            <w:tcW w:w="3217" w:type="dxa"/>
            <w:tcBorders>
              <w:top w:val="nil"/>
              <w:left w:val="nil"/>
              <w:bottom w:val="nil"/>
              <w:right w:val="nil"/>
            </w:tcBorders>
            <w:shd w:val="clear" w:color="auto" w:fill="auto"/>
            <w:noWrap/>
            <w:tcMar>
              <w:top w:w="15" w:type="dxa"/>
              <w:left w:w="15" w:type="dxa"/>
              <w:right w:w="15" w:type="dxa"/>
            </w:tcMar>
            <w:vAlign w:val="center"/>
          </w:tcPr>
          <w:p w14:paraId="07E299B7">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水利、环境和公共设施管理业</w:t>
            </w:r>
          </w:p>
        </w:tc>
        <w:tc>
          <w:tcPr>
            <w:tcW w:w="1326" w:type="dxa"/>
            <w:tcBorders>
              <w:top w:val="nil"/>
              <w:left w:val="single" w:color="000000" w:sz="4" w:space="0"/>
              <w:bottom w:val="nil"/>
              <w:right w:val="nil"/>
            </w:tcBorders>
            <w:shd w:val="clear" w:color="auto" w:fill="auto"/>
            <w:noWrap/>
            <w:tcMar>
              <w:top w:w="15" w:type="dxa"/>
              <w:left w:w="15" w:type="dxa"/>
              <w:right w:w="15" w:type="dxa"/>
            </w:tcMar>
            <w:vAlign w:val="center"/>
          </w:tcPr>
          <w:p w14:paraId="62A5A23C">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-16.2</w:t>
            </w:r>
          </w:p>
        </w:tc>
      </w:tr>
      <w:tr w14:paraId="7E531DE8">
        <w:tblPrEx>
          <w:tblCellMar>
            <w:top w:w="0" w:type="dxa"/>
            <w:left w:w="0" w:type="dxa"/>
            <w:bottom w:w="0" w:type="dxa"/>
            <w:right w:w="0" w:type="dxa"/>
          </w:tblCellMar>
        </w:tblPrEx>
        <w:trPr>
          <w:trHeight w:val="326" w:hRule="atLeast"/>
          <w:jc w:val="center"/>
        </w:trPr>
        <w:tc>
          <w:tcPr>
            <w:tcW w:w="2694" w:type="dxa"/>
            <w:tcBorders>
              <w:top w:val="nil"/>
              <w:left w:val="nil"/>
              <w:bottom w:val="nil"/>
              <w:right w:val="nil"/>
            </w:tcBorders>
            <w:shd w:val="clear" w:color="auto" w:fill="auto"/>
            <w:noWrap/>
            <w:tcMar>
              <w:top w:w="15" w:type="dxa"/>
              <w:left w:w="15" w:type="dxa"/>
              <w:right w:w="15" w:type="dxa"/>
            </w:tcMar>
            <w:vAlign w:val="center"/>
          </w:tcPr>
          <w:p w14:paraId="782F9846">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建筑业</w:t>
            </w:r>
          </w:p>
        </w:tc>
        <w:tc>
          <w:tcPr>
            <w:tcW w:w="1323"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661CCD9C">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-82.2</w:t>
            </w:r>
          </w:p>
        </w:tc>
        <w:tc>
          <w:tcPr>
            <w:tcW w:w="3217" w:type="dxa"/>
            <w:tcBorders>
              <w:top w:val="nil"/>
              <w:left w:val="nil"/>
              <w:bottom w:val="nil"/>
              <w:right w:val="nil"/>
            </w:tcBorders>
            <w:shd w:val="clear" w:color="auto" w:fill="auto"/>
            <w:noWrap/>
            <w:tcMar>
              <w:top w:w="15" w:type="dxa"/>
              <w:left w:w="15" w:type="dxa"/>
              <w:right w:w="15" w:type="dxa"/>
            </w:tcMar>
            <w:vAlign w:val="center"/>
          </w:tcPr>
          <w:p w14:paraId="64DB14FF">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居民服务和其他服务业</w:t>
            </w:r>
          </w:p>
        </w:tc>
        <w:tc>
          <w:tcPr>
            <w:tcW w:w="1326" w:type="dxa"/>
            <w:tcBorders>
              <w:top w:val="nil"/>
              <w:left w:val="single" w:color="000000" w:sz="4" w:space="0"/>
              <w:bottom w:val="nil"/>
              <w:right w:val="nil"/>
            </w:tcBorders>
            <w:shd w:val="clear" w:color="auto" w:fill="auto"/>
            <w:noWrap/>
            <w:tcMar>
              <w:top w:w="15" w:type="dxa"/>
              <w:left w:w="15" w:type="dxa"/>
              <w:right w:w="15" w:type="dxa"/>
            </w:tcMar>
            <w:vAlign w:val="center"/>
          </w:tcPr>
          <w:p w14:paraId="7FA97FC4">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r>
      <w:tr w14:paraId="1F735B41">
        <w:tblPrEx>
          <w:tblCellMar>
            <w:top w:w="0" w:type="dxa"/>
            <w:left w:w="0" w:type="dxa"/>
            <w:bottom w:w="0" w:type="dxa"/>
            <w:right w:w="0" w:type="dxa"/>
          </w:tblCellMar>
        </w:tblPrEx>
        <w:trPr>
          <w:trHeight w:val="326" w:hRule="atLeast"/>
          <w:jc w:val="center"/>
        </w:trPr>
        <w:tc>
          <w:tcPr>
            <w:tcW w:w="2694" w:type="dxa"/>
            <w:vMerge w:val="restart"/>
            <w:tcBorders>
              <w:top w:val="nil"/>
              <w:left w:val="nil"/>
              <w:bottom w:val="nil"/>
              <w:right w:val="nil"/>
            </w:tcBorders>
            <w:shd w:val="clear" w:color="auto" w:fill="auto"/>
            <w:tcMar>
              <w:top w:w="15" w:type="dxa"/>
              <w:left w:w="15" w:type="dxa"/>
              <w:right w:w="15" w:type="dxa"/>
            </w:tcMar>
            <w:vAlign w:val="center"/>
          </w:tcPr>
          <w:p w14:paraId="693CBA8F">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交通运输、仓储和邮政业</w:t>
            </w:r>
          </w:p>
        </w:tc>
        <w:tc>
          <w:tcPr>
            <w:tcW w:w="1323" w:type="dxa"/>
            <w:vMerge w:val="restar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3119A603">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-41.6</w:t>
            </w:r>
          </w:p>
        </w:tc>
        <w:tc>
          <w:tcPr>
            <w:tcW w:w="3217" w:type="dxa"/>
            <w:tcBorders>
              <w:top w:val="nil"/>
              <w:left w:val="nil"/>
              <w:bottom w:val="nil"/>
              <w:right w:val="nil"/>
            </w:tcBorders>
            <w:shd w:val="clear" w:color="auto" w:fill="auto"/>
            <w:noWrap/>
            <w:tcMar>
              <w:top w:w="15" w:type="dxa"/>
              <w:left w:w="15" w:type="dxa"/>
              <w:right w:w="15" w:type="dxa"/>
            </w:tcMar>
            <w:vAlign w:val="center"/>
          </w:tcPr>
          <w:p w14:paraId="3AD6CFA2">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教育</w:t>
            </w:r>
          </w:p>
        </w:tc>
        <w:tc>
          <w:tcPr>
            <w:tcW w:w="1326" w:type="dxa"/>
            <w:tcBorders>
              <w:top w:val="nil"/>
              <w:left w:val="single" w:color="000000" w:sz="4" w:space="0"/>
              <w:bottom w:val="nil"/>
              <w:right w:val="nil"/>
            </w:tcBorders>
            <w:shd w:val="clear" w:color="auto" w:fill="auto"/>
            <w:noWrap/>
            <w:tcMar>
              <w:top w:w="15" w:type="dxa"/>
              <w:left w:w="15" w:type="dxa"/>
              <w:right w:w="15" w:type="dxa"/>
            </w:tcMar>
            <w:vAlign w:val="center"/>
          </w:tcPr>
          <w:p w14:paraId="0A432F5D">
            <w:pPr>
              <w:keepNext w:val="0"/>
              <w:keepLines w:val="0"/>
              <w:widowControl/>
              <w:suppressLineNumbers w:val="0"/>
              <w:jc w:val="right"/>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23.4</w:t>
            </w:r>
          </w:p>
        </w:tc>
      </w:tr>
      <w:tr w14:paraId="1334751E">
        <w:tblPrEx>
          <w:shd w:val="clear" w:color="auto" w:fill="auto"/>
          <w:tblCellMar>
            <w:top w:w="0" w:type="dxa"/>
            <w:left w:w="0" w:type="dxa"/>
            <w:bottom w:w="0" w:type="dxa"/>
            <w:right w:w="0" w:type="dxa"/>
          </w:tblCellMar>
        </w:tblPrEx>
        <w:trPr>
          <w:trHeight w:val="326" w:hRule="atLeast"/>
          <w:jc w:val="center"/>
        </w:trPr>
        <w:tc>
          <w:tcPr>
            <w:tcW w:w="2694" w:type="dxa"/>
            <w:vMerge w:val="continue"/>
            <w:tcBorders>
              <w:top w:val="nil"/>
              <w:left w:val="nil"/>
              <w:bottom w:val="nil"/>
              <w:right w:val="nil"/>
            </w:tcBorders>
            <w:shd w:val="clear" w:color="auto" w:fill="auto"/>
            <w:tcMar>
              <w:top w:w="15" w:type="dxa"/>
              <w:left w:w="15" w:type="dxa"/>
              <w:right w:w="15" w:type="dxa"/>
            </w:tcMar>
            <w:vAlign w:val="center"/>
          </w:tcPr>
          <w:p w14:paraId="09250D65">
            <w:pPr>
              <w:jc w:val="left"/>
              <w:rPr>
                <w:rFonts w:hint="eastAsia" w:ascii="宋体" w:hAnsi="宋体" w:eastAsia="宋体" w:cs="宋体"/>
                <w:i w:val="0"/>
                <w:color w:val="000000" w:themeColor="text1"/>
                <w:sz w:val="24"/>
                <w:szCs w:val="24"/>
                <w:u w:val="none"/>
                <w14:textFill>
                  <w14:solidFill>
                    <w14:schemeClr w14:val="tx1"/>
                  </w14:solidFill>
                </w14:textFill>
              </w:rPr>
            </w:pPr>
          </w:p>
        </w:tc>
        <w:tc>
          <w:tcPr>
            <w:tcW w:w="1323"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62B1111A">
            <w:pPr>
              <w:jc w:val="right"/>
              <w:rPr>
                <w:rFonts w:hint="eastAsia" w:ascii="宋体" w:hAnsi="宋体" w:eastAsia="宋体" w:cs="宋体"/>
                <w:i w:val="0"/>
                <w:color w:val="000000" w:themeColor="text1"/>
                <w:sz w:val="24"/>
                <w:szCs w:val="24"/>
                <w:u w:val="none"/>
                <w14:textFill>
                  <w14:solidFill>
                    <w14:schemeClr w14:val="tx1"/>
                  </w14:solidFill>
                </w14:textFill>
              </w:rPr>
            </w:pPr>
          </w:p>
        </w:tc>
        <w:tc>
          <w:tcPr>
            <w:tcW w:w="3217" w:type="dxa"/>
            <w:tcBorders>
              <w:top w:val="nil"/>
              <w:left w:val="nil"/>
              <w:bottom w:val="nil"/>
              <w:right w:val="nil"/>
            </w:tcBorders>
            <w:shd w:val="clear" w:color="auto" w:fill="auto"/>
            <w:noWrap/>
            <w:tcMar>
              <w:top w:w="15" w:type="dxa"/>
              <w:left w:w="15" w:type="dxa"/>
              <w:right w:w="15" w:type="dxa"/>
            </w:tcMar>
            <w:vAlign w:val="center"/>
          </w:tcPr>
          <w:p w14:paraId="7ABC8488">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卫生和社会工作</w:t>
            </w:r>
          </w:p>
        </w:tc>
        <w:tc>
          <w:tcPr>
            <w:tcW w:w="1326" w:type="dxa"/>
            <w:tcBorders>
              <w:top w:val="nil"/>
              <w:left w:val="single" w:color="000000" w:sz="4" w:space="0"/>
              <w:bottom w:val="nil"/>
              <w:right w:val="nil"/>
            </w:tcBorders>
            <w:shd w:val="clear" w:color="auto" w:fill="auto"/>
            <w:noWrap/>
            <w:tcMar>
              <w:top w:w="15" w:type="dxa"/>
              <w:left w:w="15" w:type="dxa"/>
              <w:right w:w="15" w:type="dxa"/>
            </w:tcMar>
            <w:vAlign w:val="center"/>
          </w:tcPr>
          <w:p w14:paraId="13323C4A">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12.5</w:t>
            </w:r>
          </w:p>
        </w:tc>
      </w:tr>
      <w:tr w14:paraId="72642AA5">
        <w:tblPrEx>
          <w:shd w:val="clear" w:color="auto" w:fill="auto"/>
          <w:tblCellMar>
            <w:top w:w="0" w:type="dxa"/>
            <w:left w:w="0" w:type="dxa"/>
            <w:bottom w:w="0" w:type="dxa"/>
            <w:right w:w="0" w:type="dxa"/>
          </w:tblCellMar>
        </w:tblPrEx>
        <w:trPr>
          <w:trHeight w:val="326" w:hRule="atLeast"/>
          <w:jc w:val="center"/>
        </w:trPr>
        <w:tc>
          <w:tcPr>
            <w:tcW w:w="2694" w:type="dxa"/>
            <w:vMerge w:val="restart"/>
            <w:tcBorders>
              <w:top w:val="nil"/>
              <w:left w:val="nil"/>
              <w:bottom w:val="nil"/>
              <w:right w:val="nil"/>
            </w:tcBorders>
            <w:shd w:val="clear" w:color="auto" w:fill="auto"/>
            <w:tcMar>
              <w:top w:w="15" w:type="dxa"/>
              <w:left w:w="15" w:type="dxa"/>
              <w:right w:w="15" w:type="dxa"/>
            </w:tcMar>
            <w:vAlign w:val="center"/>
          </w:tcPr>
          <w:p w14:paraId="6415FB80">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信息传输、计算机服务和软件业</w:t>
            </w:r>
          </w:p>
        </w:tc>
        <w:tc>
          <w:tcPr>
            <w:tcW w:w="1323" w:type="dxa"/>
            <w:vMerge w:val="restar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4C37B7B3">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127.1</w:t>
            </w:r>
          </w:p>
        </w:tc>
        <w:tc>
          <w:tcPr>
            <w:tcW w:w="3217" w:type="dxa"/>
            <w:tcBorders>
              <w:top w:val="nil"/>
              <w:left w:val="nil"/>
              <w:bottom w:val="nil"/>
              <w:right w:val="nil"/>
            </w:tcBorders>
            <w:shd w:val="clear" w:color="auto" w:fill="auto"/>
            <w:noWrap/>
            <w:tcMar>
              <w:top w:w="15" w:type="dxa"/>
              <w:left w:w="15" w:type="dxa"/>
              <w:right w:w="15" w:type="dxa"/>
            </w:tcMar>
            <w:vAlign w:val="center"/>
          </w:tcPr>
          <w:p w14:paraId="53AF5487">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文化、体育和娱乐业</w:t>
            </w:r>
          </w:p>
        </w:tc>
        <w:tc>
          <w:tcPr>
            <w:tcW w:w="1326" w:type="dxa"/>
            <w:tcBorders>
              <w:top w:val="nil"/>
              <w:left w:val="single" w:color="000000" w:sz="4" w:space="0"/>
              <w:bottom w:val="nil"/>
              <w:right w:val="nil"/>
            </w:tcBorders>
            <w:shd w:val="clear" w:color="auto" w:fill="auto"/>
            <w:noWrap/>
            <w:tcMar>
              <w:top w:w="15" w:type="dxa"/>
              <w:left w:w="15" w:type="dxa"/>
              <w:right w:w="15" w:type="dxa"/>
            </w:tcMar>
            <w:vAlign w:val="center"/>
          </w:tcPr>
          <w:p w14:paraId="6454A041">
            <w:pPr>
              <w:keepNext w:val="0"/>
              <w:keepLines w:val="0"/>
              <w:widowControl/>
              <w:suppressLineNumbers w:val="0"/>
              <w:jc w:val="right"/>
              <w:textAlignment w:val="center"/>
              <w:rPr>
                <w:rFonts w:hint="default" w:ascii="宋体" w:hAnsi="宋体" w:eastAsia="宋体" w:cs="宋体"/>
                <w:i w:val="0"/>
                <w:color w:val="000000" w:themeColor="text1"/>
                <w:sz w:val="24"/>
                <w:szCs w:val="24"/>
                <w:u w:val="none"/>
                <w:lang w:val="en-US"/>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54.7</w:t>
            </w:r>
          </w:p>
        </w:tc>
      </w:tr>
      <w:tr w14:paraId="3EA3C9D9">
        <w:tblPrEx>
          <w:tblCellMar>
            <w:top w:w="0" w:type="dxa"/>
            <w:left w:w="0" w:type="dxa"/>
            <w:bottom w:w="0" w:type="dxa"/>
            <w:right w:w="0" w:type="dxa"/>
          </w:tblCellMar>
        </w:tblPrEx>
        <w:trPr>
          <w:trHeight w:val="326" w:hRule="atLeast"/>
          <w:jc w:val="center"/>
        </w:trPr>
        <w:tc>
          <w:tcPr>
            <w:tcW w:w="2694" w:type="dxa"/>
            <w:vMerge w:val="continue"/>
            <w:tcBorders>
              <w:top w:val="nil"/>
              <w:left w:val="nil"/>
              <w:bottom w:val="nil"/>
              <w:right w:val="nil"/>
            </w:tcBorders>
            <w:shd w:val="clear" w:color="auto" w:fill="auto"/>
            <w:tcMar>
              <w:top w:w="15" w:type="dxa"/>
              <w:left w:w="15" w:type="dxa"/>
              <w:right w:w="15" w:type="dxa"/>
            </w:tcMar>
            <w:vAlign w:val="center"/>
          </w:tcPr>
          <w:p w14:paraId="5B15CE94">
            <w:pPr>
              <w:jc w:val="left"/>
              <w:rPr>
                <w:rFonts w:hint="eastAsia" w:ascii="宋体" w:hAnsi="宋体" w:eastAsia="宋体" w:cs="宋体"/>
                <w:i w:val="0"/>
                <w:color w:val="000000" w:themeColor="text1"/>
                <w:sz w:val="24"/>
                <w:szCs w:val="24"/>
                <w:u w:val="none"/>
                <w14:textFill>
                  <w14:solidFill>
                    <w14:schemeClr w14:val="tx1"/>
                  </w14:solidFill>
                </w14:textFill>
              </w:rPr>
            </w:pPr>
          </w:p>
        </w:tc>
        <w:tc>
          <w:tcPr>
            <w:tcW w:w="1323"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14:paraId="645C7E96">
            <w:pPr>
              <w:jc w:val="right"/>
              <w:rPr>
                <w:rFonts w:hint="eastAsia" w:ascii="宋体" w:hAnsi="宋体" w:eastAsia="宋体" w:cs="宋体"/>
                <w:i w:val="0"/>
                <w:color w:val="000000" w:themeColor="text1"/>
                <w:sz w:val="24"/>
                <w:szCs w:val="24"/>
                <w:u w:val="none"/>
                <w14:textFill>
                  <w14:solidFill>
                    <w14:schemeClr w14:val="tx1"/>
                  </w14:solidFill>
                </w14:textFill>
              </w:rPr>
            </w:pPr>
          </w:p>
        </w:tc>
        <w:tc>
          <w:tcPr>
            <w:tcW w:w="3217" w:type="dxa"/>
            <w:tcBorders>
              <w:top w:val="nil"/>
              <w:left w:val="nil"/>
              <w:bottom w:val="nil"/>
              <w:right w:val="nil"/>
            </w:tcBorders>
            <w:shd w:val="clear" w:color="auto" w:fill="auto"/>
            <w:noWrap/>
            <w:tcMar>
              <w:top w:w="15" w:type="dxa"/>
              <w:left w:w="15" w:type="dxa"/>
              <w:right w:w="15" w:type="dxa"/>
            </w:tcMar>
            <w:vAlign w:val="center"/>
          </w:tcPr>
          <w:p w14:paraId="2D918DAD">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公共管理和社会组织</w:t>
            </w:r>
          </w:p>
        </w:tc>
        <w:tc>
          <w:tcPr>
            <w:tcW w:w="1326" w:type="dxa"/>
            <w:tcBorders>
              <w:top w:val="nil"/>
              <w:left w:val="single" w:color="000000" w:sz="4" w:space="0"/>
              <w:bottom w:val="nil"/>
              <w:right w:val="nil"/>
            </w:tcBorders>
            <w:shd w:val="clear" w:color="auto" w:fill="auto"/>
            <w:noWrap/>
            <w:tcMar>
              <w:top w:w="15" w:type="dxa"/>
              <w:left w:w="15" w:type="dxa"/>
              <w:right w:w="15" w:type="dxa"/>
            </w:tcMar>
            <w:vAlign w:val="center"/>
          </w:tcPr>
          <w:p w14:paraId="37DFBA55">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r>
      <w:tr w14:paraId="56927836">
        <w:tblPrEx>
          <w:shd w:val="clear" w:color="auto" w:fill="auto"/>
          <w:tblCellMar>
            <w:top w:w="0" w:type="dxa"/>
            <w:left w:w="0" w:type="dxa"/>
            <w:bottom w:w="0" w:type="dxa"/>
            <w:right w:w="0" w:type="dxa"/>
          </w:tblCellMar>
        </w:tblPrEx>
        <w:trPr>
          <w:trHeight w:val="356" w:hRule="atLeast"/>
          <w:jc w:val="center"/>
        </w:trPr>
        <w:tc>
          <w:tcPr>
            <w:tcW w:w="2694" w:type="dxa"/>
            <w:tcBorders>
              <w:top w:val="nil"/>
              <w:left w:val="nil"/>
              <w:bottom w:val="single" w:color="auto" w:sz="12" w:space="0"/>
              <w:right w:val="nil"/>
            </w:tcBorders>
            <w:shd w:val="clear" w:color="auto" w:fill="auto"/>
            <w:noWrap/>
            <w:tcMar>
              <w:top w:w="15" w:type="dxa"/>
              <w:left w:w="15" w:type="dxa"/>
              <w:right w:w="15" w:type="dxa"/>
            </w:tcMar>
            <w:vAlign w:val="center"/>
          </w:tcPr>
          <w:p w14:paraId="51DD50A8">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批发和零售业</w:t>
            </w:r>
          </w:p>
        </w:tc>
        <w:tc>
          <w:tcPr>
            <w:tcW w:w="1323" w:type="dxa"/>
            <w:tcBorders>
              <w:top w:val="nil"/>
              <w:left w:val="single" w:color="000000" w:sz="4" w:space="0"/>
              <w:bottom w:val="single" w:color="auto" w:sz="12" w:space="0"/>
              <w:right w:val="single" w:color="000000" w:sz="4" w:space="0"/>
            </w:tcBorders>
            <w:shd w:val="clear" w:color="auto" w:fill="auto"/>
            <w:noWrap/>
            <w:tcMar>
              <w:top w:w="15" w:type="dxa"/>
              <w:left w:w="15" w:type="dxa"/>
              <w:right w:w="15" w:type="dxa"/>
            </w:tcMar>
            <w:vAlign w:val="center"/>
          </w:tcPr>
          <w:p w14:paraId="5C790065">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461.5</w:t>
            </w:r>
          </w:p>
        </w:tc>
        <w:tc>
          <w:tcPr>
            <w:tcW w:w="3217" w:type="dxa"/>
            <w:tcBorders>
              <w:top w:val="nil"/>
              <w:left w:val="nil"/>
              <w:bottom w:val="single" w:color="auto" w:sz="12" w:space="0"/>
              <w:right w:val="nil"/>
            </w:tcBorders>
            <w:shd w:val="clear" w:color="auto" w:fill="auto"/>
            <w:noWrap/>
            <w:tcMar>
              <w:top w:w="15" w:type="dxa"/>
              <w:left w:w="15" w:type="dxa"/>
              <w:right w:w="15" w:type="dxa"/>
            </w:tcMar>
            <w:vAlign w:val="center"/>
          </w:tcPr>
          <w:p w14:paraId="1EF917D4">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国际组织</w:t>
            </w:r>
          </w:p>
        </w:tc>
        <w:tc>
          <w:tcPr>
            <w:tcW w:w="1326" w:type="dxa"/>
            <w:tcBorders>
              <w:top w:val="nil"/>
              <w:left w:val="single" w:color="000000" w:sz="4" w:space="0"/>
              <w:bottom w:val="single" w:color="auto" w:sz="12" w:space="0"/>
              <w:right w:val="nil"/>
            </w:tcBorders>
            <w:shd w:val="clear" w:color="auto" w:fill="auto"/>
            <w:noWrap/>
            <w:tcMar>
              <w:top w:w="15" w:type="dxa"/>
              <w:left w:w="15" w:type="dxa"/>
              <w:right w:w="15" w:type="dxa"/>
            </w:tcMar>
            <w:vAlign w:val="center"/>
          </w:tcPr>
          <w:p w14:paraId="034AF93B">
            <w:pPr>
              <w:keepNext w:val="0"/>
              <w:keepLines w:val="0"/>
              <w:widowControl/>
              <w:suppressLineNumbers w:val="0"/>
              <w:jc w:val="righ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w:t>
            </w:r>
          </w:p>
        </w:tc>
      </w:tr>
    </w:tbl>
    <w:p w14:paraId="32AB0AC1">
      <w:pPr>
        <w:keepNext w:val="0"/>
        <w:keepLines w:val="0"/>
        <w:pageBreakBefore w:val="0"/>
        <w:widowControl w:val="0"/>
        <w:tabs>
          <w:tab w:val="left" w:pos="74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全年房地产开发投资59.0亿元，比上年增长7.7%。其中住宅类投资33.7亿元，下降18.8%；非住宅类投资25.3亿元，增长90.9%。房地产项目房屋施工面积313.4万平方米，比上年增长3.2%。房屋销售面积30.9万平方米，比上年下降19.9%；房屋销售额44.3亿元，比上年下降14.8%。</w:t>
      </w:r>
    </w:p>
    <w:p w14:paraId="58A7BF64">
      <w:pPr>
        <w:keepNext w:val="0"/>
        <w:keepLines w:val="0"/>
        <w:pageBreakBefore w:val="0"/>
        <w:widowControl w:val="0"/>
        <w:tabs>
          <w:tab w:val="left" w:pos="74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全年中央投资项目13个，已完成全年投资计划，完成投资占年度投资计划的100%；省重点项目4个，已超额完成全年投资计划，完成投资占年度投资计划的156.8%；市重点项目70个，已超额完成全年投资计划，完成投资占年度投资计划的134.1%。</w:t>
      </w:r>
    </w:p>
    <w:p w14:paraId="13BF92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left"/>
        <w:textAlignment w:val="auto"/>
        <w:rPr>
          <w:rStyle w:val="9"/>
          <w:rFonts w:hint="eastAsia" w:ascii="黑体" w:hAnsi="黑体" w:eastAsia="黑体" w:cs="黑体"/>
          <w:b w:val="0"/>
          <w:bCs w:val="0"/>
          <w:i w:val="0"/>
          <w:caps w:val="0"/>
          <w:color w:val="000000" w:themeColor="text1"/>
          <w:spacing w:val="8"/>
          <w:sz w:val="32"/>
          <w:szCs w:val="32"/>
          <w:shd w:val="clear" w:color="auto" w:fill="auto"/>
          <w14:textFill>
            <w14:solidFill>
              <w14:schemeClr w14:val="tx1"/>
            </w14:solidFill>
          </w14:textFill>
        </w:rPr>
      </w:pPr>
      <w:r>
        <w:rPr>
          <w:rFonts w:hint="eastAsia" w:ascii="黑体" w:hAnsi="黑体" w:eastAsia="黑体" w:cs="黑体"/>
          <w:i w:val="0"/>
          <w:caps w:val="0"/>
          <w:color w:val="000000" w:themeColor="text1"/>
          <w:spacing w:val="8"/>
          <w:sz w:val="32"/>
          <w:szCs w:val="32"/>
          <w:shd w:val="clear" w:fill="FFFFFF"/>
          <w:lang w:eastAsia="zh-CN"/>
          <w14:textFill>
            <w14:solidFill>
              <w14:schemeClr w14:val="tx1"/>
            </w14:solidFill>
          </w14:textFill>
        </w:rPr>
        <w:t>七、</w:t>
      </w:r>
      <w:r>
        <w:rPr>
          <w:rStyle w:val="9"/>
          <w:rFonts w:hint="eastAsia" w:ascii="黑体" w:hAnsi="黑体" w:eastAsia="黑体" w:cs="黑体"/>
          <w:b w:val="0"/>
          <w:bCs w:val="0"/>
          <w:i w:val="0"/>
          <w:caps w:val="0"/>
          <w:color w:val="000000" w:themeColor="text1"/>
          <w:spacing w:val="8"/>
          <w:sz w:val="32"/>
          <w:szCs w:val="32"/>
          <w:shd w:val="clear" w:color="auto" w:fill="auto"/>
          <w14:textFill>
            <w14:solidFill>
              <w14:schemeClr w14:val="tx1"/>
            </w14:solidFill>
          </w14:textFill>
        </w:rPr>
        <w:t>对外经济</w:t>
      </w:r>
    </w:p>
    <w:p w14:paraId="71EB3A2B">
      <w:pPr>
        <w:keepNext w:val="0"/>
        <w:keepLines w:val="0"/>
        <w:pageBreakBefore w:val="0"/>
        <w:widowControl w:val="0"/>
        <w:tabs>
          <w:tab w:val="left" w:pos="74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全年货物进出口总额18536.5万元，比上年增长193.8%。其中，出口2669.96万元，增长14.8%；进口15866.57万元，增长298.4%。货物进出口逆差13196.6万元。全年服务进出口总额10778万元，比上年下降58.5%。</w:t>
      </w:r>
    </w:p>
    <w:p w14:paraId="1DA8C64B">
      <w:pPr>
        <w:keepNext w:val="0"/>
        <w:keepLines w:val="0"/>
        <w:pageBreakBefore w:val="0"/>
        <w:widowControl w:val="0"/>
        <w:tabs>
          <w:tab w:val="left" w:pos="74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全年全市外商直接投资新设立企业20家，实际使用外商直接投资金额12099万美元。</w:t>
      </w:r>
    </w:p>
    <w:p w14:paraId="2DED0D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left"/>
        <w:textAlignment w:val="auto"/>
        <w:rPr>
          <w:rStyle w:val="9"/>
          <w:rFonts w:hint="eastAsia" w:ascii="黑体" w:hAnsi="黑体" w:eastAsia="黑体" w:cs="黑体"/>
          <w:b w:val="0"/>
          <w:bCs w:val="0"/>
          <w:i w:val="0"/>
          <w:caps w:val="0"/>
          <w:color w:val="000000" w:themeColor="text1"/>
          <w:spacing w:val="8"/>
          <w:sz w:val="32"/>
          <w:szCs w:val="32"/>
          <w:shd w:val="clear" w:color="auto" w:fill="auto"/>
          <w14:textFill>
            <w14:solidFill>
              <w14:schemeClr w14:val="tx1"/>
            </w14:solidFill>
          </w14:textFill>
        </w:rPr>
      </w:pPr>
      <w:r>
        <w:rPr>
          <w:rStyle w:val="9"/>
          <w:rFonts w:hint="eastAsia" w:ascii="黑体" w:hAnsi="黑体" w:eastAsia="黑体" w:cs="黑体"/>
          <w:b w:val="0"/>
          <w:bCs w:val="0"/>
          <w:i w:val="0"/>
          <w:caps w:val="0"/>
          <w:color w:val="000000" w:themeColor="text1"/>
          <w:spacing w:val="8"/>
          <w:sz w:val="32"/>
          <w:szCs w:val="32"/>
          <w:shd w:val="clear" w:color="auto" w:fill="auto"/>
          <w:lang w:eastAsia="zh-CN"/>
          <w14:textFill>
            <w14:solidFill>
              <w14:schemeClr w14:val="tx1"/>
            </w14:solidFill>
          </w14:textFill>
        </w:rPr>
        <w:t>八、</w:t>
      </w:r>
      <w:r>
        <w:rPr>
          <w:rStyle w:val="9"/>
          <w:rFonts w:hint="eastAsia" w:ascii="黑体" w:hAnsi="黑体" w:eastAsia="黑体" w:cs="黑体"/>
          <w:b w:val="0"/>
          <w:bCs w:val="0"/>
          <w:i w:val="0"/>
          <w:caps w:val="0"/>
          <w:color w:val="000000" w:themeColor="text1"/>
          <w:spacing w:val="8"/>
          <w:sz w:val="32"/>
          <w:szCs w:val="32"/>
          <w:shd w:val="clear" w:color="auto" w:fill="auto"/>
          <w14:textFill>
            <w14:solidFill>
              <w14:schemeClr w14:val="tx1"/>
            </w14:solidFill>
          </w14:textFill>
        </w:rPr>
        <w:t>财政金融</w:t>
      </w:r>
    </w:p>
    <w:p w14:paraId="3273456B">
      <w:pPr>
        <w:keepNext w:val="0"/>
        <w:keepLines w:val="0"/>
        <w:pageBreakBefore w:val="0"/>
        <w:widowControl w:val="0"/>
        <w:tabs>
          <w:tab w:val="left" w:pos="741"/>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全年全市地方一般公共预算收入16.07亿元，比上年增长7.2%。其中，税收收入7.78亿元，下降27.6%。全市地方一般公共预算支出53.11亿元，比上年下降13.8%。</w:t>
      </w:r>
    </w:p>
    <w:p w14:paraId="6DC707F4">
      <w:pPr>
        <w:keepNext w:val="0"/>
        <w:keepLines w:val="0"/>
        <w:pageBreakBefore w:val="0"/>
        <w:widowControl w:val="0"/>
        <w:tabs>
          <w:tab w:val="left" w:pos="74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年末全市金融机构本外币各项存款余额412.68亿元，比年初增长7.0%。全部金融机构本外币各项贷款余额246.5亿元，比年初增长16.1%。其中，住户贷款119.39亿元，增长13.2%；非金融企业及机关团体贷款126.78亿元，增长19.1%。</w:t>
      </w:r>
    </w:p>
    <w:p w14:paraId="7892C9A2">
      <w:pPr>
        <w:keepNext w:val="0"/>
        <w:keepLines w:val="0"/>
        <w:pageBreakBefore w:val="0"/>
        <w:widowControl w:val="0"/>
        <w:tabs>
          <w:tab w:val="left" w:pos="74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年末全市金融机构资产总额459.08亿元，比年初增长8.9%；金融机构负债总额449.91亿元，比年初增长9.1%。全年金融机构利润总额3.0亿元，比年初增长17.4%。银行不良贷款余额6.01亿元，比年初增长71.8%；不良贷款率2.44%，比年初增长0.8个百分点。</w:t>
      </w:r>
    </w:p>
    <w:p w14:paraId="6CCF1ADC">
      <w:pPr>
        <w:keepNext w:val="0"/>
        <w:keepLines w:val="0"/>
        <w:pageBreakBefore w:val="0"/>
        <w:widowControl w:val="0"/>
        <w:tabs>
          <w:tab w:val="left" w:pos="74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全年股票市价总值10.59亿元，比上年增长32.7%；证券和期货交易654.81亿元，比上年增长15.0%。</w:t>
      </w:r>
    </w:p>
    <w:p w14:paraId="50202F0E">
      <w:pPr>
        <w:keepNext w:val="0"/>
        <w:keepLines w:val="0"/>
        <w:pageBreakBefore w:val="0"/>
        <w:widowControl w:val="0"/>
        <w:tabs>
          <w:tab w:val="left" w:pos="741"/>
        </w:tabs>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drawing>
          <wp:anchor distT="0" distB="0" distL="114300" distR="114300" simplePos="0" relativeHeight="251663360" behindDoc="1" locked="0" layoutInCell="1" allowOverlap="1">
            <wp:simplePos x="0" y="0"/>
            <wp:positionH relativeFrom="column">
              <wp:posOffset>125730</wp:posOffset>
            </wp:positionH>
            <wp:positionV relativeFrom="paragraph">
              <wp:posOffset>2359660</wp:posOffset>
            </wp:positionV>
            <wp:extent cx="5363210" cy="3173095"/>
            <wp:effectExtent l="0" t="0" r="8890" b="8255"/>
            <wp:wrapTight wrapText="bothSides">
              <wp:wrapPolygon>
                <wp:start x="0" y="0"/>
                <wp:lineTo x="0" y="21527"/>
                <wp:lineTo x="21559" y="21527"/>
                <wp:lineTo x="21559" y="0"/>
                <wp:lineTo x="0" y="0"/>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全年原保险保费收入5.58亿元，比上年下降5.6%。其中，财产险业务收入2.11亿元，寿险收入3.47亿元，健康险和意外险业务收入0.23亿元。支付各类赔款及给付1.58亿元，比上年增长10.6%。其中，财产险业务赔款1.11亿元，寿险业务给付0.47亿元，健康险和意外伤害险业务赔款及给付0.12亿元。</w:t>
      </w:r>
    </w:p>
    <w:p w14:paraId="5578F9A2">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left"/>
        <w:textAlignment w:val="auto"/>
        <w:rPr>
          <w:rStyle w:val="9"/>
          <w:rFonts w:hint="eastAsia" w:ascii="黑体" w:hAnsi="黑体" w:eastAsia="黑体" w:cs="黑体"/>
          <w:b w:val="0"/>
          <w:bCs w:val="0"/>
          <w:i w:val="0"/>
          <w:caps w:val="0"/>
          <w:color w:val="000000" w:themeColor="text1"/>
          <w:spacing w:val="8"/>
          <w:sz w:val="32"/>
          <w:szCs w:val="32"/>
          <w:shd w:val="clear" w:color="auto" w:fill="auto"/>
          <w14:textFill>
            <w14:solidFill>
              <w14:schemeClr w14:val="tx1"/>
            </w14:solidFill>
          </w14:textFill>
        </w:rPr>
      </w:pPr>
      <w:r>
        <w:rPr>
          <w:rStyle w:val="9"/>
          <w:rFonts w:hint="eastAsia" w:ascii="黑体" w:hAnsi="黑体" w:eastAsia="黑体" w:cs="黑体"/>
          <w:b w:val="0"/>
          <w:bCs w:val="0"/>
          <w:i w:val="0"/>
          <w:caps w:val="0"/>
          <w:color w:val="000000" w:themeColor="text1"/>
          <w:spacing w:val="8"/>
          <w:sz w:val="32"/>
          <w:szCs w:val="32"/>
          <w:shd w:val="clear" w:color="auto" w:fill="auto"/>
          <w14:textFill>
            <w14:solidFill>
              <w14:schemeClr w14:val="tx1"/>
            </w14:solidFill>
          </w14:textFill>
        </w:rPr>
        <w:t>九、居民收入和社会保障</w:t>
      </w:r>
    </w:p>
    <w:p w14:paraId="0BC97F70">
      <w:pPr>
        <w:keepNext w:val="0"/>
        <w:keepLines w:val="0"/>
        <w:pageBreakBefore w:val="0"/>
        <w:widowControl w:val="0"/>
        <w:tabs>
          <w:tab w:val="left" w:pos="74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全年全市城乡居民人均可支配收入26745元，比上年增长5.7%。按常住地分，城镇常住居民人均可支配收入36711元，比上年增长3.1%；农村常住居民人均可支配收入17905元，比上年增长7.9%。</w:t>
      </w:r>
    </w:p>
    <w:p w14:paraId="6BB2E3EC">
      <w:pPr>
        <w:pStyle w:val="2"/>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年末全市参加城镇职工基本养老保险人数11.31万人，比上年增长8.3%。参加城乡居民基本养老保险人数22.11万人，比上年增长2.4%。参加基本医疗保险人数49.88万人，比上年增长1.1%。其中，参加职工基本医疗保险人数8.7万人，增长6.0%；参加城乡居民基本医疗保险人数41.18万人，增长0.1%。参加失业保险人数6.48万人，比上年增长17.8%。参加工伤保险人数5.14万人，比上年增长4.6%。参加生育保险人数5.6万人，比上年增长9.6%。年末全市共有1312人享受城镇居民最低生活保障，8267人享受农村居民最低生活保障，2242人享受农村特困人员救助供养。全年临时救助6966人次。全年资助40056人参加基本医疗保险，实施直接救助2.8万人次。全年提供各类福利院床位数527张。全年销售社会福利彩票902.9万元，筹集社会福利彩票公益金82.2万元，直接接收社会捐赠款2508.3万元。全年抚恤、补助各类优抚对象2738人。</w:t>
      </w:r>
    </w:p>
    <w:p w14:paraId="08AFAE3B">
      <w:pPr>
        <w:keepNext w:val="0"/>
        <w:keepLines w:val="0"/>
        <w:pageBreakBefore w:val="0"/>
        <w:tabs>
          <w:tab w:val="left" w:pos="741"/>
        </w:tabs>
        <w:kinsoku/>
        <w:wordWrap/>
        <w:overflowPunct/>
        <w:topLinePunct w:val="0"/>
        <w:bidi w:val="0"/>
        <w:snapToGrid/>
        <w:spacing w:line="560" w:lineRule="exact"/>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全年全市城镇保障性住房新开工57套，建设面积8750平方米；城镇保障性住房建成187套，建成面积31301平方米。全年完成城镇老旧小区改造4个。年内农村危房改造112户，已全部竣工。</w:t>
      </w:r>
    </w:p>
    <w:p w14:paraId="1FE1121E">
      <w:pPr>
        <w:keepNext w:val="0"/>
        <w:keepLines w:val="0"/>
        <w:pageBreakBefore w:val="0"/>
        <w:kinsoku/>
        <w:wordWrap/>
        <w:overflowPunct/>
        <w:topLinePunct w:val="0"/>
        <w:bidi w:val="0"/>
        <w:snapToGrid/>
        <w:spacing w:line="560" w:lineRule="exact"/>
        <w:ind w:firstLine="672" w:firstLineChars="200"/>
        <w:jc w:val="left"/>
        <w:rPr>
          <w:rStyle w:val="9"/>
          <w:rFonts w:hint="eastAsia" w:ascii="黑体" w:hAnsi="黑体" w:eastAsia="黑体" w:cs="黑体"/>
          <w:b w:val="0"/>
          <w:bCs w:val="0"/>
          <w:i w:val="0"/>
          <w:caps w:val="0"/>
          <w:color w:val="000000" w:themeColor="text1"/>
          <w:spacing w:val="8"/>
          <w:sz w:val="32"/>
          <w:szCs w:val="32"/>
          <w:shd w:val="clear" w:color="auto" w:fill="auto"/>
          <w14:textFill>
            <w14:solidFill>
              <w14:schemeClr w14:val="tx1"/>
            </w14:solidFill>
          </w14:textFill>
        </w:rPr>
      </w:pPr>
      <w:r>
        <w:rPr>
          <w:rStyle w:val="9"/>
          <w:rFonts w:hint="eastAsia" w:ascii="黑体" w:hAnsi="黑体" w:eastAsia="黑体" w:cs="黑体"/>
          <w:b w:val="0"/>
          <w:bCs w:val="0"/>
          <w:i w:val="0"/>
          <w:caps w:val="0"/>
          <w:color w:val="000000" w:themeColor="text1"/>
          <w:spacing w:val="8"/>
          <w:sz w:val="32"/>
          <w:szCs w:val="32"/>
          <w:shd w:val="clear" w:color="auto" w:fill="auto"/>
          <w14:textFill>
            <w14:solidFill>
              <w14:schemeClr w14:val="tx1"/>
            </w14:solidFill>
          </w14:textFill>
        </w:rPr>
        <w:t>十、科学技术和教育</w:t>
      </w:r>
    </w:p>
    <w:p w14:paraId="69710139">
      <w:pPr>
        <w:keepNext w:val="0"/>
        <w:keepLines w:val="0"/>
        <w:pageBreakBefore w:val="0"/>
        <w:tabs>
          <w:tab w:val="left" w:pos="741"/>
        </w:tabs>
        <w:kinsoku/>
        <w:wordWrap/>
        <w:overflowPunct/>
        <w:topLinePunct w:val="0"/>
        <w:bidi w:val="0"/>
        <w:snapToGrid/>
        <w:spacing w:line="560" w:lineRule="exact"/>
        <w:ind w:firstLine="640" w:firstLineChars="200"/>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全年全市共申请专利298项，获得授权147项，每万人发明专利拥有量0.38件。全年新增商标申请895件，比上年增长5.9%；新增商标有效注册3508件，比上年增长13.3%。全年新登记市场主体1.8万户，比上年增长39.1%；年末市场主体总数达5.7万户，比上年增长44.2%。</w:t>
      </w:r>
    </w:p>
    <w:p w14:paraId="222B743F">
      <w:pPr>
        <w:keepNext w:val="0"/>
        <w:keepLines w:val="0"/>
        <w:pageBreakBefore w:val="0"/>
        <w:tabs>
          <w:tab w:val="left" w:pos="741"/>
        </w:tabs>
        <w:kinsoku/>
        <w:wordWrap/>
        <w:overflowPunct/>
        <w:topLinePunct w:val="0"/>
        <w:bidi w:val="0"/>
        <w:snapToGrid/>
        <w:spacing w:line="560" w:lineRule="exact"/>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年末普通高中8所，专任教师0.08万人，增长6.0%；招生0.35万人，增长3.0%；在校学生1.06万人，增长0.2%；毕业生0.36万人，下降2.0%；高中毛入学率95%，提高0.4个百分点。中等职业教育学校1所，招生0.08万人，增长28.0%；在校学生0.19万人，增长18.0%。普通初中21所，专任教师0.15万人，增长4.0%；招生0.76万人，增长0.3%；在校学生2.28万人，增长2.0%；毕业生0.72万人，增长17.0%；初中毛入学率114.9%，下降0.2个百分点。普通小学112所，下降0.3%；专任教师0.29万人，增长12.0%；招生0.69万人，下降12.0%；在校学生4.41万人，下降2.0%；毕业生0.73万人，增长1.4%；小学净入学率100.0%，与上年持平。</w:t>
      </w:r>
    </w:p>
    <w:p w14:paraId="5A88B112">
      <w:pPr>
        <w:keepNext w:val="0"/>
        <w:keepLines w:val="0"/>
        <w:pageBreakBefore w:val="0"/>
        <w:kinsoku/>
        <w:wordWrap/>
        <w:overflowPunct/>
        <w:topLinePunct w:val="0"/>
        <w:bidi w:val="0"/>
        <w:snapToGrid/>
        <w:spacing w:line="560" w:lineRule="exact"/>
        <w:ind w:firstLine="672" w:firstLineChars="200"/>
        <w:jc w:val="left"/>
        <w:rPr>
          <w:rStyle w:val="9"/>
          <w:rFonts w:hint="eastAsia" w:ascii="黑体" w:hAnsi="黑体" w:eastAsia="黑体" w:cs="黑体"/>
          <w:b w:val="0"/>
          <w:bCs w:val="0"/>
          <w:i w:val="0"/>
          <w:caps w:val="0"/>
          <w:color w:val="000000" w:themeColor="text1"/>
          <w:spacing w:val="8"/>
          <w:sz w:val="32"/>
          <w:szCs w:val="32"/>
          <w:shd w:val="clear" w:color="auto" w:fill="auto"/>
          <w14:textFill>
            <w14:solidFill>
              <w14:schemeClr w14:val="tx1"/>
            </w14:solidFill>
          </w14:textFill>
        </w:rPr>
      </w:pPr>
      <w:r>
        <w:rPr>
          <w:rStyle w:val="9"/>
          <w:rFonts w:hint="eastAsia" w:ascii="黑体" w:hAnsi="黑体" w:eastAsia="黑体" w:cs="黑体"/>
          <w:b w:val="0"/>
          <w:bCs w:val="0"/>
          <w:i w:val="0"/>
          <w:caps w:val="0"/>
          <w:color w:val="000000" w:themeColor="text1"/>
          <w:spacing w:val="8"/>
          <w:sz w:val="32"/>
          <w:szCs w:val="32"/>
          <w:shd w:val="clear" w:color="auto" w:fill="auto"/>
          <w14:textFill>
            <w14:solidFill>
              <w14:schemeClr w14:val="tx1"/>
            </w14:solidFill>
          </w14:textFill>
        </w:rPr>
        <w:t>十一、文化旅游、卫生健康和体育</w:t>
      </w:r>
    </w:p>
    <w:p w14:paraId="6007FB9E">
      <w:pPr>
        <w:keepNext w:val="0"/>
        <w:keepLines w:val="0"/>
        <w:pageBreakBefore w:val="0"/>
        <w:tabs>
          <w:tab w:val="left" w:pos="741"/>
        </w:tabs>
        <w:kinsoku/>
        <w:wordWrap/>
        <w:overflowPunct/>
        <w:topLinePunct w:val="0"/>
        <w:bidi w:val="0"/>
        <w:snapToGrid/>
        <w:spacing w:line="560" w:lineRule="exact"/>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年末全市共有各类艺术表演团体14个，文化艺术馆2个，公共图书馆4个，博物馆2个。全市广播电视台1座，广播综合人口覆盖率和电视综合人口覆盖率分别达99.1%和99.2%。有线电视用户5.26万户。</w:t>
      </w:r>
    </w:p>
    <w:p w14:paraId="7436530B">
      <w:pPr>
        <w:keepNext w:val="0"/>
        <w:keepLines w:val="0"/>
        <w:pageBreakBefore w:val="0"/>
        <w:tabs>
          <w:tab w:val="left" w:pos="741"/>
        </w:tabs>
        <w:kinsoku/>
        <w:wordWrap/>
        <w:overflowPunct/>
        <w:topLinePunct w:val="0"/>
        <w:bidi w:val="0"/>
        <w:snapToGrid/>
        <w:spacing w:line="560" w:lineRule="exact"/>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持续推进文旅深度融合。全年成功举办2020（第八届）海南乡村旅游文化节、2020年海南亲水运动季开幕式、2020年第六届琼海潭门赶海节、长坡渔民文化节、“万泉河河畔.国潮再期”旅游消费主题夜市活动以及2020年（第二十一届）海南国际旅游岛欢乐节琼海分会场等系列文旅活动。</w:t>
      </w:r>
    </w:p>
    <w:p w14:paraId="0BF7D7E5">
      <w:pPr>
        <w:keepNext w:val="0"/>
        <w:keepLines w:val="0"/>
        <w:pageBreakBefore w:val="0"/>
        <w:tabs>
          <w:tab w:val="left" w:pos="741"/>
        </w:tabs>
        <w:kinsoku/>
        <w:wordWrap/>
        <w:overflowPunct/>
        <w:topLinePunct w:val="0"/>
        <w:bidi w:val="0"/>
        <w:snapToGrid/>
        <w:spacing w:line="560" w:lineRule="exact"/>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强力打造旅游品牌。中国（海南）南海博物馆核定为国家一级博物馆；“祭祀兄弟公出海仪式”被列入第五批国家级非物质文化遗产代表性项目；北仍村、沙美村、南强村入选第二批“全国重点乡村旅游村”。</w:t>
      </w:r>
    </w:p>
    <w:p w14:paraId="1CD8C549">
      <w:pPr>
        <w:keepNext w:val="0"/>
        <w:keepLines w:val="0"/>
        <w:pageBreakBefore w:val="0"/>
        <w:tabs>
          <w:tab w:val="left" w:pos="741"/>
        </w:tabs>
        <w:kinsoku/>
        <w:wordWrap/>
        <w:overflowPunct/>
        <w:topLinePunct w:val="0"/>
        <w:bidi w:val="0"/>
        <w:snapToGrid/>
        <w:spacing w:line="560" w:lineRule="exact"/>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文化事业蓬勃发展。全年开展主题阅读推广活动12场，书画及其它展览4场，参加读者人数约1500多人；开展惠民演出活动31场，观众人次约3万人次。先后创作改编传统琼剧剧目《月老知县》、《东齐招亲》、《三访结发妻》、《县长王大鹏》等。参加十七届海南省东西南北中文艺会演的原创作品《防疫风波》，荣获二等奖。</w:t>
      </w:r>
    </w:p>
    <w:p w14:paraId="01C459F6">
      <w:pPr>
        <w:keepNext w:val="0"/>
        <w:keepLines w:val="0"/>
        <w:pageBreakBefore w:val="0"/>
        <w:tabs>
          <w:tab w:val="left" w:pos="741"/>
        </w:tabs>
        <w:kinsoku/>
        <w:wordWrap/>
        <w:overflowPunct/>
        <w:topLinePunct w:val="0"/>
        <w:bidi w:val="0"/>
        <w:snapToGrid/>
        <w:spacing w:line="560" w:lineRule="exact"/>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全年接待游客398.29万人次，比上年下降20.4%。其中过夜游客300.9万人次，下降15.8%。实现旅游总收入35.13亿元，比上年下降4.9%。年末全市共有挂牌星级宾馆酒店11家，其中五星级2家，四星级1家，三星级8家。</w:t>
      </w:r>
    </w:p>
    <w:p w14:paraId="0EEE76A9">
      <w:pPr>
        <w:keepNext w:val="0"/>
        <w:keepLines w:val="0"/>
        <w:pageBreakBefore w:val="0"/>
        <w:tabs>
          <w:tab w:val="left" w:pos="741"/>
        </w:tabs>
        <w:kinsoku/>
        <w:wordWrap/>
        <w:overflowPunct/>
        <w:topLinePunct w:val="0"/>
        <w:bidi w:val="0"/>
        <w:snapToGrid/>
        <w:spacing w:line="560" w:lineRule="exact"/>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年末全市共有医疗卫生机构279个，其中医院（卫生院）37个，农村乡（镇）卫生院15个，社区卫生服务中心（站）14个；疾病预防控制中心1个，妇幼保健院1个，专科疾病防治机构1个。年末卫生技术人员4359人，其中执业医师和执业助理医师1478人，注册护士2005人。医疗卫生机构床位4558张，其中医院（卫生院）4351张，乡镇卫生院256张。全年总诊疗人次275.33万人次，出院人数7.27万人。年末累计报告新型冠状病毒肺炎确诊病例6例，累计治愈出院病例5例，累计死亡1人。</w:t>
      </w:r>
    </w:p>
    <w:p w14:paraId="79B07DBC">
      <w:pPr>
        <w:keepNext w:val="0"/>
        <w:keepLines w:val="0"/>
        <w:pageBreakBefore w:val="0"/>
        <w:tabs>
          <w:tab w:val="left" w:pos="741"/>
        </w:tabs>
        <w:kinsoku/>
        <w:wordWrap/>
        <w:overflowPunct/>
        <w:topLinePunct w:val="0"/>
        <w:bidi w:val="0"/>
        <w:snapToGrid/>
        <w:spacing w:line="560" w:lineRule="exact"/>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全年举办体育赛事活动共20场次，其中市级16场次，镇级4场次。</w:t>
      </w:r>
    </w:p>
    <w:p w14:paraId="01D510A4">
      <w:pPr>
        <w:keepNext w:val="0"/>
        <w:keepLines w:val="0"/>
        <w:pageBreakBefore w:val="0"/>
        <w:kinsoku/>
        <w:wordWrap/>
        <w:overflowPunct/>
        <w:topLinePunct w:val="0"/>
        <w:bidi w:val="0"/>
        <w:snapToGrid/>
        <w:spacing w:line="560" w:lineRule="exact"/>
        <w:ind w:firstLine="672" w:firstLineChars="200"/>
        <w:jc w:val="left"/>
        <w:rPr>
          <w:rStyle w:val="9"/>
          <w:rFonts w:hint="eastAsia" w:ascii="黑体" w:hAnsi="黑体" w:eastAsia="黑体" w:cs="黑体"/>
          <w:b w:val="0"/>
          <w:bCs w:val="0"/>
          <w:i w:val="0"/>
          <w:caps w:val="0"/>
          <w:color w:val="0000FF"/>
          <w:spacing w:val="8"/>
          <w:sz w:val="32"/>
          <w:szCs w:val="32"/>
          <w:shd w:val="clear" w:color="auto" w:fill="auto"/>
        </w:rPr>
      </w:pPr>
      <w:r>
        <w:rPr>
          <w:rStyle w:val="9"/>
          <w:rFonts w:hint="eastAsia" w:ascii="黑体" w:hAnsi="黑体" w:eastAsia="黑体" w:cs="黑体"/>
          <w:b w:val="0"/>
          <w:bCs w:val="0"/>
          <w:i w:val="0"/>
          <w:caps w:val="0"/>
          <w:color w:val="000000" w:themeColor="text1"/>
          <w:spacing w:val="8"/>
          <w:sz w:val="32"/>
          <w:szCs w:val="32"/>
          <w:shd w:val="clear" w:color="auto" w:fill="auto"/>
          <w14:textFill>
            <w14:solidFill>
              <w14:schemeClr w14:val="tx1"/>
            </w14:solidFill>
          </w14:textFill>
        </w:rPr>
        <w:t>十二、资源、环境和应急管理</w:t>
      </w:r>
    </w:p>
    <w:p w14:paraId="7C6E014F">
      <w:pPr>
        <w:keepNext w:val="0"/>
        <w:keepLines w:val="0"/>
        <w:pageBreakBefore w:val="0"/>
        <w:tabs>
          <w:tab w:val="left" w:pos="741"/>
        </w:tabs>
        <w:kinsoku/>
        <w:wordWrap/>
        <w:overflowPunct/>
        <w:topLinePunct w:val="0"/>
        <w:bidi w:val="0"/>
        <w:snapToGrid/>
        <w:spacing w:line="560" w:lineRule="exact"/>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全年新建文明生态村133个，累计达到2636个。</w:t>
      </w:r>
    </w:p>
    <w:p w14:paraId="2F70D74E">
      <w:pPr>
        <w:keepNext w:val="0"/>
        <w:keepLines w:val="0"/>
        <w:pageBreakBefore w:val="0"/>
        <w:tabs>
          <w:tab w:val="left" w:pos="741"/>
        </w:tabs>
        <w:kinsoku/>
        <w:wordWrap/>
        <w:overflowPunct/>
        <w:topLinePunct w:val="0"/>
        <w:bidi w:val="0"/>
        <w:snapToGrid/>
        <w:spacing w:line="560" w:lineRule="exact"/>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全年造林绿化面积8480亩。</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全年建成区绿化覆盖面积789.7公顷，绿化覆盖率38.24％。</w:t>
      </w:r>
    </w:p>
    <w:p w14:paraId="46193D12">
      <w:pPr>
        <w:keepNext w:val="0"/>
        <w:keepLines w:val="0"/>
        <w:pageBreakBefore w:val="0"/>
        <w:tabs>
          <w:tab w:val="left" w:pos="741"/>
        </w:tabs>
        <w:kinsoku/>
        <w:wordWrap/>
        <w:overflowPunct/>
        <w:topLinePunct w:val="0"/>
        <w:bidi w:val="0"/>
        <w:snapToGrid/>
        <w:spacing w:line="560" w:lineRule="exact"/>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全年全市环境空气质量优良率100%，其中PM2.5年均浓度为13微克/立方米，PM10年均浓度为24微克/立方米。城镇内河（湖）水污染治理完成比例100%。近岸海域水质优良率100%。城市饮用水水源地水质达标率保持100%。</w:t>
      </w:r>
    </w:p>
    <w:p w14:paraId="1CAEC7CF">
      <w:pPr>
        <w:keepNext w:val="0"/>
        <w:keepLines w:val="0"/>
        <w:pageBreakBefore w:val="0"/>
        <w:tabs>
          <w:tab w:val="left" w:pos="741"/>
        </w:tabs>
        <w:kinsoku/>
        <w:wordWrap/>
        <w:overflowPunct/>
        <w:topLinePunct w:val="0"/>
        <w:bidi w:val="0"/>
        <w:snapToGrid/>
        <w:spacing w:line="560" w:lineRule="exact"/>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全市现有城镇污水处理设施（已建成）4个，年末城镇污水处理厂日处理能力3万立方米，城镇污水集中处理率96.02%。现有农村生活污水处理设施覆盖率43.1%。现有垃圾处理设施（已建成）1个，城市生活垃圾无害化处理率100%。</w:t>
      </w:r>
    </w:p>
    <w:p w14:paraId="486239FE">
      <w:pPr>
        <w:keepNext w:val="0"/>
        <w:keepLines w:val="0"/>
        <w:pageBreakBefore w:val="0"/>
        <w:tabs>
          <w:tab w:val="left" w:pos="741"/>
        </w:tabs>
        <w:kinsoku/>
        <w:wordWrap/>
        <w:overflowPunct/>
        <w:topLinePunct w:val="0"/>
        <w:bidi w:val="0"/>
        <w:snapToGrid/>
        <w:spacing w:line="560" w:lineRule="exact"/>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全年全市发生生产安全事故5起，死亡4人，比上年分别下降16.7%和42.9%。其中，生产经营性道路交通事故发生2起，死亡1人；工矿商贸生产经营性安全事故3起，死亡3人。亿元地区生产总值生产安全事故死亡0.014人，比上年减少0.007人。道路交通万车死亡率2.84人/万车，比上年减少0.13人/万车。全年全年各类自然灾害造成直接经济损失5026万元，投入救灾救济资金2.4万元。</w:t>
      </w:r>
    </w:p>
    <w:p w14:paraId="49B42698">
      <w:pPr>
        <w:keepNext w:val="0"/>
        <w:keepLines w:val="0"/>
        <w:pageBreakBefore w:val="0"/>
        <w:tabs>
          <w:tab w:val="left" w:pos="741"/>
        </w:tabs>
        <w:kinsoku/>
        <w:wordWrap/>
        <w:overflowPunct/>
        <w:topLinePunct w:val="0"/>
        <w:bidi w:val="0"/>
        <w:snapToGrid/>
        <w:spacing w:line="560" w:lineRule="exact"/>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全年全市发生火灾事故210起，造成直接经济损失154.5万元。</w:t>
      </w:r>
    </w:p>
    <w:p w14:paraId="59D2B0FB">
      <w:pPr>
        <w:pStyle w:val="2"/>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p>
    <w:p w14:paraId="3198066F">
      <w:pPr>
        <w:pStyle w:val="2"/>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p>
    <w:p w14:paraId="36DCDDA0">
      <w:pPr>
        <w:pStyle w:val="2"/>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p>
    <w:p w14:paraId="6D0C7A1D">
      <w:pPr>
        <w:pStyle w:val="2"/>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p>
    <w:p w14:paraId="4BF2B632">
      <w:pPr>
        <w:pStyle w:val="2"/>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p>
    <w:p w14:paraId="7EF5DD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 w:beforeAutospacing="0" w:after="200" w:afterAutospacing="0" w:line="560" w:lineRule="exact"/>
        <w:ind w:right="0"/>
        <w:jc w:val="center"/>
        <w:textAlignment w:val="baseline"/>
        <w:rPr>
          <w:rFonts w:hint="eastAsia" w:ascii="方正小标宋_GBK" w:hAnsi="方正小标宋_GBK" w:eastAsia="方正小标宋_GBK" w:cs="方正小标宋_GBK"/>
          <w:b w:val="0"/>
          <w:bCs w:val="0"/>
          <w:i w:val="0"/>
          <w:caps w:val="0"/>
          <w:color w:val="000000" w:themeColor="text1"/>
          <w:spacing w:val="0"/>
          <w:sz w:val="32"/>
          <w:szCs w:val="32"/>
          <w:shd w:val="clear" w:fill="FFFFFF"/>
          <w:vertAlign w:val="baseline"/>
          <w14:textFill>
            <w14:solidFill>
              <w14:schemeClr w14:val="tx1"/>
            </w14:solidFill>
          </w14:textFill>
        </w:rPr>
      </w:pPr>
      <w:r>
        <w:rPr>
          <w:rFonts w:hint="eastAsia" w:ascii="方正小标宋_GBK" w:hAnsi="方正小标宋_GBK" w:eastAsia="方正小标宋_GBK" w:cs="方正小标宋_GBK"/>
          <w:b w:val="0"/>
          <w:bCs w:val="0"/>
          <w:i w:val="0"/>
          <w:caps w:val="0"/>
          <w:color w:val="000000" w:themeColor="text1"/>
          <w:spacing w:val="0"/>
          <w:sz w:val="32"/>
          <w:szCs w:val="32"/>
          <w:shd w:val="clear" w:fill="FFFFFF"/>
          <w:vertAlign w:val="baseline"/>
          <w14:textFill>
            <w14:solidFill>
              <w14:schemeClr w14:val="tx1"/>
            </w14:solidFill>
          </w14:textFill>
        </w:rPr>
        <w:t>注</w:t>
      </w:r>
      <w:r>
        <w:rPr>
          <w:rFonts w:hint="eastAsia" w:ascii="方正小标宋_GBK" w:hAnsi="方正小标宋_GBK" w:eastAsia="方正小标宋_GBK" w:cs="方正小标宋_GBK"/>
          <w:b w:val="0"/>
          <w:bCs w:val="0"/>
          <w:i w:val="0"/>
          <w:caps w:val="0"/>
          <w:color w:val="000000" w:themeColor="text1"/>
          <w:spacing w:val="0"/>
          <w:sz w:val="32"/>
          <w:szCs w:val="32"/>
          <w:shd w:val="clear" w:fill="FFFFFF"/>
          <w:vertAlign w:val="baseline"/>
          <w:lang w:val="en-US" w:eastAsia="zh-CN"/>
          <w14:textFill>
            <w14:solidFill>
              <w14:schemeClr w14:val="tx1"/>
            </w14:solidFill>
          </w14:textFill>
        </w:rPr>
        <w:t xml:space="preserve"> </w:t>
      </w:r>
      <w:r>
        <w:rPr>
          <w:rFonts w:hint="eastAsia" w:ascii="方正小标宋_GBK" w:hAnsi="方正小标宋_GBK" w:eastAsia="方正小标宋_GBK" w:cs="方正小标宋_GBK"/>
          <w:b w:val="0"/>
          <w:bCs w:val="0"/>
          <w:i w:val="0"/>
          <w:caps w:val="0"/>
          <w:color w:val="000000" w:themeColor="text1"/>
          <w:spacing w:val="0"/>
          <w:sz w:val="32"/>
          <w:szCs w:val="32"/>
          <w:shd w:val="clear" w:fill="FFFFFF"/>
          <w:vertAlign w:val="baseline"/>
          <w14:textFill>
            <w14:solidFill>
              <w14:schemeClr w14:val="tx1"/>
            </w14:solidFill>
          </w14:textFill>
        </w:rPr>
        <w:t xml:space="preserve"> 释</w:t>
      </w:r>
    </w:p>
    <w:p w14:paraId="5DACF83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line="360" w:lineRule="atLeast"/>
        <w:ind w:left="0" w:right="0" w:firstLine="480" w:firstLineChars="200"/>
        <w:textAlignment w:val="baseline"/>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1.本公报部分数据为初步统计数，部分数据为预计数，最终核实数以《琼海统计年鉴-20</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val="en-US" w:eastAsia="zh-CN"/>
          <w14:textFill>
            <w14:solidFill>
              <w14:schemeClr w14:val="tx1"/>
            </w14:solidFill>
          </w14:textFill>
        </w:rPr>
        <w:t>2</w:t>
      </w:r>
      <w:r>
        <w:rPr>
          <w:rFonts w:hint="eastAsia" w:asciiTheme="minorEastAsia" w:hAnsiTheme="minorEastAsia" w:cstheme="minorEastAsia"/>
          <w:i w:val="0"/>
          <w:caps w:val="0"/>
          <w:color w:val="000000" w:themeColor="text1"/>
          <w:spacing w:val="0"/>
          <w:sz w:val="24"/>
          <w:szCs w:val="24"/>
          <w:shd w:val="clear" w:fill="FFFFFF"/>
          <w:vertAlign w:val="baseline"/>
          <w:lang w:val="en-US" w:eastAsia="zh-CN"/>
          <w14:textFill>
            <w14:solidFill>
              <w14:schemeClr w14:val="tx1"/>
            </w14:solidFill>
          </w14:textFill>
        </w:rPr>
        <w:t>1</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》公布的数据为准；</w:t>
      </w:r>
    </w:p>
    <w:p w14:paraId="3E60EF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line="360" w:lineRule="atLeast"/>
        <w:ind w:left="0" w:right="0" w:firstLine="480" w:firstLineChars="200"/>
        <w:textAlignment w:val="baseline"/>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2.地区生产总值和各产业增加值绝对数按现行价格计算，增长速度按不变价格计算。根据《国民经济行业分类》（GB/T4754-2017）对三次产业进行划分。</w:t>
      </w:r>
    </w:p>
    <w:p w14:paraId="5249FD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0" w:afterAutospacing="0" w:line="360" w:lineRule="atLeast"/>
        <w:ind w:left="0" w:right="0" w:firstLine="480" w:firstLineChars="200"/>
        <w:textAlignment w:val="baseline"/>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3.本公报中部分指标合计数与分项数有出入主要是由于四舍五入的原因，均未作机械调整。</w:t>
      </w:r>
    </w:p>
    <w:p w14:paraId="2353461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6" w:beforeAutospacing="0" w:after="16" w:afterAutospacing="0" w:line="560" w:lineRule="exact"/>
        <w:ind w:right="0"/>
        <w:jc w:val="both"/>
        <w:textAlignment w:val="baseline"/>
        <w:rPr>
          <w:rFonts w:hint="eastAsia" w:ascii="楷体" w:hAnsi="楷体" w:eastAsia="楷体" w:cs="楷体"/>
          <w:i w:val="0"/>
          <w:caps w:val="0"/>
          <w:color w:val="0000FF"/>
          <w:spacing w:val="0"/>
          <w:sz w:val="30"/>
          <w:szCs w:val="30"/>
          <w:shd w:val="clear" w:fill="FFFFFF"/>
          <w:vertAlign w:val="baseline"/>
        </w:rPr>
      </w:pPr>
    </w:p>
    <w:p w14:paraId="7AB19B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6" w:beforeAutospacing="0" w:after="16" w:afterAutospacing="0" w:line="560" w:lineRule="exact"/>
        <w:ind w:right="0"/>
        <w:jc w:val="both"/>
        <w:textAlignment w:val="baseline"/>
        <w:rPr>
          <w:rFonts w:hint="eastAsia" w:ascii="楷体" w:hAnsi="楷体" w:eastAsia="楷体" w:cs="楷体"/>
          <w:i w:val="0"/>
          <w:caps w:val="0"/>
          <w:color w:val="0000FF"/>
          <w:spacing w:val="0"/>
          <w:sz w:val="30"/>
          <w:szCs w:val="30"/>
          <w:shd w:val="clear" w:fill="FFFFFF"/>
          <w:vertAlign w:val="baseline"/>
        </w:rPr>
      </w:pPr>
    </w:p>
    <w:p w14:paraId="2E0ECD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6" w:beforeAutospacing="0" w:after="16" w:afterAutospacing="0" w:line="560" w:lineRule="exact"/>
        <w:ind w:right="0"/>
        <w:jc w:val="both"/>
        <w:textAlignment w:val="baseline"/>
        <w:rPr>
          <w:rFonts w:hint="eastAsia" w:ascii="楷体" w:hAnsi="楷体" w:eastAsia="楷体" w:cs="楷体"/>
          <w:i w:val="0"/>
          <w:caps w:val="0"/>
          <w:color w:val="0000FF"/>
          <w:spacing w:val="0"/>
          <w:sz w:val="30"/>
          <w:szCs w:val="30"/>
          <w:shd w:val="clear" w:fill="FFFFFF"/>
          <w:vertAlign w:val="baseline"/>
        </w:rPr>
      </w:pPr>
    </w:p>
    <w:p w14:paraId="47AC6C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6" w:beforeAutospacing="0" w:after="16" w:afterAutospacing="0" w:line="560" w:lineRule="exact"/>
        <w:ind w:right="0"/>
        <w:jc w:val="both"/>
        <w:textAlignment w:val="baseline"/>
        <w:rPr>
          <w:rFonts w:hint="eastAsia" w:ascii="楷体" w:hAnsi="楷体" w:eastAsia="楷体" w:cs="楷体"/>
          <w:i w:val="0"/>
          <w:caps w:val="0"/>
          <w:color w:val="0000FF"/>
          <w:spacing w:val="0"/>
          <w:sz w:val="30"/>
          <w:szCs w:val="30"/>
          <w:shd w:val="clear" w:fill="FFFFFF"/>
          <w:vertAlign w:val="baseline"/>
        </w:rPr>
      </w:pPr>
    </w:p>
    <w:p w14:paraId="4D7115F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6" w:beforeAutospacing="0" w:after="16" w:afterAutospacing="0" w:line="560" w:lineRule="exact"/>
        <w:ind w:right="0"/>
        <w:jc w:val="both"/>
        <w:textAlignment w:val="baseline"/>
        <w:rPr>
          <w:rFonts w:hint="eastAsia" w:ascii="楷体" w:hAnsi="楷体" w:eastAsia="楷体" w:cs="楷体"/>
          <w:i w:val="0"/>
          <w:caps w:val="0"/>
          <w:color w:val="0000FF"/>
          <w:spacing w:val="0"/>
          <w:sz w:val="30"/>
          <w:szCs w:val="30"/>
          <w:shd w:val="clear" w:fill="FFFFFF"/>
          <w:vertAlign w:val="baseline"/>
        </w:rPr>
      </w:pPr>
    </w:p>
    <w:p w14:paraId="6100DC4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6" w:beforeAutospacing="0" w:after="16" w:afterAutospacing="0" w:line="560" w:lineRule="exact"/>
        <w:ind w:right="0"/>
        <w:jc w:val="both"/>
        <w:textAlignment w:val="baseline"/>
        <w:rPr>
          <w:rFonts w:hint="eastAsia" w:ascii="楷体" w:hAnsi="楷体" w:eastAsia="楷体" w:cs="楷体"/>
          <w:i w:val="0"/>
          <w:caps w:val="0"/>
          <w:color w:val="0000FF"/>
          <w:spacing w:val="0"/>
          <w:sz w:val="30"/>
          <w:szCs w:val="30"/>
          <w:shd w:val="clear" w:fill="FFFFFF"/>
          <w:vertAlign w:val="baseline"/>
        </w:rPr>
      </w:pPr>
    </w:p>
    <w:p w14:paraId="530F2A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6" w:beforeAutospacing="0" w:after="16" w:afterAutospacing="0" w:line="560" w:lineRule="exact"/>
        <w:ind w:right="0"/>
        <w:jc w:val="both"/>
        <w:textAlignment w:val="baseline"/>
        <w:rPr>
          <w:rFonts w:hint="eastAsia" w:ascii="楷体" w:hAnsi="楷体" w:eastAsia="楷体" w:cs="楷体"/>
          <w:i w:val="0"/>
          <w:caps w:val="0"/>
          <w:color w:val="0000FF"/>
          <w:spacing w:val="0"/>
          <w:sz w:val="30"/>
          <w:szCs w:val="30"/>
          <w:shd w:val="clear" w:fill="FFFFFF"/>
          <w:vertAlign w:val="baseline"/>
        </w:rPr>
      </w:pPr>
    </w:p>
    <w:p w14:paraId="5D57F4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6" w:beforeAutospacing="0" w:after="16" w:afterAutospacing="0" w:line="560" w:lineRule="exact"/>
        <w:ind w:right="0"/>
        <w:jc w:val="both"/>
        <w:textAlignment w:val="baseline"/>
        <w:rPr>
          <w:rFonts w:hint="eastAsia" w:ascii="楷体" w:hAnsi="楷体" w:eastAsia="楷体" w:cs="楷体"/>
          <w:i w:val="0"/>
          <w:caps w:val="0"/>
          <w:color w:val="0000FF"/>
          <w:spacing w:val="0"/>
          <w:sz w:val="30"/>
          <w:szCs w:val="30"/>
          <w:shd w:val="clear" w:fill="FFFFFF"/>
          <w:vertAlign w:val="baseline"/>
        </w:rPr>
      </w:pPr>
    </w:p>
    <w:p w14:paraId="3FE029E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6" w:beforeAutospacing="0" w:after="16" w:afterAutospacing="0" w:line="560" w:lineRule="exact"/>
        <w:ind w:right="0"/>
        <w:jc w:val="both"/>
        <w:textAlignment w:val="baseline"/>
        <w:rPr>
          <w:rFonts w:hint="eastAsia" w:ascii="楷体" w:hAnsi="楷体" w:eastAsia="楷体" w:cs="楷体"/>
          <w:i w:val="0"/>
          <w:caps w:val="0"/>
          <w:color w:val="0000FF"/>
          <w:spacing w:val="0"/>
          <w:sz w:val="30"/>
          <w:szCs w:val="30"/>
          <w:shd w:val="clear" w:fill="FFFFFF"/>
          <w:vertAlign w:val="baseline"/>
        </w:rPr>
      </w:pPr>
    </w:p>
    <w:p w14:paraId="515BB8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6" w:beforeAutospacing="0" w:after="16" w:afterAutospacing="0" w:line="560" w:lineRule="exact"/>
        <w:ind w:right="0"/>
        <w:jc w:val="both"/>
        <w:textAlignment w:val="baseline"/>
        <w:rPr>
          <w:rFonts w:hint="eastAsia" w:ascii="楷体" w:hAnsi="楷体" w:eastAsia="楷体" w:cs="楷体"/>
          <w:i w:val="0"/>
          <w:caps w:val="0"/>
          <w:color w:val="0000FF"/>
          <w:spacing w:val="0"/>
          <w:sz w:val="30"/>
          <w:szCs w:val="30"/>
          <w:shd w:val="clear" w:fill="FFFFFF"/>
          <w:vertAlign w:val="baseline"/>
        </w:rPr>
      </w:pPr>
    </w:p>
    <w:p w14:paraId="76CC91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6" w:beforeAutospacing="0" w:after="16" w:afterAutospacing="0" w:line="560" w:lineRule="exact"/>
        <w:ind w:right="0"/>
        <w:jc w:val="both"/>
        <w:textAlignment w:val="baseline"/>
        <w:rPr>
          <w:rFonts w:hint="eastAsia" w:ascii="楷体" w:hAnsi="楷体" w:eastAsia="楷体" w:cs="楷体"/>
          <w:i w:val="0"/>
          <w:caps w:val="0"/>
          <w:color w:val="0000FF"/>
          <w:spacing w:val="0"/>
          <w:sz w:val="30"/>
          <w:szCs w:val="30"/>
          <w:shd w:val="clear" w:fill="FFFFFF"/>
          <w:vertAlign w:val="baseline"/>
        </w:rPr>
      </w:pPr>
    </w:p>
    <w:p w14:paraId="42AE1E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6" w:beforeAutospacing="0" w:after="16" w:afterAutospacing="0" w:line="560" w:lineRule="exact"/>
        <w:ind w:right="0"/>
        <w:jc w:val="both"/>
        <w:textAlignment w:val="baseline"/>
        <w:rPr>
          <w:rFonts w:hint="eastAsia" w:ascii="楷体" w:hAnsi="楷体" w:eastAsia="楷体" w:cs="楷体"/>
          <w:i w:val="0"/>
          <w:caps w:val="0"/>
          <w:color w:val="0000FF"/>
          <w:spacing w:val="0"/>
          <w:sz w:val="30"/>
          <w:szCs w:val="30"/>
          <w:shd w:val="clear" w:fill="FFFFFF"/>
          <w:vertAlign w:val="baseline"/>
        </w:rPr>
      </w:pPr>
    </w:p>
    <w:p w14:paraId="515F117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6" w:beforeAutospacing="0" w:after="16" w:afterAutospacing="0" w:line="560" w:lineRule="exact"/>
        <w:ind w:right="0"/>
        <w:jc w:val="both"/>
        <w:textAlignment w:val="baseline"/>
        <w:rPr>
          <w:rFonts w:hint="eastAsia" w:ascii="楷体" w:hAnsi="楷体" w:eastAsia="楷体" w:cs="楷体"/>
          <w:i w:val="0"/>
          <w:caps w:val="0"/>
          <w:color w:val="0000FF"/>
          <w:spacing w:val="0"/>
          <w:sz w:val="30"/>
          <w:szCs w:val="30"/>
          <w:shd w:val="clear" w:fill="FFFFFF"/>
          <w:vertAlign w:val="baseline"/>
        </w:rPr>
      </w:pPr>
    </w:p>
    <w:p w14:paraId="02BCEFA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6" w:beforeAutospacing="0" w:after="16" w:afterAutospacing="0" w:line="560" w:lineRule="exact"/>
        <w:ind w:right="0"/>
        <w:jc w:val="both"/>
        <w:textAlignment w:val="baseline"/>
        <w:rPr>
          <w:rFonts w:hint="eastAsia" w:ascii="楷体" w:hAnsi="楷体" w:eastAsia="楷体" w:cs="楷体"/>
          <w:i w:val="0"/>
          <w:caps w:val="0"/>
          <w:color w:val="0000FF"/>
          <w:spacing w:val="0"/>
          <w:sz w:val="30"/>
          <w:szCs w:val="30"/>
          <w:shd w:val="clear" w:fill="FFFFFF"/>
          <w:vertAlign w:val="baseline"/>
        </w:rPr>
      </w:pPr>
    </w:p>
    <w:p w14:paraId="5CB7EB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6" w:beforeAutospacing="0" w:after="16" w:afterAutospacing="0" w:line="560" w:lineRule="exact"/>
        <w:ind w:right="0"/>
        <w:jc w:val="both"/>
        <w:textAlignment w:val="baseline"/>
        <w:rPr>
          <w:rFonts w:hint="eastAsia" w:ascii="楷体" w:hAnsi="楷体" w:eastAsia="楷体" w:cs="楷体"/>
          <w:i w:val="0"/>
          <w:caps w:val="0"/>
          <w:color w:val="0000FF"/>
          <w:spacing w:val="0"/>
          <w:sz w:val="30"/>
          <w:szCs w:val="30"/>
          <w:shd w:val="clear" w:fill="FFFFFF"/>
          <w:vertAlign w:val="baseline"/>
        </w:rPr>
      </w:pPr>
    </w:p>
    <w:p w14:paraId="21EFC4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6" w:beforeAutospacing="0" w:after="16" w:afterAutospacing="0" w:line="560" w:lineRule="exact"/>
        <w:ind w:right="0"/>
        <w:jc w:val="both"/>
        <w:textAlignment w:val="baseline"/>
        <w:rPr>
          <w:rFonts w:hint="eastAsia" w:ascii="楷体" w:hAnsi="楷体" w:eastAsia="楷体" w:cs="楷体"/>
          <w:i w:val="0"/>
          <w:caps w:val="0"/>
          <w:color w:val="0000FF"/>
          <w:spacing w:val="0"/>
          <w:sz w:val="30"/>
          <w:szCs w:val="30"/>
          <w:shd w:val="clear" w:fill="FFFFFF"/>
          <w:vertAlign w:val="baseline"/>
        </w:rPr>
      </w:pPr>
    </w:p>
    <w:p w14:paraId="12568E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6" w:beforeAutospacing="0" w:after="16" w:afterAutospacing="0" w:line="560" w:lineRule="exact"/>
        <w:ind w:right="0"/>
        <w:jc w:val="both"/>
        <w:textAlignment w:val="baseline"/>
        <w:rPr>
          <w:rFonts w:hint="eastAsia" w:ascii="楷体" w:hAnsi="楷体" w:eastAsia="楷体" w:cs="楷体"/>
          <w:i w:val="0"/>
          <w:caps w:val="0"/>
          <w:color w:val="0000FF"/>
          <w:spacing w:val="0"/>
          <w:sz w:val="30"/>
          <w:szCs w:val="30"/>
          <w:shd w:val="clear" w:fill="FFFFFF"/>
          <w:vertAlign w:val="baseline"/>
        </w:rPr>
      </w:pPr>
    </w:p>
    <w:p w14:paraId="525E1FE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6" w:beforeAutospacing="0" w:after="16" w:afterAutospacing="0" w:line="560" w:lineRule="exact"/>
        <w:ind w:right="0"/>
        <w:jc w:val="both"/>
        <w:textAlignment w:val="baseline"/>
        <w:rPr>
          <w:rFonts w:hint="eastAsia" w:ascii="楷体" w:hAnsi="楷体" w:eastAsia="楷体" w:cs="楷体"/>
          <w:i w:val="0"/>
          <w:caps w:val="0"/>
          <w:color w:val="0000FF"/>
          <w:spacing w:val="0"/>
          <w:sz w:val="30"/>
          <w:szCs w:val="30"/>
          <w:shd w:val="clear" w:fill="FFFFFF"/>
          <w:vertAlign w:val="baseline"/>
        </w:rPr>
      </w:pPr>
    </w:p>
    <w:p w14:paraId="0411AFC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 w:beforeAutospacing="0" w:after="200" w:afterAutospacing="0" w:line="560" w:lineRule="exact"/>
        <w:ind w:right="0"/>
        <w:jc w:val="center"/>
        <w:textAlignment w:val="baseline"/>
        <w:rPr>
          <w:rFonts w:hint="eastAsia" w:ascii="方正小标宋_GBK" w:hAnsi="方正小标宋_GBK" w:eastAsia="方正小标宋_GBK" w:cs="方正小标宋_GBK"/>
          <w:b w:val="0"/>
          <w:bCs w:val="0"/>
          <w:i w:val="0"/>
          <w:caps w:val="0"/>
          <w:color w:val="000000" w:themeColor="text1"/>
          <w:spacing w:val="0"/>
          <w:sz w:val="32"/>
          <w:szCs w:val="32"/>
          <w:shd w:val="clear" w:fill="FFFFFF"/>
          <w:vertAlign w:val="baseline"/>
          <w14:textFill>
            <w14:solidFill>
              <w14:schemeClr w14:val="tx1"/>
            </w14:solidFill>
          </w14:textFill>
        </w:rPr>
      </w:pPr>
      <w:r>
        <w:rPr>
          <w:rFonts w:hint="eastAsia" w:ascii="方正小标宋_GBK" w:hAnsi="方正小标宋_GBK" w:eastAsia="方正小标宋_GBK" w:cs="方正小标宋_GBK"/>
          <w:b w:val="0"/>
          <w:bCs w:val="0"/>
          <w:i w:val="0"/>
          <w:caps w:val="0"/>
          <w:color w:val="000000" w:themeColor="text1"/>
          <w:spacing w:val="0"/>
          <w:sz w:val="32"/>
          <w:szCs w:val="32"/>
          <w:shd w:val="clear" w:fill="FFFFFF"/>
          <w:vertAlign w:val="baseline"/>
          <w14:textFill>
            <w14:solidFill>
              <w14:schemeClr w14:val="tx1"/>
            </w14:solidFill>
          </w14:textFill>
        </w:rPr>
        <w:t>资料来源</w:t>
      </w:r>
    </w:p>
    <w:p w14:paraId="4DCA8ED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75" w:afterAutospacing="0" w:line="360" w:lineRule="atLeast"/>
        <w:ind w:right="0" w:firstLine="480" w:firstLineChars="200"/>
        <w:textAlignment w:val="baseline"/>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sz w:val="24"/>
          <w:szCs w:val="24"/>
          <w:shd w:val="clear" w:fill="FFFFFF"/>
          <w:vertAlign w:val="baseline"/>
          <w14:textFill>
            <w14:solidFill>
              <w14:schemeClr w14:val="tx1"/>
            </w14:solidFill>
          </w14:textFill>
        </w:rPr>
        <w:t>本公报中文</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明生态村数据来自</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市</w:t>
      </w:r>
      <w:r>
        <w:rPr>
          <w:rFonts w:hint="eastAsia" w:asciiTheme="minorEastAsia" w:hAnsiTheme="minorEastAsia" w:cstheme="minorEastAsia"/>
          <w:i w:val="0"/>
          <w:caps w:val="0"/>
          <w:color w:val="000000" w:themeColor="text1"/>
          <w:spacing w:val="0"/>
          <w:sz w:val="24"/>
          <w:szCs w:val="24"/>
          <w:shd w:val="clear" w:fill="FFFFFF"/>
          <w:vertAlign w:val="baseline"/>
          <w:lang w:val="en-US" w:eastAsia="zh-CN"/>
          <w14:textFill>
            <w14:solidFill>
              <w14:schemeClr w14:val="tx1"/>
            </w14:solidFill>
          </w14:textFill>
        </w:rPr>
        <w:t>委</w:t>
      </w:r>
      <w:r>
        <w:rPr>
          <w:rFonts w:hint="eastAsia" w:asciiTheme="minorEastAsia" w:hAnsi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宣传部</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，农村扶贫数据来自</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市</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扶贫办，</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投资</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项目来自</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市</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发改委，财政数据来自</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市</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财政</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局</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造林绿化面积</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数据来自</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市资规局</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乐城医疗数据来自乐城</w:t>
      </w:r>
      <w:r>
        <w:rPr>
          <w:rFonts w:hint="eastAsia" w:asciiTheme="minorEastAsia" w:hAnsi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管理局</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货物、旅客运输</w:t>
      </w:r>
      <w:r>
        <w:rPr>
          <w:rFonts w:hint="eastAsia" w:asciiTheme="minorEastAsia" w:hAnsi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和</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周转量</w:t>
      </w:r>
      <w:r>
        <w:rPr>
          <w:rFonts w:hint="eastAsia" w:asciiTheme="minorEastAsia" w:hAnsi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、高速公路通车里程</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数据来自</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市</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交</w:t>
      </w:r>
      <w:r>
        <w:rPr>
          <w:rFonts w:hint="eastAsia" w:asciiTheme="minorEastAsia" w:hAnsiTheme="minorEastAsia" w:cstheme="minorEastAsia"/>
          <w:i w:val="0"/>
          <w:caps w:val="0"/>
          <w:color w:val="000000" w:themeColor="text1"/>
          <w:spacing w:val="0"/>
          <w:sz w:val="24"/>
          <w:szCs w:val="24"/>
          <w:shd w:val="clear" w:fill="FFFFFF"/>
          <w:vertAlign w:val="baseline"/>
          <w:lang w:val="en-US" w:eastAsia="zh-CN"/>
          <w14:textFill>
            <w14:solidFill>
              <w14:schemeClr w14:val="tx1"/>
            </w14:solidFill>
          </w14:textFill>
        </w:rPr>
        <w:t>运</w:t>
      </w:r>
      <w:r>
        <w:rPr>
          <w:rFonts w:hint="eastAsia" w:asciiTheme="minorEastAsia" w:hAnsiTheme="minorEastAsia" w:eastAsiaTheme="minorEastAsia" w:cstheme="minorEastAsia"/>
          <w:b w:val="0"/>
          <w:bCs w:val="0"/>
          <w:i w:val="0"/>
          <w:caps w:val="0"/>
          <w:color w:val="000000" w:themeColor="text1"/>
          <w:spacing w:val="0"/>
          <w:sz w:val="24"/>
          <w:szCs w:val="24"/>
          <w:shd w:val="clear" w:fill="FFFFFF"/>
          <w:vertAlign w:val="baseline"/>
          <w:lang w:eastAsia="zh-CN"/>
          <w14:textFill>
            <w14:solidFill>
              <w14:schemeClr w14:val="tx1"/>
            </w14:solidFill>
          </w14:textFill>
        </w:rPr>
        <w:t>局，</w:t>
      </w:r>
      <w:r>
        <w:rPr>
          <w:rFonts w:hint="eastAsia" w:asciiTheme="minorEastAsia" w:hAnsiTheme="minorEastAsia" w:cstheme="minorEastAsia"/>
          <w:b w:val="0"/>
          <w:bCs w:val="0"/>
          <w:i w:val="0"/>
          <w:caps w:val="0"/>
          <w:color w:val="000000" w:themeColor="text1"/>
          <w:spacing w:val="0"/>
          <w:sz w:val="24"/>
          <w:szCs w:val="24"/>
          <w:shd w:val="clear" w:fill="FFFFFF"/>
          <w:vertAlign w:val="baseline"/>
          <w:lang w:eastAsia="zh-CN"/>
          <w14:textFill>
            <w14:solidFill>
              <w14:schemeClr w14:val="tx1"/>
            </w14:solidFill>
          </w14:textFill>
        </w:rPr>
        <w:t>高新</w:t>
      </w:r>
      <w:r>
        <w:rPr>
          <w:rFonts w:hint="eastAsia" w:asciiTheme="minorEastAsia" w:hAnsi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技术企业、</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新能源汽车</w:t>
      </w:r>
      <w:r>
        <w:rPr>
          <w:rFonts w:hint="eastAsia" w:asciiTheme="minorEastAsia" w:hAnsi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w:t>
      </w:r>
      <w:r>
        <w:rPr>
          <w:rFonts w:hint="eastAsia" w:asciiTheme="minorEastAsia" w:hAnsiTheme="minorEastAsia" w:cstheme="minorEastAsia"/>
          <w:i w:val="0"/>
          <w:caps w:val="0"/>
          <w:color w:val="000000" w:themeColor="text1"/>
          <w:spacing w:val="0"/>
          <w:sz w:val="24"/>
          <w:szCs w:val="24"/>
          <w:shd w:val="clear" w:fill="FFFFFF"/>
          <w:vertAlign w:val="baseline"/>
          <w:lang w:val="en-US" w:eastAsia="zh-CN"/>
          <w14:textFill>
            <w14:solidFill>
              <w14:schemeClr w14:val="tx1"/>
            </w14:solidFill>
          </w14:textFill>
        </w:rPr>
        <w:t>5G基站</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数据来自市科工信局，</w:t>
      </w:r>
      <w:r>
        <w:rPr>
          <w:rFonts w:hint="eastAsia" w:asciiTheme="minorEastAsia" w:hAnsi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会议会展、</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对外经济数据来自</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市</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商务</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局</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，保障性住房、</w:t>
      </w:r>
      <w:r>
        <w:rPr>
          <w:rFonts w:hint="eastAsia" w:asciiTheme="minorEastAsia" w:hAnsi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城镇老旧小区改造、</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农村危房改造数据来自市住建局</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，建成区绿化</w:t>
      </w:r>
      <w:r>
        <w:rPr>
          <w:rFonts w:hint="eastAsia" w:asciiTheme="minorEastAsia" w:hAnsi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城镇垃圾处理数据来自</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市综合执法局，</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城镇污水处理数据来自</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市</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水务</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局</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，社会救助数据来自</w:t>
      </w:r>
      <w:r>
        <w:rPr>
          <w:rFonts w:hint="eastAsia" w:asciiTheme="minorEastAsia" w:hAnsi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市</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民政</w:t>
      </w:r>
      <w:r>
        <w:rPr>
          <w:rFonts w:hint="eastAsia" w:asciiTheme="minorEastAsia" w:hAnsi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局</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，科技数据来自</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市市场监督管理局</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，教育数据来自</w:t>
      </w:r>
      <w:r>
        <w:rPr>
          <w:rFonts w:hint="eastAsia" w:asciiTheme="minorEastAsia" w:hAnsi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市</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教育</w:t>
      </w:r>
      <w:r>
        <w:rPr>
          <w:rFonts w:hint="eastAsia" w:asciiTheme="minorEastAsia" w:hAnsi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局</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，文化</w:t>
      </w:r>
      <w:r>
        <w:rPr>
          <w:rFonts w:hint="eastAsia" w:asciiTheme="minorEastAsia" w:hAnsi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旅游</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体育等数据来自</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市</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旅文</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局</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，环境</w:t>
      </w:r>
      <w:r>
        <w:rPr>
          <w:rFonts w:hint="eastAsia" w:asciiTheme="minorEastAsia" w:hAnsi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质量、农村污水</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数据来自</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市</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生态环境</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局</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，安全生产</w:t>
      </w:r>
      <w:r>
        <w:rPr>
          <w:rFonts w:hint="eastAsia" w:asciiTheme="minorEastAsia" w:hAnsi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、救灾救济</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数据来自</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市</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应急</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局</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，卫生数据来自</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市</w:t>
      </w:r>
      <w:r>
        <w:rPr>
          <w:rFonts w:hint="eastAsia" w:asciiTheme="minorEastAsia" w:hAnsiTheme="minorEastAsia" w:cstheme="minorEastAsia"/>
          <w:i w:val="0"/>
          <w:caps w:val="0"/>
          <w:color w:val="000000" w:themeColor="text1"/>
          <w:spacing w:val="0"/>
          <w:sz w:val="24"/>
          <w:szCs w:val="24"/>
          <w:shd w:val="clear" w:fill="FFFFFF"/>
          <w:vertAlign w:val="baseline"/>
          <w:lang w:val="en-US" w:eastAsia="zh-CN"/>
          <w14:textFill>
            <w14:solidFill>
              <w14:schemeClr w14:val="tx1"/>
            </w14:solidFill>
          </w14:textFill>
        </w:rPr>
        <w:t>卫生健康委</w:t>
      </w:r>
      <w:bookmarkStart w:id="0" w:name="_GoBack"/>
      <w:bookmarkEnd w:id="0"/>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，就业</w:t>
      </w:r>
      <w:r>
        <w:rPr>
          <w:rFonts w:hint="eastAsia" w:asciiTheme="minorEastAsia" w:hAnsi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、失业保险</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数据来自</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市就业局</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社会</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保险数据来自</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市社保</w:t>
      </w:r>
      <w:r>
        <w:rPr>
          <w:rFonts w:hint="eastAsia" w:asciiTheme="minorEastAsia" w:hAnsiTheme="minorEastAsia" w:cstheme="minorEastAsia"/>
          <w:i w:val="0"/>
          <w:caps w:val="0"/>
          <w:color w:val="000000" w:themeColor="text1"/>
          <w:spacing w:val="0"/>
          <w:sz w:val="24"/>
          <w:szCs w:val="24"/>
          <w:shd w:val="clear" w:fill="FFFFFF"/>
          <w:vertAlign w:val="baseline"/>
          <w:lang w:val="en-US" w:eastAsia="zh-CN"/>
          <w14:textFill>
            <w14:solidFill>
              <w14:schemeClr w14:val="tx1"/>
            </w14:solidFill>
          </w14:textFill>
        </w:rPr>
        <w:t>服务中心</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w:t>
      </w:r>
      <w:r>
        <w:rPr>
          <w:rFonts w:hint="eastAsia" w:asciiTheme="minorEastAsia" w:hAnsi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医疗保险、医疗</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救助数据来自</w:t>
      </w:r>
      <w:r>
        <w:rPr>
          <w:rFonts w:hint="eastAsia" w:asciiTheme="minorEastAsia" w:hAnsi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市医疗保障局，</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优抚</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对象数据来自市退役军人事务局</w:t>
      </w:r>
      <w:r>
        <w:rPr>
          <w:rFonts w:hint="eastAsia" w:asciiTheme="minorEastAsia" w:hAnsi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金融机构存贷款</w:t>
      </w:r>
      <w:r>
        <w:rPr>
          <w:rFonts w:hint="eastAsia" w:asciiTheme="minorEastAsia" w:hAnsi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证券期货交易额</w:t>
      </w:r>
      <w:r>
        <w:rPr>
          <w:rFonts w:hint="eastAsia" w:asciiTheme="minorEastAsia" w:hAnsi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、股票</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数据来自人行琼海支行，</w:t>
      </w:r>
      <w:r>
        <w:rPr>
          <w:rFonts w:hint="eastAsia" w:asciiTheme="minorEastAsia" w:hAnsi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银行业、</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保险业数据来自海南银保监局琼海监管组，</w:t>
      </w:r>
      <w:r>
        <w:rPr>
          <w:rFonts w:hint="eastAsia" w:asciiTheme="minorEastAsia" w:hAnsi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道路交通数据来自市交通管理大队，火灾数据来自市消防救援支队，</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其他数据来自</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lang w:eastAsia="zh-CN"/>
          <w14:textFill>
            <w14:solidFill>
              <w14:schemeClr w14:val="tx1"/>
            </w14:solidFill>
          </w14:textFill>
        </w:rPr>
        <w:t>市</w:t>
      </w:r>
      <w:r>
        <w:rPr>
          <w:rFonts w:hint="eastAsia" w:asciiTheme="minorEastAsia" w:hAnsiTheme="minorEastAsia" w:eastAsiaTheme="minorEastAsia" w:cstheme="minorEastAsia"/>
          <w:i w:val="0"/>
          <w:caps w:val="0"/>
          <w:color w:val="000000" w:themeColor="text1"/>
          <w:spacing w:val="0"/>
          <w:sz w:val="24"/>
          <w:szCs w:val="24"/>
          <w:shd w:val="clear" w:fill="FFFFFF"/>
          <w:vertAlign w:val="baseline"/>
          <w14:textFill>
            <w14:solidFill>
              <w14:schemeClr w14:val="tx1"/>
            </w14:solidFill>
          </w14:textFill>
        </w:rPr>
        <w:t>统计局。</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E78B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23DC2">
                          <w:pPr>
                            <w:pStyle w:val="4"/>
                            <w:rPr>
                              <w:rFonts w:hint="eastAsia" w:eastAsiaTheme="minorEastAsia"/>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C23DC2">
                    <w:pPr>
                      <w:pStyle w:val="4"/>
                      <w:rPr>
                        <w:rFonts w:hint="eastAsia" w:eastAsiaTheme="minorEastAsia"/>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YWIyODcwMzBmM2NiMTNhODljMjJkMmIwZTA2M2MifQ=="/>
  </w:docVars>
  <w:rsids>
    <w:rsidRoot w:val="00000000"/>
    <w:rsid w:val="00640EB3"/>
    <w:rsid w:val="00C478D8"/>
    <w:rsid w:val="0153717C"/>
    <w:rsid w:val="01696D03"/>
    <w:rsid w:val="01FC6AF3"/>
    <w:rsid w:val="02D30A83"/>
    <w:rsid w:val="02E83254"/>
    <w:rsid w:val="03160B21"/>
    <w:rsid w:val="03461681"/>
    <w:rsid w:val="03FE7BCE"/>
    <w:rsid w:val="04B16216"/>
    <w:rsid w:val="04CA2BDC"/>
    <w:rsid w:val="056D7EDB"/>
    <w:rsid w:val="059E1546"/>
    <w:rsid w:val="05EC252A"/>
    <w:rsid w:val="0669417D"/>
    <w:rsid w:val="066D4513"/>
    <w:rsid w:val="0742222F"/>
    <w:rsid w:val="07671328"/>
    <w:rsid w:val="078C4F13"/>
    <w:rsid w:val="078F300F"/>
    <w:rsid w:val="07F328AE"/>
    <w:rsid w:val="08BD5113"/>
    <w:rsid w:val="08D720EE"/>
    <w:rsid w:val="09744EC8"/>
    <w:rsid w:val="09CF1BC0"/>
    <w:rsid w:val="09D01719"/>
    <w:rsid w:val="0A0F1415"/>
    <w:rsid w:val="0ACC6E41"/>
    <w:rsid w:val="0B104C38"/>
    <w:rsid w:val="0C5C5CF4"/>
    <w:rsid w:val="0C796D37"/>
    <w:rsid w:val="0CEF2C0F"/>
    <w:rsid w:val="0E9469EC"/>
    <w:rsid w:val="0FEA4360"/>
    <w:rsid w:val="10757085"/>
    <w:rsid w:val="118612F1"/>
    <w:rsid w:val="11964800"/>
    <w:rsid w:val="11D30074"/>
    <w:rsid w:val="132B29B3"/>
    <w:rsid w:val="135B1543"/>
    <w:rsid w:val="14337E9E"/>
    <w:rsid w:val="157B77AD"/>
    <w:rsid w:val="15BD4B01"/>
    <w:rsid w:val="15F32F2F"/>
    <w:rsid w:val="161866D6"/>
    <w:rsid w:val="16B343ED"/>
    <w:rsid w:val="17494E6E"/>
    <w:rsid w:val="17CE6BC6"/>
    <w:rsid w:val="18464363"/>
    <w:rsid w:val="1885028C"/>
    <w:rsid w:val="18C60F44"/>
    <w:rsid w:val="196374BC"/>
    <w:rsid w:val="19A97245"/>
    <w:rsid w:val="1A284625"/>
    <w:rsid w:val="1A782BD1"/>
    <w:rsid w:val="1A9818E4"/>
    <w:rsid w:val="1C4F0AEB"/>
    <w:rsid w:val="1CCF177F"/>
    <w:rsid w:val="1F224D22"/>
    <w:rsid w:val="1FE4013D"/>
    <w:rsid w:val="2000596A"/>
    <w:rsid w:val="2043643C"/>
    <w:rsid w:val="205954DC"/>
    <w:rsid w:val="20A14065"/>
    <w:rsid w:val="20B24E65"/>
    <w:rsid w:val="23372615"/>
    <w:rsid w:val="23A414B8"/>
    <w:rsid w:val="23BB708A"/>
    <w:rsid w:val="23EE2029"/>
    <w:rsid w:val="247D145B"/>
    <w:rsid w:val="257B78E8"/>
    <w:rsid w:val="25BA4171"/>
    <w:rsid w:val="26786A00"/>
    <w:rsid w:val="27D47A7E"/>
    <w:rsid w:val="288C38AC"/>
    <w:rsid w:val="29691044"/>
    <w:rsid w:val="299D5172"/>
    <w:rsid w:val="29F37D1B"/>
    <w:rsid w:val="2A2D22E1"/>
    <w:rsid w:val="2C5C4F83"/>
    <w:rsid w:val="2C912247"/>
    <w:rsid w:val="2CBD7298"/>
    <w:rsid w:val="2D792EEB"/>
    <w:rsid w:val="2E6B49AB"/>
    <w:rsid w:val="2F076F75"/>
    <w:rsid w:val="305B07D6"/>
    <w:rsid w:val="307958F4"/>
    <w:rsid w:val="30865563"/>
    <w:rsid w:val="321F606A"/>
    <w:rsid w:val="328F69F2"/>
    <w:rsid w:val="32C87E4E"/>
    <w:rsid w:val="336930CF"/>
    <w:rsid w:val="33832011"/>
    <w:rsid w:val="33D53184"/>
    <w:rsid w:val="34CC64E1"/>
    <w:rsid w:val="34D72A4E"/>
    <w:rsid w:val="350C3DEF"/>
    <w:rsid w:val="35CA7D0F"/>
    <w:rsid w:val="363B355F"/>
    <w:rsid w:val="364739E8"/>
    <w:rsid w:val="369844CD"/>
    <w:rsid w:val="36E21366"/>
    <w:rsid w:val="3AD267E6"/>
    <w:rsid w:val="3AD84098"/>
    <w:rsid w:val="3B377147"/>
    <w:rsid w:val="3C535E5E"/>
    <w:rsid w:val="3CBE6309"/>
    <w:rsid w:val="3CF14EFA"/>
    <w:rsid w:val="3DB55EFD"/>
    <w:rsid w:val="3E3E52AA"/>
    <w:rsid w:val="3E7A22A6"/>
    <w:rsid w:val="3EB924F2"/>
    <w:rsid w:val="3ED00568"/>
    <w:rsid w:val="3F413317"/>
    <w:rsid w:val="407611E3"/>
    <w:rsid w:val="40C31CC2"/>
    <w:rsid w:val="40E126CF"/>
    <w:rsid w:val="41512C34"/>
    <w:rsid w:val="418878DA"/>
    <w:rsid w:val="41BB6F81"/>
    <w:rsid w:val="420F6469"/>
    <w:rsid w:val="42170C1B"/>
    <w:rsid w:val="42A15857"/>
    <w:rsid w:val="435A5FDB"/>
    <w:rsid w:val="435E4B8F"/>
    <w:rsid w:val="447A1697"/>
    <w:rsid w:val="44B2296B"/>
    <w:rsid w:val="44B51BB1"/>
    <w:rsid w:val="457F2A0F"/>
    <w:rsid w:val="46301337"/>
    <w:rsid w:val="46806EC2"/>
    <w:rsid w:val="46A832CD"/>
    <w:rsid w:val="471807AD"/>
    <w:rsid w:val="47D80C81"/>
    <w:rsid w:val="483503B2"/>
    <w:rsid w:val="485C1842"/>
    <w:rsid w:val="48B20897"/>
    <w:rsid w:val="498B5FBA"/>
    <w:rsid w:val="49EC0814"/>
    <w:rsid w:val="4ABB7DC2"/>
    <w:rsid w:val="4B8D3E74"/>
    <w:rsid w:val="4BDB6507"/>
    <w:rsid w:val="4BEB57F7"/>
    <w:rsid w:val="4C0716A3"/>
    <w:rsid w:val="4D567C7E"/>
    <w:rsid w:val="4D7A7388"/>
    <w:rsid w:val="4DC90B68"/>
    <w:rsid w:val="4DEF0378"/>
    <w:rsid w:val="4E845A93"/>
    <w:rsid w:val="4ED16403"/>
    <w:rsid w:val="4F6133B7"/>
    <w:rsid w:val="4F8157BD"/>
    <w:rsid w:val="519117B4"/>
    <w:rsid w:val="537B1C37"/>
    <w:rsid w:val="53BF251B"/>
    <w:rsid w:val="54035676"/>
    <w:rsid w:val="544B1C82"/>
    <w:rsid w:val="55972E32"/>
    <w:rsid w:val="564D0B14"/>
    <w:rsid w:val="57BC55C5"/>
    <w:rsid w:val="58240F80"/>
    <w:rsid w:val="58AC65F4"/>
    <w:rsid w:val="59317DEF"/>
    <w:rsid w:val="593566E9"/>
    <w:rsid w:val="59443E40"/>
    <w:rsid w:val="59900A76"/>
    <w:rsid w:val="59FC4822"/>
    <w:rsid w:val="5A037804"/>
    <w:rsid w:val="5A2A3674"/>
    <w:rsid w:val="5A341FEC"/>
    <w:rsid w:val="5ACA6FAA"/>
    <w:rsid w:val="5AD17F87"/>
    <w:rsid w:val="5B283C3C"/>
    <w:rsid w:val="5BB128D2"/>
    <w:rsid w:val="5BB61B6F"/>
    <w:rsid w:val="5BE80F91"/>
    <w:rsid w:val="5BEA0E37"/>
    <w:rsid w:val="5BFD3E6D"/>
    <w:rsid w:val="5D246925"/>
    <w:rsid w:val="5DF867DD"/>
    <w:rsid w:val="5E086705"/>
    <w:rsid w:val="5E162CE7"/>
    <w:rsid w:val="5F491C4E"/>
    <w:rsid w:val="5F6D7E98"/>
    <w:rsid w:val="5FC64B86"/>
    <w:rsid w:val="601018BE"/>
    <w:rsid w:val="60302DE2"/>
    <w:rsid w:val="60532435"/>
    <w:rsid w:val="60556F44"/>
    <w:rsid w:val="61243AF6"/>
    <w:rsid w:val="61A84B02"/>
    <w:rsid w:val="61A86268"/>
    <w:rsid w:val="61B66372"/>
    <w:rsid w:val="61D308A1"/>
    <w:rsid w:val="627D72D4"/>
    <w:rsid w:val="6291049F"/>
    <w:rsid w:val="640C0C27"/>
    <w:rsid w:val="641558A2"/>
    <w:rsid w:val="641902EB"/>
    <w:rsid w:val="64347F8C"/>
    <w:rsid w:val="644934EF"/>
    <w:rsid w:val="64571C4E"/>
    <w:rsid w:val="65A059FA"/>
    <w:rsid w:val="66580774"/>
    <w:rsid w:val="66E26DFB"/>
    <w:rsid w:val="682E4E14"/>
    <w:rsid w:val="68D15451"/>
    <w:rsid w:val="68F85E61"/>
    <w:rsid w:val="69622F0D"/>
    <w:rsid w:val="69BF1287"/>
    <w:rsid w:val="69CD3DDA"/>
    <w:rsid w:val="69F34A25"/>
    <w:rsid w:val="69FB134C"/>
    <w:rsid w:val="6A253CDA"/>
    <w:rsid w:val="6B473625"/>
    <w:rsid w:val="6BD407F6"/>
    <w:rsid w:val="6BF70C11"/>
    <w:rsid w:val="6C120DEE"/>
    <w:rsid w:val="6C8746A5"/>
    <w:rsid w:val="6D3764E7"/>
    <w:rsid w:val="6D6E13CA"/>
    <w:rsid w:val="6DE504F6"/>
    <w:rsid w:val="6E2A16E5"/>
    <w:rsid w:val="6E3F6517"/>
    <w:rsid w:val="6ED57F84"/>
    <w:rsid w:val="6EDE4900"/>
    <w:rsid w:val="6F6C3FBD"/>
    <w:rsid w:val="702A4277"/>
    <w:rsid w:val="70577AFD"/>
    <w:rsid w:val="70893414"/>
    <w:rsid w:val="70CF7B35"/>
    <w:rsid w:val="712D0DBA"/>
    <w:rsid w:val="72B51D66"/>
    <w:rsid w:val="73421894"/>
    <w:rsid w:val="741119B3"/>
    <w:rsid w:val="74685B08"/>
    <w:rsid w:val="749939C5"/>
    <w:rsid w:val="74F64203"/>
    <w:rsid w:val="753B20B0"/>
    <w:rsid w:val="755651A4"/>
    <w:rsid w:val="75754E27"/>
    <w:rsid w:val="75790F49"/>
    <w:rsid w:val="75C87998"/>
    <w:rsid w:val="761A5D64"/>
    <w:rsid w:val="76517F3F"/>
    <w:rsid w:val="767E6029"/>
    <w:rsid w:val="76C342FE"/>
    <w:rsid w:val="77AD302A"/>
    <w:rsid w:val="77AF6B4D"/>
    <w:rsid w:val="78420144"/>
    <w:rsid w:val="78615C19"/>
    <w:rsid w:val="79706C4A"/>
    <w:rsid w:val="79A261A1"/>
    <w:rsid w:val="79BA03BF"/>
    <w:rsid w:val="79D54E87"/>
    <w:rsid w:val="7AC72A44"/>
    <w:rsid w:val="7AFC1EDC"/>
    <w:rsid w:val="7B574B81"/>
    <w:rsid w:val="7BD00161"/>
    <w:rsid w:val="7C000104"/>
    <w:rsid w:val="7C0257F0"/>
    <w:rsid w:val="7C2041AC"/>
    <w:rsid w:val="7C5232F5"/>
    <w:rsid w:val="7CF35F0B"/>
    <w:rsid w:val="7D5954FA"/>
    <w:rsid w:val="7D69448E"/>
    <w:rsid w:val="7D7C0B1C"/>
    <w:rsid w:val="7D8E681D"/>
    <w:rsid w:val="7DB740E8"/>
    <w:rsid w:val="7DC9391A"/>
    <w:rsid w:val="7DD93C31"/>
    <w:rsid w:val="7EAB2C65"/>
    <w:rsid w:val="7EFF1EAB"/>
    <w:rsid w:val="7FEC2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海南化工城正文"/>
    <w:basedOn w:val="1"/>
    <w:qFormat/>
    <w:uiPriority w:val="0"/>
    <w:pPr>
      <w:spacing w:line="324" w:lineRule="auto"/>
      <w:ind w:firstLine="480" w:firstLineChars="200"/>
    </w:pPr>
    <w:rPr>
      <w:rFonts w:ascii="宋体" w:hAnsi="宋体" w:cs="宋体"/>
      <w:sz w:val="24"/>
      <w:szCs w:val="20"/>
    </w:rPr>
  </w:style>
  <w:style w:type="paragraph" w:styleId="3">
    <w:name w:val="Body Text"/>
    <w:basedOn w:val="1"/>
    <w:qFormat/>
    <w:uiPriority w:val="0"/>
    <w:pPr>
      <w:spacing w:after="120" w:line="360" w:lineRule="auto"/>
    </w:pPr>
    <w:rPr>
      <w:rFonts w:eastAsia="华文中宋"/>
      <w:sz w:val="36"/>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434343"/>
      <w:u w:val="none"/>
    </w:rPr>
  </w:style>
  <w:style w:type="character" w:styleId="11">
    <w:name w:val="Emphasis"/>
    <w:basedOn w:val="8"/>
    <w:qFormat/>
    <w:uiPriority w:val="0"/>
  </w:style>
  <w:style w:type="character" w:styleId="12">
    <w:name w:val="Hyperlink"/>
    <w:basedOn w:val="8"/>
    <w:qFormat/>
    <w:uiPriority w:val="0"/>
    <w:rPr>
      <w:color w:val="434343"/>
      <w:u w:val="none"/>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xtb-fr-19"/>
    <w:basedOn w:val="8"/>
    <w:qFormat/>
    <w:uiPriority w:val="0"/>
  </w:style>
  <w:style w:type="character" w:customStyle="1" w:styleId="15">
    <w:name w:val="zx-span5"/>
    <w:basedOn w:val="8"/>
    <w:qFormat/>
    <w:uiPriority w:val="0"/>
  </w:style>
  <w:style w:type="character" w:customStyle="1" w:styleId="16">
    <w:name w:val="r-5-l-sp2"/>
    <w:basedOn w:val="8"/>
    <w:qFormat/>
    <w:uiPriority w:val="0"/>
  </w:style>
  <w:style w:type="character" w:customStyle="1" w:styleId="17">
    <w:name w:val="xtb-fr-08"/>
    <w:basedOn w:val="8"/>
    <w:qFormat/>
    <w:uiPriority w:val="0"/>
  </w:style>
  <w:style w:type="character" w:customStyle="1" w:styleId="18">
    <w:name w:val="zy-fr-bj6"/>
    <w:basedOn w:val="8"/>
    <w:qFormat/>
    <w:uiPriority w:val="0"/>
  </w:style>
  <w:style w:type="character" w:customStyle="1" w:styleId="19">
    <w:name w:val="zx-xuan4"/>
    <w:basedOn w:val="8"/>
    <w:qFormat/>
    <w:uiPriority w:val="0"/>
    <w:rPr>
      <w:shd w:val="clear" w:fill="FFFFFF"/>
    </w:rPr>
  </w:style>
  <w:style w:type="character" w:customStyle="1" w:styleId="20">
    <w:name w:val="zx-xuan41"/>
    <w:basedOn w:val="8"/>
    <w:qFormat/>
    <w:uiPriority w:val="0"/>
    <w:rPr>
      <w:shd w:val="clear" w:fill="FFFFFF"/>
    </w:rPr>
  </w:style>
  <w:style w:type="character" w:customStyle="1" w:styleId="21">
    <w:name w:val="xtb-fr-13"/>
    <w:basedOn w:val="8"/>
    <w:qFormat/>
    <w:uiPriority w:val="0"/>
  </w:style>
  <w:style w:type="character" w:customStyle="1" w:styleId="22">
    <w:name w:val="hover106"/>
    <w:basedOn w:val="8"/>
    <w:qFormat/>
    <w:uiPriority w:val="0"/>
    <w:rPr>
      <w:shd w:val="clear" w:fill="A40000"/>
    </w:rPr>
  </w:style>
  <w:style w:type="character" w:customStyle="1" w:styleId="23">
    <w:name w:val="hover107"/>
    <w:basedOn w:val="8"/>
    <w:qFormat/>
    <w:uiPriority w:val="0"/>
    <w:rPr>
      <w:color w:val="CA1C1D"/>
    </w:rPr>
  </w:style>
  <w:style w:type="character" w:customStyle="1" w:styleId="24">
    <w:name w:val="bsfw-sp2"/>
    <w:basedOn w:val="8"/>
    <w:qFormat/>
    <w:uiPriority w:val="0"/>
  </w:style>
  <w:style w:type="character" w:customStyle="1" w:styleId="25">
    <w:name w:val="bsfw-sp21"/>
    <w:basedOn w:val="8"/>
    <w:qFormat/>
    <w:uiPriority w:val="0"/>
    <w:rPr>
      <w:color w:val="FFFFFF"/>
      <w:shd w:val="clear" w:fill="CA1C1D"/>
    </w:rPr>
  </w:style>
  <w:style w:type="character" w:customStyle="1" w:styleId="26">
    <w:name w:val="bsfw-sp1"/>
    <w:basedOn w:val="8"/>
    <w:qFormat/>
    <w:uiPriority w:val="0"/>
  </w:style>
  <w:style w:type="character" w:customStyle="1" w:styleId="27">
    <w:name w:val="bsfw-sp11"/>
    <w:basedOn w:val="8"/>
    <w:qFormat/>
    <w:uiPriority w:val="0"/>
    <w:rPr>
      <w:color w:val="FFFFFF"/>
      <w:shd w:val="clear" w:fill="CA1C1D"/>
    </w:rPr>
  </w:style>
  <w:style w:type="character" w:customStyle="1" w:styleId="28">
    <w:name w:val="bsfw-sp3"/>
    <w:basedOn w:val="8"/>
    <w:qFormat/>
    <w:uiPriority w:val="0"/>
  </w:style>
  <w:style w:type="character" w:customStyle="1" w:styleId="29">
    <w:name w:val="bsfw-sp31"/>
    <w:basedOn w:val="8"/>
    <w:qFormat/>
    <w:uiPriority w:val="0"/>
    <w:rPr>
      <w:color w:val="FFFFFF"/>
      <w:shd w:val="clear" w:fill="CA1C1D"/>
    </w:rPr>
  </w:style>
  <w:style w:type="character" w:customStyle="1" w:styleId="30">
    <w:name w:val="zx-span3"/>
    <w:basedOn w:val="8"/>
    <w:qFormat/>
    <w:uiPriority w:val="0"/>
  </w:style>
  <w:style w:type="character" w:customStyle="1" w:styleId="31">
    <w:name w:val="zx-span2"/>
    <w:basedOn w:val="8"/>
    <w:qFormat/>
    <w:uiPriority w:val="0"/>
  </w:style>
  <w:style w:type="character" w:customStyle="1" w:styleId="32">
    <w:name w:val="zx-span21"/>
    <w:basedOn w:val="8"/>
    <w:qFormat/>
    <w:uiPriority w:val="0"/>
    <w:rPr>
      <w:color w:val="FFFFFF"/>
    </w:rPr>
  </w:style>
  <w:style w:type="character" w:customStyle="1" w:styleId="33">
    <w:name w:val="zy-fr-bj3"/>
    <w:basedOn w:val="8"/>
    <w:qFormat/>
    <w:uiPriority w:val="0"/>
  </w:style>
  <w:style w:type="character" w:customStyle="1" w:styleId="34">
    <w:name w:val="zy-fr-bj9"/>
    <w:basedOn w:val="8"/>
    <w:qFormat/>
    <w:uiPriority w:val="0"/>
  </w:style>
  <w:style w:type="character" w:customStyle="1" w:styleId="35">
    <w:name w:val="zy-fr-bj17"/>
    <w:basedOn w:val="8"/>
    <w:qFormat/>
    <w:uiPriority w:val="0"/>
  </w:style>
  <w:style w:type="character" w:customStyle="1" w:styleId="36">
    <w:name w:val="zy-gr-bj20"/>
    <w:basedOn w:val="8"/>
    <w:qFormat/>
    <w:uiPriority w:val="0"/>
  </w:style>
  <w:style w:type="character" w:customStyle="1" w:styleId="37">
    <w:name w:val="r-5-l-sp3"/>
    <w:basedOn w:val="8"/>
    <w:qFormat/>
    <w:uiPriority w:val="0"/>
  </w:style>
  <w:style w:type="character" w:customStyle="1" w:styleId="38">
    <w:name w:val="hdjl-x-l-x-sp3"/>
    <w:basedOn w:val="8"/>
    <w:qFormat/>
    <w:uiPriority w:val="0"/>
    <w:rPr>
      <w:color w:val="BFBFBF"/>
      <w:sz w:val="14"/>
      <w:szCs w:val="14"/>
    </w:rPr>
  </w:style>
  <w:style w:type="character" w:customStyle="1" w:styleId="39">
    <w:name w:val="zx-span4"/>
    <w:basedOn w:val="8"/>
    <w:qFormat/>
    <w:uiPriority w:val="0"/>
  </w:style>
  <w:style w:type="character" w:customStyle="1" w:styleId="40">
    <w:name w:val="zx-span41"/>
    <w:basedOn w:val="8"/>
    <w:qFormat/>
    <w:uiPriority w:val="0"/>
    <w:rPr>
      <w:color w:val="FFFFFF"/>
    </w:rPr>
  </w:style>
  <w:style w:type="character" w:customStyle="1" w:styleId="41">
    <w:name w:val="zy-gr-bj17"/>
    <w:basedOn w:val="8"/>
    <w:qFormat/>
    <w:uiPriority w:val="0"/>
  </w:style>
  <w:style w:type="character" w:customStyle="1" w:styleId="42">
    <w:name w:val="zx-span1"/>
    <w:basedOn w:val="8"/>
    <w:qFormat/>
    <w:uiPriority w:val="0"/>
  </w:style>
  <w:style w:type="character" w:customStyle="1" w:styleId="43">
    <w:name w:val="zx-span11"/>
    <w:basedOn w:val="8"/>
    <w:qFormat/>
    <w:uiPriority w:val="0"/>
    <w:rPr>
      <w:color w:val="FFFFFF"/>
    </w:rPr>
  </w:style>
  <w:style w:type="character" w:customStyle="1" w:styleId="44">
    <w:name w:val="zwfw-sp2"/>
    <w:basedOn w:val="8"/>
    <w:qFormat/>
    <w:uiPriority w:val="0"/>
  </w:style>
  <w:style w:type="character" w:customStyle="1" w:styleId="45">
    <w:name w:val="ndata"/>
    <w:basedOn w:val="8"/>
    <w:qFormat/>
    <w:uiPriority w:val="0"/>
    <w:rPr>
      <w:color w:val="AAAAAA"/>
    </w:rPr>
  </w:style>
  <w:style w:type="character" w:customStyle="1" w:styleId="46">
    <w:name w:val="zy-gr-bj21"/>
    <w:basedOn w:val="8"/>
    <w:qFormat/>
    <w:uiPriority w:val="0"/>
  </w:style>
  <w:style w:type="character" w:customStyle="1" w:styleId="47">
    <w:name w:val="zy-fr-bj30"/>
    <w:basedOn w:val="8"/>
    <w:qFormat/>
    <w:uiPriority w:val="0"/>
  </w:style>
  <w:style w:type="character" w:customStyle="1" w:styleId="48">
    <w:name w:val="r-5-l-sp1"/>
    <w:basedOn w:val="8"/>
    <w:qFormat/>
    <w:uiPriority w:val="0"/>
  </w:style>
  <w:style w:type="character" w:customStyle="1" w:styleId="49">
    <w:name w:val="xtb-gr-08"/>
    <w:basedOn w:val="8"/>
    <w:qFormat/>
    <w:uiPriority w:val="0"/>
  </w:style>
  <w:style w:type="character" w:customStyle="1" w:styleId="50">
    <w:name w:val="hdjl-x-l-m-sp4"/>
    <w:basedOn w:val="8"/>
    <w:qFormat/>
    <w:uiPriority w:val="0"/>
  </w:style>
  <w:style w:type="character" w:customStyle="1" w:styleId="51">
    <w:name w:val="zx-xuan15"/>
    <w:basedOn w:val="8"/>
    <w:qFormat/>
    <w:uiPriority w:val="0"/>
    <w:rPr>
      <w:color w:val="FFFFFF"/>
    </w:rPr>
  </w:style>
  <w:style w:type="character" w:customStyle="1" w:styleId="52">
    <w:name w:val="xtb-fr-16"/>
    <w:basedOn w:val="8"/>
    <w:qFormat/>
    <w:uiPriority w:val="0"/>
  </w:style>
  <w:style w:type="character" w:customStyle="1" w:styleId="53">
    <w:name w:val="zy-fr-bj28"/>
    <w:basedOn w:val="8"/>
    <w:qFormat/>
    <w:uiPriority w:val="0"/>
  </w:style>
  <w:style w:type="character" w:customStyle="1" w:styleId="54">
    <w:name w:val="hdjl-x-l-m-sp3"/>
    <w:basedOn w:val="8"/>
    <w:qFormat/>
    <w:uiPriority w:val="0"/>
  </w:style>
  <w:style w:type="character" w:customStyle="1" w:styleId="55">
    <w:name w:val="hdjl-x-l-x-sp1"/>
    <w:basedOn w:val="8"/>
    <w:qFormat/>
    <w:uiPriority w:val="0"/>
    <w:rPr>
      <w:color w:val="BFBFBF"/>
      <w:sz w:val="19"/>
      <w:szCs w:val="19"/>
    </w:rPr>
  </w:style>
  <w:style w:type="character" w:customStyle="1" w:styleId="56">
    <w:name w:val="xtb-fr-07"/>
    <w:basedOn w:val="8"/>
    <w:qFormat/>
    <w:uiPriority w:val="0"/>
  </w:style>
  <w:style w:type="character" w:customStyle="1" w:styleId="57">
    <w:name w:val="hdjl-x-l-m-sp1"/>
    <w:basedOn w:val="8"/>
    <w:qFormat/>
    <w:uiPriority w:val="0"/>
  </w:style>
  <w:style w:type="character" w:customStyle="1" w:styleId="58">
    <w:name w:val="hdjl-x-l-m-sp2"/>
    <w:basedOn w:val="8"/>
    <w:qFormat/>
    <w:uiPriority w:val="0"/>
  </w:style>
  <w:style w:type="character" w:customStyle="1" w:styleId="59">
    <w:name w:val="xtb-gr-02"/>
    <w:basedOn w:val="8"/>
    <w:qFormat/>
    <w:uiPriority w:val="0"/>
  </w:style>
  <w:style w:type="character" w:customStyle="1" w:styleId="60">
    <w:name w:val="xtb-fr-23"/>
    <w:basedOn w:val="8"/>
    <w:qFormat/>
    <w:uiPriority w:val="0"/>
  </w:style>
  <w:style w:type="character" w:customStyle="1" w:styleId="61">
    <w:name w:val="hdxdata"/>
    <w:basedOn w:val="8"/>
    <w:qFormat/>
    <w:uiPriority w:val="0"/>
  </w:style>
  <w:style w:type="character" w:customStyle="1" w:styleId="62">
    <w:name w:val="xtb-gr-18"/>
    <w:basedOn w:val="8"/>
    <w:qFormat/>
    <w:uiPriority w:val="0"/>
  </w:style>
  <w:style w:type="character" w:customStyle="1" w:styleId="63">
    <w:name w:val="xtb-gr-15"/>
    <w:basedOn w:val="8"/>
    <w:qFormat/>
    <w:uiPriority w:val="0"/>
  </w:style>
  <w:style w:type="character" w:customStyle="1" w:styleId="64">
    <w:name w:val="xtb-fr-10"/>
    <w:basedOn w:val="8"/>
    <w:qFormat/>
    <w:uiPriority w:val="0"/>
  </w:style>
  <w:style w:type="character" w:customStyle="1" w:styleId="65">
    <w:name w:val="xtb-fr-09"/>
    <w:basedOn w:val="8"/>
    <w:qFormat/>
    <w:uiPriority w:val="0"/>
  </w:style>
  <w:style w:type="character" w:customStyle="1" w:styleId="66">
    <w:name w:val="xtb-gr-01"/>
    <w:basedOn w:val="8"/>
    <w:qFormat/>
    <w:uiPriority w:val="0"/>
  </w:style>
  <w:style w:type="character" w:customStyle="1" w:styleId="67">
    <w:name w:val="xtb-gr-07"/>
    <w:basedOn w:val="8"/>
    <w:qFormat/>
    <w:uiPriority w:val="0"/>
  </w:style>
  <w:style w:type="character" w:customStyle="1" w:styleId="68">
    <w:name w:val="xtb-gr-03"/>
    <w:basedOn w:val="8"/>
    <w:qFormat/>
    <w:uiPriority w:val="0"/>
  </w:style>
  <w:style w:type="character" w:customStyle="1" w:styleId="69">
    <w:name w:val="xtb-gr-04"/>
    <w:basedOn w:val="8"/>
    <w:qFormat/>
    <w:uiPriority w:val="0"/>
  </w:style>
  <w:style w:type="character" w:customStyle="1" w:styleId="70">
    <w:name w:val="xtb-gr-05"/>
    <w:basedOn w:val="8"/>
    <w:qFormat/>
    <w:uiPriority w:val="0"/>
  </w:style>
  <w:style w:type="character" w:customStyle="1" w:styleId="71">
    <w:name w:val="xtb-gr-06"/>
    <w:basedOn w:val="8"/>
    <w:qFormat/>
    <w:uiPriority w:val="0"/>
  </w:style>
  <w:style w:type="character" w:customStyle="1" w:styleId="72">
    <w:name w:val="xtb-gr-09"/>
    <w:basedOn w:val="8"/>
    <w:qFormat/>
    <w:uiPriority w:val="0"/>
  </w:style>
  <w:style w:type="character" w:customStyle="1" w:styleId="73">
    <w:name w:val="xtb-fr-17"/>
    <w:basedOn w:val="8"/>
    <w:qFormat/>
    <w:uiPriority w:val="0"/>
  </w:style>
  <w:style w:type="character" w:customStyle="1" w:styleId="74">
    <w:name w:val="xtb-gr-10"/>
    <w:basedOn w:val="8"/>
    <w:qFormat/>
    <w:uiPriority w:val="0"/>
  </w:style>
  <w:style w:type="character" w:customStyle="1" w:styleId="75">
    <w:name w:val="xtb-gr-11"/>
    <w:basedOn w:val="8"/>
    <w:qFormat/>
    <w:uiPriority w:val="0"/>
  </w:style>
  <w:style w:type="character" w:customStyle="1" w:styleId="76">
    <w:name w:val="xtb-gr-12"/>
    <w:basedOn w:val="8"/>
    <w:qFormat/>
    <w:uiPriority w:val="0"/>
  </w:style>
  <w:style w:type="character" w:customStyle="1" w:styleId="77">
    <w:name w:val="xtb-gr-13"/>
    <w:basedOn w:val="8"/>
    <w:qFormat/>
    <w:uiPriority w:val="0"/>
  </w:style>
  <w:style w:type="character" w:customStyle="1" w:styleId="78">
    <w:name w:val="xtb-gr-14"/>
    <w:basedOn w:val="8"/>
    <w:qFormat/>
    <w:uiPriority w:val="0"/>
  </w:style>
  <w:style w:type="character" w:customStyle="1" w:styleId="79">
    <w:name w:val="xtb-gr-16"/>
    <w:basedOn w:val="8"/>
    <w:qFormat/>
    <w:uiPriority w:val="0"/>
  </w:style>
  <w:style w:type="character" w:customStyle="1" w:styleId="80">
    <w:name w:val="xtb-gr-17"/>
    <w:basedOn w:val="8"/>
    <w:qFormat/>
    <w:uiPriority w:val="0"/>
  </w:style>
  <w:style w:type="character" w:customStyle="1" w:styleId="81">
    <w:name w:val="xtb-gr-19"/>
    <w:basedOn w:val="8"/>
    <w:qFormat/>
    <w:uiPriority w:val="0"/>
  </w:style>
  <w:style w:type="character" w:customStyle="1" w:styleId="82">
    <w:name w:val="xtb-gr-20"/>
    <w:basedOn w:val="8"/>
    <w:qFormat/>
    <w:uiPriority w:val="0"/>
  </w:style>
  <w:style w:type="character" w:customStyle="1" w:styleId="83">
    <w:name w:val="xtb-fr-01"/>
    <w:basedOn w:val="8"/>
    <w:qFormat/>
    <w:uiPriority w:val="0"/>
  </w:style>
  <w:style w:type="character" w:customStyle="1" w:styleId="84">
    <w:name w:val="xtb-fr-02"/>
    <w:basedOn w:val="8"/>
    <w:qFormat/>
    <w:uiPriority w:val="0"/>
  </w:style>
  <w:style w:type="character" w:customStyle="1" w:styleId="85">
    <w:name w:val="xtb-fr-03"/>
    <w:basedOn w:val="8"/>
    <w:qFormat/>
    <w:uiPriority w:val="0"/>
  </w:style>
  <w:style w:type="character" w:customStyle="1" w:styleId="86">
    <w:name w:val="xtb-fr-04"/>
    <w:basedOn w:val="8"/>
    <w:qFormat/>
    <w:uiPriority w:val="0"/>
  </w:style>
  <w:style w:type="character" w:customStyle="1" w:styleId="87">
    <w:name w:val="xtb-fr-05"/>
    <w:basedOn w:val="8"/>
    <w:qFormat/>
    <w:uiPriority w:val="0"/>
  </w:style>
  <w:style w:type="character" w:customStyle="1" w:styleId="88">
    <w:name w:val="xtb-fr-06"/>
    <w:basedOn w:val="8"/>
    <w:qFormat/>
    <w:uiPriority w:val="0"/>
  </w:style>
  <w:style w:type="character" w:customStyle="1" w:styleId="89">
    <w:name w:val="xtb-fr-24"/>
    <w:basedOn w:val="8"/>
    <w:qFormat/>
    <w:uiPriority w:val="0"/>
  </w:style>
  <w:style w:type="character" w:customStyle="1" w:styleId="90">
    <w:name w:val="xtb-fr-15"/>
    <w:basedOn w:val="8"/>
    <w:qFormat/>
    <w:uiPriority w:val="0"/>
  </w:style>
  <w:style w:type="character" w:customStyle="1" w:styleId="91">
    <w:name w:val="xtb-fr-11"/>
    <w:basedOn w:val="8"/>
    <w:qFormat/>
    <w:uiPriority w:val="0"/>
  </w:style>
  <w:style w:type="character" w:customStyle="1" w:styleId="92">
    <w:name w:val="zy-fr-bj27"/>
    <w:basedOn w:val="8"/>
    <w:qFormat/>
    <w:uiPriority w:val="0"/>
  </w:style>
  <w:style w:type="character" w:customStyle="1" w:styleId="93">
    <w:name w:val="xtb-fr-12"/>
    <w:basedOn w:val="8"/>
    <w:qFormat/>
    <w:uiPriority w:val="0"/>
  </w:style>
  <w:style w:type="character" w:customStyle="1" w:styleId="94">
    <w:name w:val="xtb-fr-14"/>
    <w:basedOn w:val="8"/>
    <w:qFormat/>
    <w:uiPriority w:val="0"/>
  </w:style>
  <w:style w:type="character" w:customStyle="1" w:styleId="95">
    <w:name w:val="xtb-fr-18"/>
    <w:basedOn w:val="8"/>
    <w:qFormat/>
    <w:uiPriority w:val="0"/>
  </w:style>
  <w:style w:type="character" w:customStyle="1" w:styleId="96">
    <w:name w:val="xtb-fr-20"/>
    <w:basedOn w:val="8"/>
    <w:qFormat/>
    <w:uiPriority w:val="0"/>
  </w:style>
  <w:style w:type="character" w:customStyle="1" w:styleId="97">
    <w:name w:val="xtb-fr-21"/>
    <w:basedOn w:val="8"/>
    <w:qFormat/>
    <w:uiPriority w:val="0"/>
  </w:style>
  <w:style w:type="character" w:customStyle="1" w:styleId="98">
    <w:name w:val="xtb-fr-22"/>
    <w:basedOn w:val="8"/>
    <w:qFormat/>
    <w:uiPriority w:val="0"/>
  </w:style>
  <w:style w:type="character" w:customStyle="1" w:styleId="99">
    <w:name w:val="zy-gr-bj15"/>
    <w:basedOn w:val="8"/>
    <w:qFormat/>
    <w:uiPriority w:val="0"/>
  </w:style>
  <w:style w:type="character" w:customStyle="1" w:styleId="100">
    <w:name w:val="zy-gr-bj1"/>
    <w:basedOn w:val="8"/>
    <w:qFormat/>
    <w:uiPriority w:val="0"/>
  </w:style>
  <w:style w:type="character" w:customStyle="1" w:styleId="101">
    <w:name w:val="zy-gr-bj5"/>
    <w:basedOn w:val="8"/>
    <w:qFormat/>
    <w:uiPriority w:val="0"/>
  </w:style>
  <w:style w:type="character" w:customStyle="1" w:styleId="102">
    <w:name w:val="zy-gr-bj7"/>
    <w:basedOn w:val="8"/>
    <w:qFormat/>
    <w:uiPriority w:val="0"/>
  </w:style>
  <w:style w:type="character" w:customStyle="1" w:styleId="103">
    <w:name w:val="zy-gr-bj2"/>
    <w:basedOn w:val="8"/>
    <w:qFormat/>
    <w:uiPriority w:val="0"/>
  </w:style>
  <w:style w:type="character" w:customStyle="1" w:styleId="104">
    <w:name w:val="zy-fr-bj19"/>
    <w:basedOn w:val="8"/>
    <w:qFormat/>
    <w:uiPriority w:val="0"/>
  </w:style>
  <w:style w:type="character" w:customStyle="1" w:styleId="105">
    <w:name w:val="zy-gr-bj26"/>
    <w:basedOn w:val="8"/>
    <w:qFormat/>
    <w:uiPriority w:val="0"/>
  </w:style>
  <w:style w:type="character" w:customStyle="1" w:styleId="106">
    <w:name w:val="zy-fr-bj10"/>
    <w:basedOn w:val="8"/>
    <w:qFormat/>
    <w:uiPriority w:val="0"/>
  </w:style>
  <w:style w:type="character" w:customStyle="1" w:styleId="107">
    <w:name w:val="zy-gr-bj27"/>
    <w:basedOn w:val="8"/>
    <w:qFormat/>
    <w:uiPriority w:val="0"/>
  </w:style>
  <w:style w:type="character" w:customStyle="1" w:styleId="108">
    <w:name w:val="zy-gr-bj3"/>
    <w:basedOn w:val="8"/>
    <w:qFormat/>
    <w:uiPriority w:val="0"/>
  </w:style>
  <w:style w:type="character" w:customStyle="1" w:styleId="109">
    <w:name w:val="zy-gr-bj13"/>
    <w:basedOn w:val="8"/>
    <w:qFormat/>
    <w:uiPriority w:val="0"/>
  </w:style>
  <w:style w:type="character" w:customStyle="1" w:styleId="110">
    <w:name w:val="zy-fr-bj1"/>
    <w:basedOn w:val="8"/>
    <w:qFormat/>
    <w:uiPriority w:val="0"/>
  </w:style>
  <w:style w:type="character" w:customStyle="1" w:styleId="111">
    <w:name w:val="zy-gr-bj4"/>
    <w:basedOn w:val="8"/>
    <w:qFormat/>
    <w:uiPriority w:val="0"/>
  </w:style>
  <w:style w:type="character" w:customStyle="1" w:styleId="112">
    <w:name w:val="zy-gr-bj6"/>
    <w:basedOn w:val="8"/>
    <w:qFormat/>
    <w:uiPriority w:val="0"/>
  </w:style>
  <w:style w:type="character" w:customStyle="1" w:styleId="113">
    <w:name w:val="zy-gr-bj8"/>
    <w:basedOn w:val="8"/>
    <w:qFormat/>
    <w:uiPriority w:val="0"/>
  </w:style>
  <w:style w:type="character" w:customStyle="1" w:styleId="114">
    <w:name w:val="zy-gr-bj9"/>
    <w:basedOn w:val="8"/>
    <w:qFormat/>
    <w:uiPriority w:val="0"/>
  </w:style>
  <w:style w:type="character" w:customStyle="1" w:styleId="115">
    <w:name w:val="zy-gr-bj10"/>
    <w:basedOn w:val="8"/>
    <w:qFormat/>
    <w:uiPriority w:val="0"/>
  </w:style>
  <w:style w:type="character" w:customStyle="1" w:styleId="116">
    <w:name w:val="zy-gr-bj11"/>
    <w:basedOn w:val="8"/>
    <w:qFormat/>
    <w:uiPriority w:val="0"/>
  </w:style>
  <w:style w:type="character" w:customStyle="1" w:styleId="117">
    <w:name w:val="zy-gr-bj12"/>
    <w:basedOn w:val="8"/>
    <w:qFormat/>
    <w:uiPriority w:val="0"/>
  </w:style>
  <w:style w:type="character" w:customStyle="1" w:styleId="118">
    <w:name w:val="zy-gr-bj14"/>
    <w:basedOn w:val="8"/>
    <w:qFormat/>
    <w:uiPriority w:val="0"/>
  </w:style>
  <w:style w:type="character" w:customStyle="1" w:styleId="119">
    <w:name w:val="zy-gr-bj16"/>
    <w:basedOn w:val="8"/>
    <w:qFormat/>
    <w:uiPriority w:val="0"/>
  </w:style>
  <w:style w:type="character" w:customStyle="1" w:styleId="120">
    <w:name w:val="zy-fr-bj26"/>
    <w:basedOn w:val="8"/>
    <w:qFormat/>
    <w:uiPriority w:val="0"/>
  </w:style>
  <w:style w:type="character" w:customStyle="1" w:styleId="121">
    <w:name w:val="zy-gr-bj18"/>
    <w:basedOn w:val="8"/>
    <w:qFormat/>
    <w:uiPriority w:val="0"/>
  </w:style>
  <w:style w:type="character" w:customStyle="1" w:styleId="122">
    <w:name w:val="zy-fr-bj2"/>
    <w:basedOn w:val="8"/>
    <w:qFormat/>
    <w:uiPriority w:val="0"/>
  </w:style>
  <w:style w:type="character" w:customStyle="1" w:styleId="123">
    <w:name w:val="zy-gr-bj19"/>
    <w:basedOn w:val="8"/>
    <w:qFormat/>
    <w:uiPriority w:val="0"/>
  </w:style>
  <w:style w:type="character" w:customStyle="1" w:styleId="124">
    <w:name w:val="zy-gr-bj22"/>
    <w:basedOn w:val="8"/>
    <w:qFormat/>
    <w:uiPriority w:val="0"/>
  </w:style>
  <w:style w:type="character" w:customStyle="1" w:styleId="125">
    <w:name w:val="zy-gr-bj23"/>
    <w:basedOn w:val="8"/>
    <w:qFormat/>
    <w:uiPriority w:val="0"/>
  </w:style>
  <w:style w:type="character" w:customStyle="1" w:styleId="126">
    <w:name w:val="zy-gr-bj24"/>
    <w:basedOn w:val="8"/>
    <w:qFormat/>
    <w:uiPriority w:val="0"/>
  </w:style>
  <w:style w:type="character" w:customStyle="1" w:styleId="127">
    <w:name w:val="zy-fr-bj12"/>
    <w:basedOn w:val="8"/>
    <w:qFormat/>
    <w:uiPriority w:val="0"/>
  </w:style>
  <w:style w:type="character" w:customStyle="1" w:styleId="128">
    <w:name w:val="zy-gr-bj25"/>
    <w:basedOn w:val="8"/>
    <w:qFormat/>
    <w:uiPriority w:val="0"/>
  </w:style>
  <w:style w:type="character" w:customStyle="1" w:styleId="129">
    <w:name w:val="zy-fr-bj13"/>
    <w:basedOn w:val="8"/>
    <w:qFormat/>
    <w:uiPriority w:val="0"/>
  </w:style>
  <w:style w:type="character" w:customStyle="1" w:styleId="130">
    <w:name w:val="zy-fr-bj22"/>
    <w:basedOn w:val="8"/>
    <w:qFormat/>
    <w:uiPriority w:val="0"/>
  </w:style>
  <w:style w:type="character" w:customStyle="1" w:styleId="131">
    <w:name w:val="zy-fr-bj4"/>
    <w:basedOn w:val="8"/>
    <w:qFormat/>
    <w:uiPriority w:val="0"/>
  </w:style>
  <w:style w:type="character" w:customStyle="1" w:styleId="132">
    <w:name w:val="zy-fr-bj5"/>
    <w:basedOn w:val="8"/>
    <w:qFormat/>
    <w:uiPriority w:val="0"/>
  </w:style>
  <w:style w:type="character" w:customStyle="1" w:styleId="133">
    <w:name w:val="zy-fr-bj7"/>
    <w:basedOn w:val="8"/>
    <w:qFormat/>
    <w:uiPriority w:val="0"/>
  </w:style>
  <w:style w:type="character" w:customStyle="1" w:styleId="134">
    <w:name w:val="zy-fr-bj11"/>
    <w:basedOn w:val="8"/>
    <w:qFormat/>
    <w:uiPriority w:val="0"/>
  </w:style>
  <w:style w:type="character" w:customStyle="1" w:styleId="135">
    <w:name w:val="zy-fr-bj8"/>
    <w:basedOn w:val="8"/>
    <w:qFormat/>
    <w:uiPriority w:val="0"/>
  </w:style>
  <w:style w:type="character" w:customStyle="1" w:styleId="136">
    <w:name w:val="zy-fr-bj14"/>
    <w:basedOn w:val="8"/>
    <w:qFormat/>
    <w:uiPriority w:val="0"/>
  </w:style>
  <w:style w:type="character" w:customStyle="1" w:styleId="137">
    <w:name w:val="zy-fr-bj15"/>
    <w:basedOn w:val="8"/>
    <w:qFormat/>
    <w:uiPriority w:val="0"/>
  </w:style>
  <w:style w:type="character" w:customStyle="1" w:styleId="138">
    <w:name w:val="zy-fr-bj16"/>
    <w:basedOn w:val="8"/>
    <w:qFormat/>
    <w:uiPriority w:val="0"/>
  </w:style>
  <w:style w:type="character" w:customStyle="1" w:styleId="139">
    <w:name w:val="zy-fr-bj18"/>
    <w:basedOn w:val="8"/>
    <w:qFormat/>
    <w:uiPriority w:val="0"/>
  </w:style>
  <w:style w:type="character" w:customStyle="1" w:styleId="140">
    <w:name w:val="zy-fr-bj20"/>
    <w:basedOn w:val="8"/>
    <w:qFormat/>
    <w:uiPriority w:val="0"/>
  </w:style>
  <w:style w:type="character" w:customStyle="1" w:styleId="141">
    <w:name w:val="zy-fr-bj21"/>
    <w:basedOn w:val="8"/>
    <w:qFormat/>
    <w:uiPriority w:val="0"/>
  </w:style>
  <w:style w:type="character" w:customStyle="1" w:styleId="142">
    <w:name w:val="zy-fr-bj23"/>
    <w:basedOn w:val="8"/>
    <w:qFormat/>
    <w:uiPriority w:val="0"/>
  </w:style>
  <w:style w:type="character" w:customStyle="1" w:styleId="143">
    <w:name w:val="zy-fr-bj24"/>
    <w:basedOn w:val="8"/>
    <w:qFormat/>
    <w:uiPriority w:val="0"/>
  </w:style>
  <w:style w:type="character" w:customStyle="1" w:styleId="144">
    <w:name w:val="zy-fr-bj25"/>
    <w:basedOn w:val="8"/>
    <w:qFormat/>
    <w:uiPriority w:val="0"/>
  </w:style>
  <w:style w:type="character" w:customStyle="1" w:styleId="145">
    <w:name w:val="zy-fr-bj29"/>
    <w:basedOn w:val="8"/>
    <w:qFormat/>
    <w:uiPriority w:val="0"/>
  </w:style>
  <w:style w:type="character" w:customStyle="1" w:styleId="146">
    <w:name w:val="zx-span31"/>
    <w:basedOn w:val="8"/>
    <w:qFormat/>
    <w:uiPriority w:val="0"/>
    <w:rPr>
      <w:color w:val="FFFFFF"/>
    </w:rPr>
  </w:style>
  <w:style w:type="character" w:customStyle="1" w:styleId="147">
    <w:name w:val="zx-span51"/>
    <w:basedOn w:val="8"/>
    <w:qFormat/>
    <w:uiPriority w:val="0"/>
    <w:rPr>
      <w:color w:val="FFFFFF"/>
    </w:rPr>
  </w:style>
  <w:style w:type="character" w:customStyle="1" w:styleId="148">
    <w:name w:val="cur"/>
    <w:basedOn w:val="8"/>
    <w:qFormat/>
    <w:uiPriority w:val="0"/>
    <w:rPr>
      <w:shd w:val="clear" w:fill="0168B7"/>
    </w:rPr>
  </w:style>
  <w:style w:type="character" w:customStyle="1" w:styleId="149">
    <w:name w:val="hover75"/>
    <w:basedOn w:val="8"/>
    <w:qFormat/>
    <w:uiPriority w:val="0"/>
  </w:style>
  <w:style w:type="character" w:customStyle="1" w:styleId="150">
    <w:name w:val="zx-xuan7"/>
    <w:basedOn w:val="8"/>
    <w:qFormat/>
    <w:uiPriority w:val="0"/>
    <w:rPr>
      <w:color w:val="FFFFFF"/>
    </w:rPr>
  </w:style>
  <w:style w:type="character" w:customStyle="1" w:styleId="151">
    <w:name w:val="r-6-l-sp3"/>
    <w:basedOn w:val="8"/>
    <w:qFormat/>
    <w:uiPriority w:val="0"/>
  </w:style>
  <w:style w:type="character" w:customStyle="1" w:styleId="152">
    <w:name w:val="r-6-l-sp1"/>
    <w:basedOn w:val="8"/>
    <w:qFormat/>
    <w:uiPriority w:val="0"/>
  </w:style>
  <w:style w:type="character" w:customStyle="1" w:styleId="153">
    <w:name w:val="r-6-l-sp2"/>
    <w:basedOn w:val="8"/>
    <w:qFormat/>
    <w:uiPriority w:val="0"/>
  </w:style>
  <w:style w:type="character" w:customStyle="1" w:styleId="154">
    <w:name w:val="hover"/>
    <w:basedOn w:val="8"/>
    <w:qFormat/>
    <w:uiPriority w:val="0"/>
    <w:rPr>
      <w:shd w:val="clear" w:fill="A40000"/>
    </w:rPr>
  </w:style>
  <w:style w:type="character" w:customStyle="1" w:styleId="155">
    <w:name w:val="hover1"/>
    <w:basedOn w:val="8"/>
    <w:qFormat/>
    <w:uiPriority w:val="0"/>
    <w:rPr>
      <w:color w:val="CA1C1D"/>
    </w:rPr>
  </w:style>
  <w:style w:type="character" w:customStyle="1" w:styleId="156">
    <w:name w:val="font41"/>
    <w:basedOn w:val="8"/>
    <w:qFormat/>
    <w:uiPriority w:val="0"/>
    <w:rPr>
      <w:rFonts w:hint="eastAsia" w:ascii="宋体" w:hAnsi="宋体" w:eastAsia="宋体" w:cs="宋体"/>
      <w:color w:val="000000"/>
      <w:sz w:val="22"/>
      <w:szCs w:val="22"/>
      <w:u w:val="none"/>
    </w:rPr>
  </w:style>
  <w:style w:type="character" w:customStyle="1" w:styleId="157">
    <w:name w:val="font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altLang="en-US">
                <a:solidFill>
                  <a:schemeClr val="tx1"/>
                </a:solidFill>
                <a:latin typeface="黑体" panose="02010609060101010101" charset="-122"/>
                <a:ea typeface="黑体" panose="02010609060101010101" charset="-122"/>
                <a:cs typeface="黑体" panose="02010609060101010101" charset="-122"/>
              </a:rPr>
              <a:t>图</a:t>
            </a:r>
            <a:r>
              <a:rPr lang="en-US" altLang="zh-CN">
                <a:solidFill>
                  <a:schemeClr val="tx1"/>
                </a:solidFill>
                <a:latin typeface="黑体" panose="02010609060101010101" charset="-122"/>
                <a:ea typeface="黑体" panose="02010609060101010101" charset="-122"/>
                <a:cs typeface="黑体" panose="02010609060101010101" charset="-122"/>
              </a:rPr>
              <a:t>1  2016-2020</a:t>
            </a:r>
            <a:r>
              <a:rPr altLang="en-US">
                <a:solidFill>
                  <a:schemeClr val="tx1"/>
                </a:solidFill>
                <a:latin typeface="黑体" panose="02010609060101010101" charset="-122"/>
                <a:ea typeface="黑体" panose="02010609060101010101" charset="-122"/>
                <a:cs typeface="黑体" panose="02010609060101010101" charset="-122"/>
              </a:rPr>
              <a:t>年全市地区生产总值及其增长速度</a:t>
            </a:r>
            <a:endParaRPr altLang="en-US">
              <a:solidFill>
                <a:schemeClr val="tx1"/>
              </a:solidFill>
              <a:latin typeface="黑体" panose="02010609060101010101" charset="-122"/>
              <a:ea typeface="黑体" panose="02010609060101010101" charset="-122"/>
              <a:cs typeface="黑体" panose="02010609060101010101" charset="-122"/>
            </a:endParaRPr>
          </a:p>
        </c:rich>
      </c:tx>
      <c:layout>
        <c:manualLayout>
          <c:xMode val="edge"/>
          <c:yMode val="edge"/>
          <c:x val="0.138882311153209"/>
          <c:y val="0.0240144086451871"/>
        </c:manualLayout>
      </c:layout>
      <c:overlay val="0"/>
      <c:spPr>
        <a:noFill/>
        <a:ln>
          <a:noFill/>
        </a:ln>
        <a:effectLst/>
      </c:spPr>
    </c:title>
    <c:autoTitleDeleted val="0"/>
    <c:plotArea>
      <c:layout>
        <c:manualLayout>
          <c:layoutTarget val="inner"/>
          <c:xMode val="edge"/>
          <c:yMode val="edge"/>
          <c:x val="0.119654274212645"/>
          <c:y val="0.187712627576546"/>
          <c:w val="0.819891072697135"/>
          <c:h val="0.729517710626376"/>
        </c:manualLayout>
      </c:layout>
      <c:barChart>
        <c:barDir val="col"/>
        <c:grouping val="clustered"/>
        <c:varyColors val="0"/>
        <c:ser>
          <c:idx val="1"/>
          <c:order val="0"/>
          <c:tx>
            <c:strRef>
              <c:f>Sheet1!$B$1</c:f>
              <c:strCache>
                <c:ptCount val="1"/>
                <c:pt idx="0">
                  <c:v>地区生产总值</c:v>
                </c:pt>
              </c:strCache>
            </c:strRef>
          </c:tx>
          <c:spPr>
            <a:solidFill>
              <a:schemeClr val="accent2"/>
            </a:solidFill>
            <a:ln>
              <a:noFill/>
            </a:ln>
            <a:effectLst/>
          </c:spPr>
          <c:invertIfNegative val="0"/>
          <c:dLbls>
            <c:dLbl>
              <c:idx val="0"/>
              <c:layout>
                <c:manualLayout>
                  <c:x val="0.00376884422110553"/>
                  <c:y val="-0.0795165394402036"/>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565326633165829"/>
                  <c:y val="-0.0763358778625954"/>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565326633165829"/>
                  <c:y val="-0.0604325699745547"/>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376884422110553"/>
                  <c:y val="-0.0699745547073791"/>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66793893129771"/>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2016年</c:v>
                </c:pt>
                <c:pt idx="1">
                  <c:v>2017年</c:v>
                </c:pt>
                <c:pt idx="2">
                  <c:v>2018年</c:v>
                </c:pt>
                <c:pt idx="3">
                  <c:v>2019年</c:v>
                </c:pt>
                <c:pt idx="4">
                  <c:v>2020年</c:v>
                </c:pt>
              </c:strCache>
            </c:strRef>
          </c:cat>
          <c:val>
            <c:numRef>
              <c:f>Sheet1!$B$2:$B$6</c:f>
              <c:numCache>
                <c:formatCode>General</c:formatCode>
                <c:ptCount val="5"/>
                <c:pt idx="0">
                  <c:v>2198208</c:v>
                </c:pt>
                <c:pt idx="1">
                  <c:v>2423629</c:v>
                </c:pt>
                <c:pt idx="2">
                  <c:v>2605268</c:v>
                </c:pt>
                <c:pt idx="3">
                  <c:v>2832967</c:v>
                </c:pt>
                <c:pt idx="4">
                  <c:v>2920957</c:v>
                </c:pt>
              </c:numCache>
            </c:numRef>
          </c:val>
        </c:ser>
        <c:dLbls>
          <c:showLegendKey val="0"/>
          <c:showVal val="1"/>
          <c:showCatName val="0"/>
          <c:showSerName val="0"/>
          <c:showPercent val="0"/>
          <c:showBubbleSize val="0"/>
        </c:dLbls>
        <c:gapWidth val="219"/>
        <c:overlap val="-27"/>
        <c:axId val="751926800"/>
        <c:axId val="490875712"/>
      </c:barChart>
      <c:lineChart>
        <c:grouping val="standard"/>
        <c:varyColors val="0"/>
        <c:ser>
          <c:idx val="2"/>
          <c:order val="1"/>
          <c:tx>
            <c:strRef>
              <c:f>Sheet1!$C$1</c:f>
              <c:strCache>
                <c:ptCount val="1"/>
                <c:pt idx="0">
                  <c:v>比上年增长</c:v>
                </c:pt>
              </c:strCache>
            </c:strRef>
          </c:tx>
          <c:spPr>
            <a:ln w="19050" cap="rnd" cmpd="sng">
              <a:solidFill>
                <a:srgbClr val="0070C0"/>
              </a:solidFill>
              <a:prstDash val="solid"/>
              <a:round/>
            </a:ln>
            <a:effectLst/>
            <a:sp3d contourW="19050"/>
          </c:spPr>
          <c:marker>
            <c:symbol val="none"/>
          </c:marker>
          <c:dLbls>
            <c:dLbl>
              <c:idx val="0"/>
              <c:layout>
                <c:manualLayout>
                  <c:x val="-0.0358040201005025"/>
                  <c:y val="-0.047709923664122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58040201005025"/>
                  <c:y val="-0.041348600508905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58040201005025"/>
                  <c:y val="-0.054071246819338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58040201005025"/>
                  <c:y val="-0.041348600508905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76884422110553"/>
                  <c:y val="-0.050890585241730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2016年</c:v>
                </c:pt>
                <c:pt idx="1">
                  <c:v>2017年</c:v>
                </c:pt>
                <c:pt idx="2">
                  <c:v>2018年</c:v>
                </c:pt>
                <c:pt idx="3">
                  <c:v>2019年</c:v>
                </c:pt>
                <c:pt idx="4">
                  <c:v>2020年</c:v>
                </c:pt>
              </c:strCache>
            </c:strRef>
          </c:cat>
          <c:val>
            <c:numRef>
              <c:f>Sheet1!$C$2:$C$6</c:f>
              <c:numCache>
                <c:formatCode>General</c:formatCode>
                <c:ptCount val="5"/>
                <c:pt idx="0">
                  <c:v>7.1</c:v>
                </c:pt>
                <c:pt idx="1">
                  <c:v>7.5</c:v>
                </c:pt>
                <c:pt idx="2">
                  <c:v>3.8</c:v>
                </c:pt>
                <c:pt idx="3">
                  <c:v>5.1</c:v>
                </c:pt>
                <c:pt idx="4" c:formatCode="0.0_ ">
                  <c:v>3</c:v>
                </c:pt>
              </c:numCache>
            </c:numRef>
          </c:val>
          <c:smooth val="0"/>
        </c:ser>
        <c:dLbls>
          <c:showLegendKey val="0"/>
          <c:showVal val="1"/>
          <c:showCatName val="0"/>
          <c:showSerName val="0"/>
          <c:showPercent val="0"/>
          <c:showBubbleSize val="0"/>
        </c:dLbls>
        <c:marker val="0"/>
        <c:smooth val="0"/>
        <c:axId val="876542384"/>
        <c:axId val="36226132"/>
      </c:lineChart>
      <c:catAx>
        <c:axId val="751926800"/>
        <c:scaling>
          <c:orientation val="minMax"/>
        </c:scaling>
        <c:delete val="0"/>
        <c:axPos val="b"/>
        <c:majorTickMark val="in"/>
        <c:minorTickMark val="none"/>
        <c:tickLblPos val="nextTo"/>
        <c:spPr>
          <a:noFill/>
          <a:ln w="9525" cap="flat" cmpd="sng" algn="ctr">
            <a:solidFill>
              <a:schemeClr val="tx1">
                <a:lumMod val="50000"/>
                <a:lumOff val="50000"/>
              </a:schemeClr>
            </a:solidFill>
            <a:round/>
          </a:ln>
          <a:effectLst/>
        </c:spPr>
        <c:txPr>
          <a:bodyPr rot="-6000000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90875712"/>
        <c:crosses val="autoZero"/>
        <c:auto val="1"/>
        <c:lblAlgn val="ctr"/>
        <c:lblOffset val="100"/>
        <c:noMultiLvlLbl val="0"/>
      </c:catAx>
      <c:valAx>
        <c:axId val="490875712"/>
        <c:scaling>
          <c:orientation val="minMax"/>
        </c:scaling>
        <c:delete val="0"/>
        <c:axPos val="l"/>
        <c:majorGridlines>
          <c:spPr>
            <a:ln w="9525" cap="flat" cmpd="sng" algn="ctr">
              <a:noFill/>
              <a:round/>
            </a:ln>
            <a:effectLst/>
          </c:spPr>
        </c:majorGridlines>
        <c:title>
          <c:tx>
            <c:rich>
              <a:bodyPr rot="0" spcFirstLastPara="0" vertOverflow="ellipsis" vert="horz" wrap="square" anchor="ctr" anchorCtr="1"/>
              <a:lstStyle/>
              <a:p>
                <a:pPr defTabSz="914400">
                  <a:defRPr lang="zh-CN" sz="90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sz="900" b="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万元</a:t>
                </a:r>
                <a:endParaRPr sz="900" b="0">
                  <a:solidFill>
                    <a:schemeClr val="tx1"/>
                  </a:solidFill>
                  <a:latin typeface="宋体" panose="02010600030101010101" charset="-122"/>
                  <a:ea typeface="宋体" panose="02010600030101010101" charset="-122"/>
                  <a:cs typeface="宋体" panose="02010600030101010101" charset="-122"/>
                  <a:sym typeface="宋体" panose="02010600030101010101" charset="-122"/>
                </a:endParaRPr>
              </a:p>
            </c:rich>
          </c:tx>
          <c:layout>
            <c:manualLayout>
              <c:xMode val="edge"/>
              <c:yMode val="edge"/>
              <c:x val="0.0389186719191369"/>
              <c:y val="0.108703746827543"/>
            </c:manualLayout>
          </c:layout>
          <c:overlay val="0"/>
          <c:spPr>
            <a:noFill/>
            <a:ln>
              <a:noFill/>
            </a:ln>
            <a:effectLst/>
          </c:spPr>
        </c:title>
        <c:numFmt formatCode="General" sourceLinked="1"/>
        <c:majorTickMark val="in"/>
        <c:minorTickMark val="none"/>
        <c:tickLblPos val="nextTo"/>
        <c:spPr>
          <a:noFill/>
          <a:ln>
            <a:solidFill>
              <a:schemeClr val="tx1">
                <a:lumMod val="50000"/>
                <a:lumOff val="50000"/>
              </a:schemeClr>
            </a:solidFill>
          </a:ln>
          <a:effectLst/>
        </c:spPr>
        <c:txPr>
          <a:bodyPr rot="-6000000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751926800"/>
        <c:crosses val="autoZero"/>
        <c:crossBetween val="between"/>
      </c:valAx>
      <c:catAx>
        <c:axId val="876542384"/>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226132"/>
        <c:crosses val="autoZero"/>
        <c:auto val="1"/>
        <c:lblAlgn val="ctr"/>
        <c:lblOffset val="100"/>
        <c:noMultiLvlLbl val="0"/>
      </c:catAx>
      <c:valAx>
        <c:axId val="36226132"/>
        <c:scaling>
          <c:orientation val="minMax"/>
          <c:max val="15"/>
          <c:min val="1"/>
        </c:scaling>
        <c:delete val="0"/>
        <c:axPos val="r"/>
        <c:title>
          <c:tx>
            <c:rich>
              <a:bodyPr rot="0" spcFirstLastPara="0" vertOverflow="ellipsis" vert="horz" wrap="square" anchor="ctr" anchorCtr="1"/>
              <a:lstStyle/>
              <a:p>
                <a:pPr defTabSz="914400">
                  <a:defRPr lang="zh-CN" sz="900" b="0" i="0" u="none" strike="noStrike" kern="1200" baseline="0">
                    <a:solidFill>
                      <a:schemeClr val="tx1"/>
                    </a:solidFill>
                    <a:latin typeface="+mn-ea"/>
                    <a:ea typeface="+mn-ea"/>
                    <a:cs typeface="+mn-ea"/>
                    <a:sym typeface="+mn-ea"/>
                  </a:defRPr>
                </a:pPr>
                <a:r>
                  <a:rPr lang="en-US" altLang="zh-CN" sz="900" b="0">
                    <a:solidFill>
                      <a:schemeClr val="tx1"/>
                    </a:solidFill>
                    <a:latin typeface="+mn-ea"/>
                    <a:ea typeface="+mn-ea"/>
                    <a:cs typeface="+mn-ea"/>
                    <a:sym typeface="+mn-ea"/>
                  </a:rPr>
                  <a:t>%</a:t>
                </a:r>
                <a:endParaRPr lang="en-US" altLang="zh-CN" sz="900" b="0">
                  <a:solidFill>
                    <a:schemeClr val="tx1"/>
                  </a:solidFill>
                  <a:latin typeface="+mn-ea"/>
                  <a:ea typeface="+mn-ea"/>
                  <a:cs typeface="+mn-ea"/>
                  <a:sym typeface="+mn-ea"/>
                </a:endParaRPr>
              </a:p>
            </c:rich>
          </c:tx>
          <c:layout>
            <c:manualLayout>
              <c:xMode val="edge"/>
              <c:yMode val="edge"/>
              <c:x val="0.960020814279084"/>
              <c:y val="0.107753009939216"/>
            </c:manualLayout>
          </c:layout>
          <c:overlay val="0"/>
          <c:spPr>
            <a:noFill/>
            <a:ln>
              <a:noFill/>
            </a:ln>
            <a:effectLst/>
          </c:spPr>
        </c:title>
        <c:numFmt formatCode="#,##0.0_);[Red]\(#,##0.0\)" sourceLinked="0"/>
        <c:majorTickMark val="in"/>
        <c:minorTickMark val="none"/>
        <c:tickLblPos val="nextTo"/>
        <c:spPr>
          <a:noFill/>
          <a:ln>
            <a:solidFill>
              <a:schemeClr val="tx1">
                <a:lumMod val="50000"/>
                <a:lumOff val="50000"/>
              </a:schemeClr>
            </a:solidFill>
          </a:ln>
          <a:effectLst/>
        </c:spPr>
        <c:txPr>
          <a:bodyPr rot="-6000000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76542384"/>
        <c:crosses val="max"/>
        <c:crossBetween val="between"/>
      </c:valAx>
      <c:spPr>
        <a:noFill/>
        <a:ln>
          <a:noFill/>
        </a:ln>
        <a:effectLst/>
      </c:spPr>
    </c:plotArea>
    <c:legend>
      <c:legendPos val="t"/>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manualLayout>
          <c:xMode val="edge"/>
          <c:yMode val="edge"/>
          <c:x val="0.306846733668342"/>
          <c:y val="0.11492790500424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c2eb6cfb-6c8a-4e60-ab6b-f3bfb9361793}"/>
      </c:ext>
    </c:extLst>
  </c:chart>
  <c:spPr>
    <a:solidFill>
      <a:schemeClr val="bg1"/>
    </a:solidFill>
    <a:ln w="3175" cap="rnd"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0"/>
          <a:lstStyle/>
          <a:p>
            <a:pPr defTabSz="914400">
              <a:defRPr lang="zh-CN" sz="1400" b="0" i="0" u="none" strike="noStrike" kern="1200" spc="0" baseline="0">
                <a:solidFill>
                  <a:schemeClr val="tx1">
                    <a:lumMod val="65000"/>
                    <a:lumOff val="35000"/>
                  </a:schemeClr>
                </a:solidFill>
                <a:latin typeface="+mn-lt"/>
                <a:ea typeface="+mn-ea"/>
                <a:cs typeface="+mn-cs"/>
              </a:defRPr>
            </a:pPr>
            <a:r>
              <a:rPr sz="1300">
                <a:solidFill>
                  <a:schemeClr val="tx1"/>
                </a:solidFill>
                <a:uFillTx/>
                <a:latin typeface="黑体" panose="02010609060101010101" charset="-122"/>
                <a:ea typeface="黑体" panose="02010609060101010101" charset="-122"/>
                <a:cs typeface="黑体" panose="02010609060101010101" charset="-122"/>
              </a:rPr>
              <a:t>图</a:t>
            </a:r>
            <a:r>
              <a:rPr lang="en-US" altLang="zh-CN" sz="1300">
                <a:solidFill>
                  <a:schemeClr val="tx1"/>
                </a:solidFill>
                <a:uFillTx/>
                <a:latin typeface="黑体" panose="02010609060101010101" charset="-122"/>
                <a:ea typeface="黑体" panose="02010609060101010101" charset="-122"/>
                <a:cs typeface="黑体" panose="02010609060101010101" charset="-122"/>
              </a:rPr>
              <a:t>2 2016-2020</a:t>
            </a:r>
            <a:r>
              <a:rPr altLang="en-US" sz="1300">
                <a:solidFill>
                  <a:schemeClr val="tx1"/>
                </a:solidFill>
                <a:uFillTx/>
                <a:latin typeface="黑体" panose="02010609060101010101" charset="-122"/>
                <a:ea typeface="黑体" panose="02010609060101010101" charset="-122"/>
                <a:cs typeface="黑体" panose="02010609060101010101" charset="-122"/>
              </a:rPr>
              <a:t>年全市三次产业增加值占地区生产总值比重</a:t>
            </a:r>
            <a:endParaRPr altLang="en-US" sz="1300">
              <a:solidFill>
                <a:schemeClr val="tx1"/>
              </a:solidFill>
              <a:uFillTx/>
              <a:latin typeface="黑体" panose="02010609060101010101" charset="-122"/>
              <a:ea typeface="黑体" panose="02010609060101010101" charset="-122"/>
              <a:cs typeface="黑体" panose="02010609060101010101" charset="-122"/>
            </a:endParaRPr>
          </a:p>
        </c:rich>
      </c:tx>
      <c:layout>
        <c:manualLayout>
          <c:xMode val="edge"/>
          <c:yMode val="edge"/>
          <c:x val="0.137391922302499"/>
          <c:y val="0.00657174151150055"/>
        </c:manualLayout>
      </c:layout>
      <c:overlay val="0"/>
      <c:spPr>
        <a:noFill/>
        <a:ln>
          <a:noFill/>
        </a:ln>
        <a:effectLst/>
      </c:spPr>
    </c:title>
    <c:autoTitleDeleted val="0"/>
    <c:plotArea>
      <c:layout>
        <c:manualLayout>
          <c:layoutTarget val="inner"/>
          <c:xMode val="edge"/>
          <c:yMode val="edge"/>
          <c:x val="0.0840459552291839"/>
          <c:y val="0.213143483023001"/>
          <c:w val="0.829491886770105"/>
          <c:h val="0.587820372398686"/>
        </c:manualLayout>
      </c:layout>
      <c:barChart>
        <c:barDir val="col"/>
        <c:grouping val="percentStacked"/>
        <c:varyColors val="0"/>
        <c:ser>
          <c:idx val="0"/>
          <c:order val="0"/>
          <c:tx>
            <c:strRef>
              <c:f>Sheet1!$B$1</c:f>
              <c:strCache>
                <c:ptCount val="1"/>
                <c:pt idx="0">
                  <c:v>第一产业</c:v>
                </c:pt>
              </c:strCache>
            </c:strRef>
          </c:tx>
          <c:spPr>
            <a:solidFill>
              <a:srgbClr val="6E87E7"/>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2016年</c:v>
                </c:pt>
                <c:pt idx="1">
                  <c:v>2017年</c:v>
                </c:pt>
                <c:pt idx="2">
                  <c:v>2018年</c:v>
                </c:pt>
                <c:pt idx="3">
                  <c:v>2019年</c:v>
                </c:pt>
                <c:pt idx="4">
                  <c:v>2020年</c:v>
                </c:pt>
              </c:strCache>
            </c:strRef>
          </c:cat>
          <c:val>
            <c:numRef>
              <c:f>Sheet1!$B$2:$B$6</c:f>
              <c:numCache>
                <c:formatCode>General</c:formatCode>
                <c:ptCount val="5"/>
                <c:pt idx="0">
                  <c:v>34.6</c:v>
                </c:pt>
                <c:pt idx="1">
                  <c:v>33.1</c:v>
                </c:pt>
                <c:pt idx="2">
                  <c:v>31.3</c:v>
                </c:pt>
                <c:pt idx="3">
                  <c:v>32.2</c:v>
                </c:pt>
                <c:pt idx="4">
                  <c:v>32.4</c:v>
                </c:pt>
              </c:numCache>
            </c:numRef>
          </c:val>
        </c:ser>
        <c:ser>
          <c:idx val="1"/>
          <c:order val="1"/>
          <c:tx>
            <c:strRef>
              <c:f>Sheet1!$C$1</c:f>
              <c:strCache>
                <c:ptCount val="1"/>
                <c:pt idx="0">
                  <c:v>第二产业</c:v>
                </c:pt>
              </c:strCache>
            </c:strRef>
          </c:tx>
          <c:spPr>
            <a:solidFill>
              <a:srgbClr val="DE641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2016年</c:v>
                </c:pt>
                <c:pt idx="1">
                  <c:v>2017年</c:v>
                </c:pt>
                <c:pt idx="2">
                  <c:v>2018年</c:v>
                </c:pt>
                <c:pt idx="3">
                  <c:v>2019年</c:v>
                </c:pt>
                <c:pt idx="4">
                  <c:v>2020年</c:v>
                </c:pt>
              </c:strCache>
            </c:strRef>
          </c:cat>
          <c:val>
            <c:numRef>
              <c:f>Sheet1!$C$2:$C$6</c:f>
              <c:numCache>
                <c:formatCode>General</c:formatCode>
                <c:ptCount val="5"/>
                <c:pt idx="0">
                  <c:v>13.4</c:v>
                </c:pt>
                <c:pt idx="1">
                  <c:v>13.5</c:v>
                </c:pt>
                <c:pt idx="2">
                  <c:v>12.9</c:v>
                </c:pt>
                <c:pt idx="3">
                  <c:v>12.7</c:v>
                </c:pt>
                <c:pt idx="4">
                  <c:v>13.8</c:v>
                </c:pt>
              </c:numCache>
            </c:numRef>
          </c:val>
        </c:ser>
        <c:ser>
          <c:idx val="2"/>
          <c:order val="2"/>
          <c:tx>
            <c:strRef>
              <c:f>Sheet1!$D$1</c:f>
              <c:strCache>
                <c:ptCount val="1"/>
                <c:pt idx="0">
                  <c:v>第三产业</c:v>
                </c:pt>
              </c:strCache>
            </c:strRef>
          </c:tx>
          <c:spPr>
            <a:solidFill>
              <a:srgbClr val="FFFF0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2016年</c:v>
                </c:pt>
                <c:pt idx="1">
                  <c:v>2017年</c:v>
                </c:pt>
                <c:pt idx="2">
                  <c:v>2018年</c:v>
                </c:pt>
                <c:pt idx="3">
                  <c:v>2019年</c:v>
                </c:pt>
                <c:pt idx="4">
                  <c:v>2020年</c:v>
                </c:pt>
              </c:strCache>
            </c:strRef>
          </c:cat>
          <c:val>
            <c:numRef>
              <c:f>Sheet1!$D$2:$D$6</c:f>
              <c:numCache>
                <c:formatCode>0.0_ </c:formatCode>
                <c:ptCount val="5"/>
                <c:pt idx="0">
                  <c:v>52</c:v>
                </c:pt>
                <c:pt idx="1" c:formatCode="General">
                  <c:v>53.4</c:v>
                </c:pt>
                <c:pt idx="2" c:formatCode="General">
                  <c:v>55.8</c:v>
                </c:pt>
                <c:pt idx="3" c:formatCode="General">
                  <c:v>55.1</c:v>
                </c:pt>
                <c:pt idx="4" c:formatCode="General">
                  <c:v>53.8</c:v>
                </c:pt>
              </c:numCache>
            </c:numRef>
          </c:val>
        </c:ser>
        <c:dLbls>
          <c:showLegendKey val="0"/>
          <c:showVal val="1"/>
          <c:showCatName val="0"/>
          <c:showSerName val="0"/>
          <c:showPercent val="0"/>
          <c:showBubbleSize val="0"/>
        </c:dLbls>
        <c:gapWidth val="150"/>
        <c:overlap val="100"/>
        <c:axId val="137288930"/>
        <c:axId val="66421714"/>
      </c:barChart>
      <c:catAx>
        <c:axId val="137288930"/>
        <c:scaling>
          <c:orientation val="minMax"/>
        </c:scaling>
        <c:delete val="0"/>
        <c:axPos val="b"/>
        <c:majorTickMark val="in"/>
        <c:minorTickMark val="none"/>
        <c:tickLblPos val="nextTo"/>
        <c:spPr>
          <a:noFill/>
          <a:ln w="9525" cap="flat" cmpd="sng" algn="ctr">
            <a:solidFill>
              <a:schemeClr val="tx1">
                <a:lumMod val="50000"/>
                <a:lumOff val="50000"/>
              </a:schemeClr>
            </a:solidFill>
            <a:round/>
          </a:ln>
          <a:effectLst/>
        </c:spPr>
        <c:txPr>
          <a:bodyPr rot="-6000000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6421714"/>
        <c:crosses val="autoZero"/>
        <c:auto val="1"/>
        <c:lblAlgn val="ctr"/>
        <c:lblOffset val="100"/>
        <c:noMultiLvlLbl val="0"/>
      </c:catAx>
      <c:valAx>
        <c:axId val="66421714"/>
        <c:scaling>
          <c:orientation val="minMax"/>
        </c:scaling>
        <c:delete val="0"/>
        <c:axPos val="l"/>
        <c:majorGridlines>
          <c:spPr>
            <a:ln w="9525" cap="flat" cmpd="sng" algn="ctr">
              <a:noFill/>
              <a:round/>
            </a:ln>
            <a:effectLst/>
          </c:spPr>
        </c:majorGridlines>
        <c:numFmt formatCode="0%" sourceLinked="1"/>
        <c:majorTickMark val="in"/>
        <c:minorTickMark val="none"/>
        <c:tickLblPos val="nextTo"/>
        <c:spPr>
          <a:noFill/>
          <a:ln>
            <a:solidFill>
              <a:schemeClr val="tx1">
                <a:lumMod val="50000"/>
                <a:lumOff val="50000"/>
              </a:schemeClr>
            </a:solidFill>
          </a:ln>
          <a:effectLst/>
        </c:spPr>
        <c:txPr>
          <a:bodyPr rot="-6000000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37288930"/>
        <c:crosses val="autoZero"/>
        <c:crossBetween val="between"/>
      </c:valAx>
      <c:spPr>
        <a:solidFill>
          <a:schemeClr val="bg1"/>
        </a:solid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solidFill>
                <a:latin typeface="+mn-ea"/>
                <a:ea typeface="+mn-ea"/>
                <a:cs typeface="+mn-ea"/>
                <a:sym typeface="+mn-ea"/>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ea"/>
                <a:ea typeface="+mn-ea"/>
                <a:cs typeface="+mn-ea"/>
                <a:sym typeface="+mn-ea"/>
              </a:defRPr>
            </a:pPr>
          </a:p>
        </c:txPr>
      </c:legendEntry>
      <c:legendEntry>
        <c:idx val="2"/>
        <c:txPr>
          <a:bodyPr rot="0" spcFirstLastPara="0" vertOverflow="ellipsis" vert="horz" wrap="square" anchor="ctr" anchorCtr="1"/>
          <a:lstStyle/>
          <a:p>
            <a:pPr>
              <a:defRPr lang="zh-CN" sz="900" b="0" i="0" u="none" strike="noStrike" kern="1200" baseline="0">
                <a:solidFill>
                  <a:schemeClr val="tx1"/>
                </a:solidFill>
                <a:latin typeface="+mn-ea"/>
                <a:ea typeface="+mn-ea"/>
                <a:cs typeface="+mn-ea"/>
                <a:sym typeface="+mn-ea"/>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ea"/>
              <a:ea typeface="+mn-ea"/>
              <a:cs typeface="+mn-ea"/>
              <a:sym typeface="+mn-ea"/>
            </a:defRPr>
          </a:pPr>
        </a:p>
      </c:txPr>
    </c:legend>
    <c:plotVisOnly val="1"/>
    <c:dispBlanksAs val="gap"/>
    <c:showDLblsOverMax val="0"/>
    <c:extLst>
      <c:ext uri="{0b15fc19-7d7d-44ad-8c2d-2c3a37ce22c3}">
        <chartProps xmlns="https://web.wps.cn/et/2018/main" chartId="{c208e238-b2be-4838-9829-00daa7306ab8}"/>
      </c:ext>
    </c:extLst>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altLang="en-US" sz="1400">
                <a:solidFill>
                  <a:schemeClr val="tx1"/>
                </a:solidFill>
                <a:latin typeface="黑体" panose="02010609060101010101" charset="-122"/>
                <a:ea typeface="黑体" panose="02010609060101010101" charset="-122"/>
                <a:cs typeface="黑体" panose="02010609060101010101" charset="-122"/>
              </a:rPr>
              <a:t>图</a:t>
            </a:r>
            <a:r>
              <a:rPr lang="en-US" altLang="zh-CN" sz="1400">
                <a:solidFill>
                  <a:schemeClr val="tx1"/>
                </a:solidFill>
                <a:latin typeface="黑体" panose="02010609060101010101" charset="-122"/>
                <a:ea typeface="黑体" panose="02010609060101010101" charset="-122"/>
                <a:cs typeface="黑体" panose="02010609060101010101" charset="-122"/>
              </a:rPr>
              <a:t>3  2016-2020</a:t>
            </a:r>
            <a:r>
              <a:rPr altLang="en-US" sz="1400">
                <a:solidFill>
                  <a:schemeClr val="tx1"/>
                </a:solidFill>
                <a:latin typeface="黑体" panose="02010609060101010101" charset="-122"/>
                <a:ea typeface="黑体" panose="02010609060101010101" charset="-122"/>
                <a:cs typeface="黑体" panose="02010609060101010101" charset="-122"/>
              </a:rPr>
              <a:t>年全市社会消费品零售总额</a:t>
            </a:r>
            <a:endParaRPr altLang="en-US" sz="1400">
              <a:solidFill>
                <a:schemeClr val="tx1"/>
              </a:solidFill>
              <a:latin typeface="黑体" panose="02010609060101010101" charset="-122"/>
              <a:ea typeface="黑体" panose="02010609060101010101" charset="-122"/>
              <a:cs typeface="黑体" panose="02010609060101010101" charset="-122"/>
            </a:endParaRPr>
          </a:p>
        </c:rich>
      </c:tx>
      <c:layout/>
      <c:overlay val="0"/>
      <c:spPr>
        <a:noFill/>
        <a:ln>
          <a:noFill/>
        </a:ln>
        <a:effectLst/>
      </c:spPr>
    </c:title>
    <c:autoTitleDeleted val="0"/>
    <c:plotArea>
      <c:layout>
        <c:manualLayout>
          <c:layoutTarget val="inner"/>
          <c:xMode val="edge"/>
          <c:yMode val="edge"/>
          <c:x val="0.16762819444357"/>
          <c:y val="0.176045736434109"/>
          <c:w val="0.71185"/>
          <c:h val="0.728233333333333"/>
        </c:manualLayout>
      </c:layout>
      <c:barChart>
        <c:barDir val="col"/>
        <c:grouping val="clustered"/>
        <c:varyColors val="0"/>
        <c:ser>
          <c:idx val="1"/>
          <c:order val="0"/>
          <c:tx>
            <c:strRef>
              <c:f>Sheet1!$B$1</c:f>
              <c:strCache>
                <c:ptCount val="1"/>
                <c:pt idx="0">
                  <c:v>社会消费品零售总额</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2016年</c:v>
                </c:pt>
                <c:pt idx="1">
                  <c:v>2017年</c:v>
                </c:pt>
                <c:pt idx="2">
                  <c:v>2018年</c:v>
                </c:pt>
                <c:pt idx="3">
                  <c:v>2019年</c:v>
                </c:pt>
                <c:pt idx="4">
                  <c:v>2020年</c:v>
                </c:pt>
              </c:strCache>
            </c:strRef>
          </c:cat>
          <c:val>
            <c:numRef>
              <c:f>Sheet1!$B$2:$B$6</c:f>
              <c:numCache>
                <c:formatCode>General</c:formatCode>
                <c:ptCount val="5"/>
                <c:pt idx="0">
                  <c:v>865543</c:v>
                </c:pt>
                <c:pt idx="1">
                  <c:v>970024</c:v>
                </c:pt>
                <c:pt idx="2">
                  <c:v>1041895</c:v>
                </c:pt>
                <c:pt idx="3">
                  <c:v>1098095</c:v>
                </c:pt>
                <c:pt idx="4">
                  <c:v>1080047</c:v>
                </c:pt>
              </c:numCache>
            </c:numRef>
          </c:val>
        </c:ser>
        <c:dLbls>
          <c:showLegendKey val="0"/>
          <c:showVal val="1"/>
          <c:showCatName val="0"/>
          <c:showSerName val="0"/>
          <c:showPercent val="0"/>
          <c:showBubbleSize val="0"/>
        </c:dLbls>
        <c:gapWidth val="219"/>
        <c:overlap val="-27"/>
        <c:axId val="751926800"/>
        <c:axId val="490875712"/>
      </c:barChart>
      <c:catAx>
        <c:axId val="751926800"/>
        <c:scaling>
          <c:orientation val="minMax"/>
        </c:scaling>
        <c:delete val="0"/>
        <c:axPos val="b"/>
        <c:majorTickMark val="in"/>
        <c:minorTickMark val="none"/>
        <c:tickLblPos val="nextTo"/>
        <c:spPr>
          <a:noFill/>
          <a:ln w="9525" cap="flat" cmpd="sng" algn="ctr">
            <a:solidFill>
              <a:schemeClr val="tx1">
                <a:lumMod val="50000"/>
                <a:lumOff val="50000"/>
              </a:schemeClr>
            </a:solidFill>
            <a:round/>
          </a:ln>
          <a:effectLst/>
        </c:spPr>
        <c:txPr>
          <a:bodyPr rot="-6000000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90875712"/>
        <c:crosses val="autoZero"/>
        <c:auto val="1"/>
        <c:lblAlgn val="ctr"/>
        <c:lblOffset val="100"/>
        <c:noMultiLvlLbl val="0"/>
      </c:catAx>
      <c:valAx>
        <c:axId val="490875712"/>
        <c:scaling>
          <c:orientation val="minMax"/>
        </c:scaling>
        <c:delete val="0"/>
        <c:axPos val="l"/>
        <c:majorGridlines>
          <c:spPr>
            <a:ln w="9525" cap="flat" cmpd="sng" algn="ctr">
              <a:noFill/>
              <a:round/>
            </a:ln>
            <a:effectLst/>
          </c:spPr>
        </c:majorGridlines>
        <c:title>
          <c:tx>
            <c:rich>
              <a:bodyPr rot="0" spcFirstLastPara="0" vertOverflow="ellipsis" vert="horz" wrap="square" anchor="ctr" anchorCtr="1"/>
              <a:lstStyle/>
              <a:p>
                <a:pPr defTabSz="914400">
                  <a:defRPr lang="zh-CN" sz="900" b="1"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sz="900" b="1">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万元</a:t>
                </a:r>
                <a:endParaRPr sz="900" b="1">
                  <a:solidFill>
                    <a:schemeClr val="tx1"/>
                  </a:solidFill>
                  <a:latin typeface="宋体" panose="02010600030101010101" charset="-122"/>
                  <a:ea typeface="宋体" panose="02010600030101010101" charset="-122"/>
                  <a:cs typeface="宋体" panose="02010600030101010101" charset="-122"/>
                  <a:sym typeface="宋体" panose="02010600030101010101" charset="-122"/>
                </a:endParaRPr>
              </a:p>
            </c:rich>
          </c:tx>
          <c:layout>
            <c:manualLayout>
              <c:xMode val="edge"/>
              <c:yMode val="edge"/>
              <c:x val="0.0821282632159029"/>
              <c:y val="0.106465321319807"/>
            </c:manualLayout>
          </c:layout>
          <c:overlay val="0"/>
          <c:spPr>
            <a:noFill/>
            <a:ln>
              <a:noFill/>
            </a:ln>
            <a:effectLst/>
          </c:spPr>
        </c:title>
        <c:numFmt formatCode="General" sourceLinked="1"/>
        <c:majorTickMark val="in"/>
        <c:minorTickMark val="none"/>
        <c:tickLblPos val="nextTo"/>
        <c:spPr>
          <a:noFill/>
          <a:ln>
            <a:solidFill>
              <a:schemeClr val="tx1">
                <a:lumMod val="50000"/>
                <a:lumOff val="50000"/>
              </a:schemeClr>
            </a:solidFill>
          </a:ln>
          <a:effectLst/>
        </c:spPr>
        <c:txPr>
          <a:bodyPr rot="-6000000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751926800"/>
        <c:crosses val="autoZero"/>
        <c:crossBetween val="between"/>
      </c:valAx>
      <c:spPr>
        <a:noFill/>
        <a:ln>
          <a:noFill/>
        </a:ln>
        <a:effectLst/>
      </c:spPr>
    </c:plotArea>
    <c:plotVisOnly val="1"/>
    <c:dispBlanksAs val="gap"/>
    <c:showDLblsOverMax val="0"/>
    <c:extLst>
      <c:ext uri="{0b15fc19-7d7d-44ad-8c2d-2c3a37ce22c3}">
        <chartProps xmlns="https://web.wps.cn/et/2018/main" chartId="{4a33cb3f-8fe6-4ae6-b82a-a58d09dfdda3}"/>
      </c:ext>
    </c:extLst>
  </c:chart>
  <c:spPr>
    <a:solidFill>
      <a:schemeClr val="bg1"/>
    </a:solidFill>
    <a:ln w="3175" cap="rnd"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altLang="en-US">
                <a:solidFill>
                  <a:schemeClr val="tx1"/>
                </a:solidFill>
                <a:latin typeface="黑体" panose="02010609060101010101" charset="-122"/>
                <a:ea typeface="黑体" panose="02010609060101010101" charset="-122"/>
                <a:cs typeface="黑体" panose="02010609060101010101" charset="-122"/>
              </a:rPr>
              <a:t>图</a:t>
            </a:r>
            <a:r>
              <a:rPr lang="en-US" altLang="zh-CN">
                <a:solidFill>
                  <a:schemeClr val="tx1"/>
                </a:solidFill>
                <a:latin typeface="黑体" panose="02010609060101010101" charset="-122"/>
                <a:ea typeface="黑体" panose="02010609060101010101" charset="-122"/>
                <a:cs typeface="黑体" panose="02010609060101010101" charset="-122"/>
              </a:rPr>
              <a:t>4  2016-2020</a:t>
            </a:r>
            <a:r>
              <a:rPr altLang="en-US">
                <a:solidFill>
                  <a:schemeClr val="tx1"/>
                </a:solidFill>
                <a:latin typeface="黑体" panose="02010609060101010101" charset="-122"/>
                <a:ea typeface="黑体" panose="02010609060101010101" charset="-122"/>
                <a:cs typeface="黑体" panose="02010609060101010101" charset="-122"/>
              </a:rPr>
              <a:t>年全市居民人均可支配收入及其增速</a:t>
            </a:r>
            <a:endParaRPr altLang="en-US">
              <a:solidFill>
                <a:schemeClr val="tx1"/>
              </a:solidFill>
              <a:latin typeface="黑体" panose="02010609060101010101" charset="-122"/>
              <a:ea typeface="黑体" panose="02010609060101010101" charset="-122"/>
              <a:cs typeface="黑体" panose="02010609060101010101" charset="-122"/>
            </a:endParaRPr>
          </a:p>
        </c:rich>
      </c:tx>
      <c:layout>
        <c:manualLayout>
          <c:xMode val="edge"/>
          <c:yMode val="edge"/>
          <c:x val="0.138882311153209"/>
          <c:y val="0.0240144086451871"/>
        </c:manualLayout>
      </c:layout>
      <c:overlay val="0"/>
      <c:spPr>
        <a:noFill/>
        <a:ln>
          <a:noFill/>
        </a:ln>
        <a:effectLst/>
      </c:spPr>
    </c:title>
    <c:autoTitleDeleted val="0"/>
    <c:plotArea>
      <c:layout>
        <c:manualLayout>
          <c:layoutTarget val="inner"/>
          <c:xMode val="edge"/>
          <c:yMode val="edge"/>
          <c:x val="0.119654274212645"/>
          <c:y val="0.187712627576546"/>
          <c:w val="0.819891072697135"/>
          <c:h val="0.729517710626376"/>
        </c:manualLayout>
      </c:layout>
      <c:barChart>
        <c:barDir val="col"/>
        <c:grouping val="clustered"/>
        <c:varyColors val="0"/>
        <c:ser>
          <c:idx val="1"/>
          <c:order val="0"/>
          <c:tx>
            <c:strRef>
              <c:f>Sheet1!$B$1</c:f>
              <c:strCache>
                <c:ptCount val="1"/>
                <c:pt idx="0">
                  <c:v>全市居民人均可支配收入</c:v>
                </c:pt>
              </c:strCache>
            </c:strRef>
          </c:tx>
          <c:spPr>
            <a:solidFill>
              <a:srgbClr val="FE204F"/>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2016年</c:v>
                </c:pt>
                <c:pt idx="1">
                  <c:v>2017年</c:v>
                </c:pt>
                <c:pt idx="2">
                  <c:v>2018年</c:v>
                </c:pt>
                <c:pt idx="3">
                  <c:v>2019年</c:v>
                </c:pt>
                <c:pt idx="4">
                  <c:v>2020年</c:v>
                </c:pt>
              </c:strCache>
            </c:strRef>
          </c:cat>
          <c:val>
            <c:numRef>
              <c:f>Sheet1!$B$2:$B$6</c:f>
              <c:numCache>
                <c:formatCode>General</c:formatCode>
                <c:ptCount val="5"/>
                <c:pt idx="0">
                  <c:v>19585</c:v>
                </c:pt>
                <c:pt idx="1">
                  <c:v>21373</c:v>
                </c:pt>
                <c:pt idx="2">
                  <c:v>23325</c:v>
                </c:pt>
                <c:pt idx="3">
                  <c:v>25302</c:v>
                </c:pt>
                <c:pt idx="4">
                  <c:v>26745</c:v>
                </c:pt>
              </c:numCache>
            </c:numRef>
          </c:val>
        </c:ser>
        <c:dLbls>
          <c:showLegendKey val="0"/>
          <c:showVal val="1"/>
          <c:showCatName val="0"/>
          <c:showSerName val="0"/>
          <c:showPercent val="0"/>
          <c:showBubbleSize val="0"/>
        </c:dLbls>
        <c:gapWidth val="219"/>
        <c:overlap val="-27"/>
        <c:axId val="751926800"/>
        <c:axId val="490875712"/>
      </c:barChart>
      <c:lineChart>
        <c:grouping val="standard"/>
        <c:varyColors val="0"/>
        <c:ser>
          <c:idx val="2"/>
          <c:order val="1"/>
          <c:tx>
            <c:strRef>
              <c:f>Sheet1!$C$1</c:f>
              <c:strCache>
                <c:ptCount val="1"/>
                <c:pt idx="0">
                  <c:v>比上年增长</c:v>
                </c:pt>
              </c:strCache>
            </c:strRef>
          </c:tx>
          <c:spPr>
            <a:ln w="25400" cap="rnd" cmpd="sng">
              <a:solidFill>
                <a:srgbClr val="03C4D5"/>
              </a:solidFill>
              <a:prstDash val="solid"/>
              <a:round/>
            </a:ln>
            <a:effectLst/>
            <a:sp3d contourW="19050"/>
          </c:spPr>
          <c:marker>
            <c:symbol val="none"/>
          </c:marker>
          <c:dLbls>
            <c:dLbl>
              <c:idx val="0"/>
              <c:layout>
                <c:manualLayout>
                  <c:x val="-0.0266398295050912"/>
                  <c:y val="0.051030618371022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19677954061094"/>
                  <c:y val="0.051030618371022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84158181387639"/>
                  <c:y val="0.048028817290374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55197726734549"/>
                  <c:y val="0.063037822693616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55197726734549"/>
                  <c:y val="0.060036021612967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2016年</c:v>
                </c:pt>
                <c:pt idx="1">
                  <c:v>2017年</c:v>
                </c:pt>
                <c:pt idx="2">
                  <c:v>2018年</c:v>
                </c:pt>
                <c:pt idx="3">
                  <c:v>2019年</c:v>
                </c:pt>
                <c:pt idx="4">
                  <c:v>2020年</c:v>
                </c:pt>
              </c:strCache>
            </c:strRef>
          </c:cat>
          <c:val>
            <c:numRef>
              <c:f>Sheet1!$C$2:$C$6</c:f>
              <c:numCache>
                <c:formatCode>0.0_ </c:formatCode>
                <c:ptCount val="5"/>
                <c:pt idx="0">
                  <c:v>9</c:v>
                </c:pt>
                <c:pt idx="1" c:formatCode="General">
                  <c:v>9.1</c:v>
                </c:pt>
                <c:pt idx="2" c:formatCode="General">
                  <c:v>9.1</c:v>
                </c:pt>
                <c:pt idx="3" c:formatCode="General">
                  <c:v>8.5</c:v>
                </c:pt>
                <c:pt idx="4">
                  <c:v>5.7</c:v>
                </c:pt>
              </c:numCache>
            </c:numRef>
          </c:val>
          <c:smooth val="0"/>
        </c:ser>
        <c:dLbls>
          <c:showLegendKey val="0"/>
          <c:showVal val="1"/>
          <c:showCatName val="0"/>
          <c:showSerName val="0"/>
          <c:showPercent val="0"/>
          <c:showBubbleSize val="0"/>
        </c:dLbls>
        <c:marker val="0"/>
        <c:smooth val="0"/>
        <c:axId val="876542384"/>
        <c:axId val="36226132"/>
      </c:lineChart>
      <c:catAx>
        <c:axId val="751926800"/>
        <c:scaling>
          <c:orientation val="minMax"/>
        </c:scaling>
        <c:delete val="0"/>
        <c:axPos val="b"/>
        <c:majorTickMark val="in"/>
        <c:minorTickMark val="none"/>
        <c:tickLblPos val="nextTo"/>
        <c:spPr>
          <a:noFill/>
          <a:ln w="9525" cap="flat" cmpd="sng" algn="ctr">
            <a:solidFill>
              <a:schemeClr val="tx1">
                <a:lumMod val="50000"/>
                <a:lumOff val="50000"/>
              </a:schemeClr>
            </a:solidFill>
            <a:round/>
          </a:ln>
          <a:effectLst/>
        </c:spPr>
        <c:txPr>
          <a:bodyPr rot="-6000000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90875712"/>
        <c:crosses val="autoZero"/>
        <c:auto val="1"/>
        <c:lblAlgn val="ctr"/>
        <c:lblOffset val="100"/>
        <c:noMultiLvlLbl val="0"/>
      </c:catAx>
      <c:valAx>
        <c:axId val="490875712"/>
        <c:scaling>
          <c:orientation val="minMax"/>
        </c:scaling>
        <c:delete val="0"/>
        <c:axPos val="l"/>
        <c:majorGridlines>
          <c:spPr>
            <a:ln w="9525" cap="flat" cmpd="sng" algn="ctr">
              <a:noFill/>
              <a:round/>
            </a:ln>
            <a:effectLst/>
          </c:spPr>
        </c:majorGridlines>
        <c:title>
          <c:tx>
            <c:rich>
              <a:bodyPr rot="0" spcFirstLastPara="0" vertOverflow="ellipsis" vert="horz" wrap="square" anchor="ctr" anchorCtr="1"/>
              <a:lstStyle/>
              <a:p>
                <a:pPr defTabSz="914400">
                  <a:defRPr lang="zh-CN" sz="90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sz="900" b="0">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元</a:t>
                </a:r>
                <a:endParaRPr sz="900" b="0">
                  <a:solidFill>
                    <a:schemeClr val="tx1"/>
                  </a:solidFill>
                  <a:latin typeface="宋体" panose="02010600030101010101" charset="-122"/>
                  <a:ea typeface="宋体" panose="02010600030101010101" charset="-122"/>
                  <a:cs typeface="宋体" panose="02010600030101010101" charset="-122"/>
                  <a:sym typeface="宋体" panose="02010600030101010101" charset="-122"/>
                </a:endParaRPr>
              </a:p>
            </c:rich>
          </c:tx>
          <c:layout>
            <c:manualLayout>
              <c:xMode val="edge"/>
              <c:yMode val="edge"/>
              <c:x val="0.0636641135483105"/>
              <c:y val="0.106302305963023"/>
            </c:manualLayout>
          </c:layout>
          <c:overlay val="0"/>
          <c:spPr>
            <a:noFill/>
            <a:ln>
              <a:noFill/>
            </a:ln>
            <a:effectLst/>
          </c:spPr>
        </c:title>
        <c:numFmt formatCode="General" sourceLinked="1"/>
        <c:majorTickMark val="in"/>
        <c:minorTickMark val="none"/>
        <c:tickLblPos val="nextTo"/>
        <c:spPr>
          <a:noFill/>
          <a:ln>
            <a:solidFill>
              <a:schemeClr val="tx1">
                <a:lumMod val="50000"/>
                <a:lumOff val="50000"/>
              </a:schemeClr>
            </a:solidFill>
          </a:ln>
          <a:effectLst/>
        </c:spPr>
        <c:txPr>
          <a:bodyPr rot="-6000000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751926800"/>
        <c:crosses val="autoZero"/>
        <c:crossBetween val="between"/>
      </c:valAx>
      <c:catAx>
        <c:axId val="876542384"/>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226132"/>
        <c:crosses val="autoZero"/>
        <c:auto val="1"/>
        <c:lblAlgn val="ctr"/>
        <c:lblOffset val="100"/>
        <c:noMultiLvlLbl val="0"/>
      </c:catAx>
      <c:valAx>
        <c:axId val="36226132"/>
        <c:scaling>
          <c:orientation val="minMax"/>
          <c:max val="15"/>
          <c:min val="1"/>
        </c:scaling>
        <c:delete val="0"/>
        <c:axPos val="r"/>
        <c:title>
          <c:tx>
            <c:rich>
              <a:bodyPr rot="0" spcFirstLastPara="0" vertOverflow="ellipsis" vert="horz" wrap="square" anchor="ctr" anchorCtr="1"/>
              <a:lstStyle/>
              <a:p>
                <a:pPr defTabSz="914400">
                  <a:defRPr lang="zh-CN" sz="900" b="0" i="0" u="none" strike="noStrike" kern="1200" baseline="0">
                    <a:solidFill>
                      <a:schemeClr val="tx1"/>
                    </a:solidFill>
                    <a:latin typeface="+mn-ea"/>
                    <a:ea typeface="+mn-ea"/>
                    <a:cs typeface="+mn-ea"/>
                    <a:sym typeface="+mn-ea"/>
                  </a:defRPr>
                </a:pPr>
                <a:r>
                  <a:rPr lang="en-US" altLang="zh-CN" sz="900" b="0">
                    <a:solidFill>
                      <a:schemeClr val="tx1"/>
                    </a:solidFill>
                    <a:latin typeface="+mn-ea"/>
                    <a:ea typeface="+mn-ea"/>
                    <a:cs typeface="+mn-ea"/>
                    <a:sym typeface="+mn-ea"/>
                  </a:rPr>
                  <a:t>%</a:t>
                </a:r>
                <a:endParaRPr lang="en-US" altLang="zh-CN" sz="900" b="0">
                  <a:solidFill>
                    <a:schemeClr val="tx1"/>
                  </a:solidFill>
                  <a:latin typeface="+mn-ea"/>
                  <a:ea typeface="+mn-ea"/>
                  <a:cs typeface="+mn-ea"/>
                  <a:sym typeface="+mn-ea"/>
                </a:endParaRPr>
              </a:p>
            </c:rich>
          </c:tx>
          <c:layout>
            <c:manualLayout>
              <c:xMode val="edge"/>
              <c:yMode val="edge"/>
              <c:x val="0.958008027160922"/>
              <c:y val="0.0975468862650114"/>
            </c:manualLayout>
          </c:layout>
          <c:overlay val="0"/>
          <c:spPr>
            <a:noFill/>
            <a:ln>
              <a:noFill/>
            </a:ln>
            <a:effectLst/>
          </c:spPr>
        </c:title>
        <c:numFmt formatCode="#,##0.0_);[Red]\(#,##0.0\)" sourceLinked="0"/>
        <c:majorTickMark val="in"/>
        <c:minorTickMark val="none"/>
        <c:tickLblPos val="nextTo"/>
        <c:spPr>
          <a:noFill/>
          <a:ln>
            <a:solidFill>
              <a:schemeClr val="tx1">
                <a:lumMod val="50000"/>
                <a:lumOff val="50000"/>
              </a:schemeClr>
            </a:solidFill>
          </a:ln>
          <a:effectLst/>
        </c:spPr>
        <c:txPr>
          <a:bodyPr rot="-60000000" spcFirstLastPara="0" vertOverflow="ellipsis" vert="horz" wrap="square" anchor="ctr" anchorCtr="1"/>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876542384"/>
        <c:crosses val="max"/>
        <c:crossBetween val="between"/>
      </c:valAx>
      <c:spPr>
        <a:noFill/>
        <a:ln>
          <a:noFill/>
        </a:ln>
        <a:effectLst/>
      </c:spPr>
    </c:plotArea>
    <c:legend>
      <c:legendPos val="t"/>
      <c:legendEntry>
        <c:idx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ee8577d-2806-4884-b135-f68683cb3217}"/>
      </c:ext>
    </c:extLst>
  </c:chart>
  <c:spPr>
    <a:solidFill>
      <a:schemeClr val="bg1"/>
    </a:solidFill>
    <a:ln w="3175" cap="rnd"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6350</Words>
  <Characters>7909</Characters>
  <Lines>0</Lines>
  <Paragraphs>0</Paragraphs>
  <TotalTime>11</TotalTime>
  <ScaleCrop>false</ScaleCrop>
  <LinksUpToDate>false</LinksUpToDate>
  <CharactersWithSpaces>8360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2021-05-17T01:49:00Z</cp:lastPrinted>
  <dcterms:modified xsi:type="dcterms:W3CDTF">2024-10-28T09:11:59Z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D1C8AB3A43F04000B3F5F4CF338AF222_12</vt:lpwstr>
  </property>
</Properties>
</file>