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202</w:t>
      </w:r>
      <w:r>
        <w:rPr>
          <w:rFonts w:ascii="方正小标宋_GBK" w:hAnsi="方正小标宋_GBK" w:eastAsia="方正小标宋_GBK" w:cs="方正小标宋_GBK"/>
          <w:color w:val="000000" w:themeColor="text1"/>
          <w:sz w:val="44"/>
          <w:szCs w:val="44"/>
          <w14:textFill>
            <w14:solidFill>
              <w14:schemeClr w14:val="tx1"/>
            </w14:solidFill>
          </w14:textFill>
        </w:rPr>
        <w:t>1</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年琼海市国民经济和社会发展</w:t>
      </w:r>
    </w:p>
    <w:p>
      <w:pPr>
        <w:spacing w:line="56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统计公报</w:t>
      </w:r>
    </w:p>
    <w:p>
      <w:pPr>
        <w:tabs>
          <w:tab w:val="left" w:pos="2916"/>
        </w:tabs>
        <w:spacing w:line="420" w:lineRule="exact"/>
        <w:ind w:firstLine="880" w:firstLineChars="200"/>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ab/>
      </w:r>
    </w:p>
    <w:p>
      <w:pPr>
        <w:tabs>
          <w:tab w:val="left" w:pos="2916"/>
        </w:tabs>
        <w:spacing w:line="440" w:lineRule="exact"/>
        <w:jc w:val="center"/>
        <w:rPr>
          <w:rFonts w:ascii="楷体_GB2312" w:hAnsi="楷体_GB2312" w:eastAsia="楷体_GB2312" w:cs="楷体_GB2312"/>
          <w:color w:val="000000" w:themeColor="text1"/>
          <w:sz w:val="28"/>
          <w:szCs w:val="28"/>
          <w14:textFill>
            <w14:solidFill>
              <w14:schemeClr w14:val="tx1"/>
            </w14:solidFill>
          </w14:textFill>
        </w:rPr>
      </w:pPr>
      <w:r>
        <w:rPr>
          <w:rFonts w:hint="eastAsia" w:ascii="楷体_GB2312" w:hAnsi="楷体_GB2312" w:eastAsia="楷体_GB2312" w:cs="楷体_GB2312"/>
          <w:color w:val="000000" w:themeColor="text1"/>
          <w:sz w:val="28"/>
          <w:szCs w:val="28"/>
          <w14:textFill>
            <w14:solidFill>
              <w14:schemeClr w14:val="tx1"/>
            </w14:solidFill>
          </w14:textFill>
        </w:rPr>
        <w:t>琼海市统计局</w:t>
      </w:r>
    </w:p>
    <w:p>
      <w:pPr>
        <w:tabs>
          <w:tab w:val="left" w:pos="2916"/>
        </w:tabs>
        <w:spacing w:line="440" w:lineRule="exact"/>
        <w:jc w:val="center"/>
        <w:rPr>
          <w:rFonts w:ascii="楷体_GB2312" w:hAnsi="楷体_GB2312" w:eastAsia="楷体_GB2312" w:cs="楷体_GB2312"/>
          <w:color w:val="000000" w:themeColor="text1"/>
          <w:sz w:val="28"/>
          <w:szCs w:val="28"/>
          <w14:textFill>
            <w14:solidFill>
              <w14:schemeClr w14:val="tx1"/>
            </w14:solidFill>
          </w14:textFill>
        </w:rPr>
      </w:pPr>
      <w:r>
        <w:rPr>
          <w:rFonts w:hint="eastAsia" w:ascii="楷体_GB2312" w:hAnsi="楷体_GB2312" w:eastAsia="楷体_GB2312" w:cs="楷体_GB2312"/>
          <w:color w:val="000000" w:themeColor="text1"/>
          <w:sz w:val="28"/>
          <w:szCs w:val="28"/>
          <w14:textFill>
            <w14:solidFill>
              <w14:schemeClr w14:val="tx1"/>
            </w14:solidFill>
          </w14:textFill>
        </w:rPr>
        <w:t>202</w:t>
      </w:r>
      <w:r>
        <w:rPr>
          <w:rFonts w:ascii="楷体_GB2312" w:hAnsi="楷体_GB2312" w:eastAsia="楷体_GB2312" w:cs="楷体_GB2312"/>
          <w:color w:val="000000" w:themeColor="text1"/>
          <w:sz w:val="28"/>
          <w:szCs w:val="28"/>
          <w14:textFill>
            <w14:solidFill>
              <w14:schemeClr w14:val="tx1"/>
            </w14:solidFill>
          </w14:textFill>
        </w:rPr>
        <w:t>2</w:t>
      </w:r>
      <w:r>
        <w:rPr>
          <w:rFonts w:hint="eastAsia" w:ascii="楷体_GB2312" w:hAnsi="楷体_GB2312" w:eastAsia="楷体_GB2312" w:cs="楷体_GB2312"/>
          <w:color w:val="000000" w:themeColor="text1"/>
          <w:sz w:val="28"/>
          <w:szCs w:val="28"/>
          <w14:textFill>
            <w14:solidFill>
              <w14:schemeClr w14:val="tx1"/>
            </w14:solidFill>
          </w14:textFill>
        </w:rPr>
        <w:t>年</w:t>
      </w:r>
      <w:r>
        <w:rPr>
          <w:rFonts w:ascii="楷体_GB2312" w:hAnsi="楷体_GB2312" w:eastAsia="楷体_GB2312" w:cs="楷体_GB2312"/>
          <w:color w:val="000000" w:themeColor="text1"/>
          <w:sz w:val="28"/>
          <w:szCs w:val="28"/>
          <w14:textFill>
            <w14:solidFill>
              <w14:schemeClr w14:val="tx1"/>
            </w14:solidFill>
          </w14:textFill>
        </w:rPr>
        <w:t>4</w:t>
      </w:r>
      <w:r>
        <w:rPr>
          <w:rFonts w:hint="eastAsia" w:ascii="楷体_GB2312" w:hAnsi="楷体_GB2312" w:eastAsia="楷体_GB2312" w:cs="楷体_GB2312"/>
          <w:color w:val="000000" w:themeColor="text1"/>
          <w:sz w:val="28"/>
          <w:szCs w:val="28"/>
          <w14:textFill>
            <w14:solidFill>
              <w14:schemeClr w14:val="tx1"/>
            </w14:solidFill>
          </w14:textFill>
        </w:rPr>
        <w:t>月</w:t>
      </w:r>
    </w:p>
    <w:p>
      <w:pPr>
        <w:pStyle w:val="13"/>
      </w:pP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2021年，全市上下坚持以习近平新时代中国特色社会主义思想为指导，完整、准确、全面贯彻新发展理念，聚力新旧动能转换，扎实做好“六稳”工作，全面落实“六保”任务，加快推进海南东部中心城市建设、打造海南经济社会发展“第四极”，奋力推动高质量发展、高品质生活、高效能治理，实现“十四五”良好开局。</w:t>
      </w:r>
    </w:p>
    <w:p>
      <w:pPr>
        <w:spacing w:line="5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一、综合</w:t>
      </w:r>
    </w:p>
    <w:p>
      <w:pPr>
        <w:spacing w:line="52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经济总量实现新跨越。</w:t>
      </w:r>
      <w:r>
        <w:rPr>
          <w:rFonts w:hint="eastAsia" w:ascii="仿宋_GB2312" w:hAnsi="仿宋_GB2312" w:eastAsia="仿宋_GB2312" w:cs="仿宋_GB2312"/>
          <w:color w:val="000000" w:themeColor="text1"/>
          <w:sz w:val="32"/>
          <w:szCs w:val="32"/>
          <w14:textFill>
            <w14:solidFill>
              <w14:schemeClr w14:val="tx1"/>
            </w14:solidFill>
          </w14:textFill>
        </w:rPr>
        <w:t>经海南省统计局统一核算，202</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年我市地区生产总值</w:t>
      </w:r>
      <w:r>
        <w:rPr>
          <w:rFonts w:ascii="仿宋_GB2312" w:hAnsi="仿宋_GB2312" w:eastAsia="仿宋_GB2312" w:cs="仿宋_GB2312"/>
          <w:color w:val="000000" w:themeColor="text1"/>
          <w:sz w:val="32"/>
          <w:szCs w:val="32"/>
          <w14:textFill>
            <w14:solidFill>
              <w14:schemeClr w14:val="tx1"/>
            </w14:solidFill>
          </w14:textFill>
        </w:rPr>
        <w:t>337.9</w:t>
      </w:r>
      <w:r>
        <w:rPr>
          <w:rFonts w:hint="eastAsia" w:ascii="仿宋_GB2312" w:hAnsi="仿宋_GB2312" w:eastAsia="仿宋_GB2312" w:cs="仿宋_GB2312"/>
          <w:color w:val="000000" w:themeColor="text1"/>
          <w:sz w:val="32"/>
          <w:szCs w:val="32"/>
          <w14:textFill>
            <w14:solidFill>
              <w14:schemeClr w14:val="tx1"/>
            </w14:solidFill>
          </w14:textFill>
        </w:rPr>
        <w:t>亿元，按可比价格计算，增长</w:t>
      </w:r>
      <w:r>
        <w:rPr>
          <w:rFonts w:ascii="仿宋_GB2312" w:hAnsi="仿宋_GB2312" w:eastAsia="仿宋_GB2312" w:cs="仿宋_GB2312"/>
          <w:color w:val="000000" w:themeColor="text1"/>
          <w:sz w:val="32"/>
          <w:szCs w:val="32"/>
          <w14:textFill>
            <w14:solidFill>
              <w14:schemeClr w14:val="tx1"/>
            </w14:solidFill>
          </w14:textFill>
        </w:rPr>
        <w:t>9.6</w:t>
      </w:r>
      <w:r>
        <w:rPr>
          <w:rFonts w:hint="eastAsia" w:ascii="仿宋_GB2312" w:hAnsi="仿宋_GB2312" w:eastAsia="仿宋_GB2312" w:cs="仿宋_GB2312"/>
          <w:color w:val="000000" w:themeColor="text1"/>
          <w:sz w:val="32"/>
          <w:szCs w:val="32"/>
          <w14:textFill>
            <w14:solidFill>
              <w14:schemeClr w14:val="tx1"/>
            </w14:solidFill>
          </w14:textFill>
        </w:rPr>
        <w:t>%。其中，第一产业增加值</w:t>
      </w:r>
      <w:r>
        <w:rPr>
          <w:rFonts w:ascii="仿宋_GB2312" w:hAnsi="仿宋_GB2312" w:eastAsia="仿宋_GB2312" w:cs="仿宋_GB2312"/>
          <w:color w:val="000000" w:themeColor="text1"/>
          <w:sz w:val="32"/>
          <w:szCs w:val="32"/>
          <w14:textFill>
            <w14:solidFill>
              <w14:schemeClr w14:val="tx1"/>
            </w14:solidFill>
          </w14:textFill>
        </w:rPr>
        <w:t>111</w:t>
      </w:r>
      <w:r>
        <w:rPr>
          <w:rFonts w:hint="eastAsia" w:ascii="仿宋_GB2312" w:hAnsi="仿宋_GB2312" w:eastAsia="仿宋_GB2312" w:cs="仿宋_GB2312"/>
          <w:color w:val="000000" w:themeColor="text1"/>
          <w:sz w:val="32"/>
          <w:szCs w:val="32"/>
          <w14:textFill>
            <w14:solidFill>
              <w14:schemeClr w14:val="tx1"/>
            </w14:solidFill>
          </w14:textFill>
        </w:rPr>
        <w:t>.6亿元，增长4.6%；第二产业增加值</w:t>
      </w:r>
      <w:r>
        <w:rPr>
          <w:rFonts w:ascii="仿宋_GB2312" w:hAnsi="仿宋_GB2312" w:eastAsia="仿宋_GB2312" w:cs="仿宋_GB2312"/>
          <w:color w:val="000000" w:themeColor="text1"/>
          <w:sz w:val="32"/>
          <w:szCs w:val="32"/>
          <w14:textFill>
            <w14:solidFill>
              <w14:schemeClr w14:val="tx1"/>
            </w14:solidFill>
          </w14:textFill>
        </w:rPr>
        <w:t>44.2</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ascii="仿宋_GB2312" w:hAnsi="仿宋_GB2312" w:eastAsia="仿宋_GB2312" w:cs="仿宋_GB2312"/>
          <w:color w:val="000000" w:themeColor="text1"/>
          <w:sz w:val="32"/>
          <w:szCs w:val="32"/>
          <w14:textFill>
            <w14:solidFill>
              <w14:schemeClr w14:val="tx1"/>
            </w14:solidFill>
          </w14:textFill>
        </w:rPr>
        <w:t>11.5</w:t>
      </w:r>
      <w:r>
        <w:rPr>
          <w:rFonts w:hint="eastAsia" w:ascii="仿宋_GB2312" w:hAnsi="仿宋_GB2312" w:eastAsia="仿宋_GB2312" w:cs="仿宋_GB2312"/>
          <w:color w:val="000000" w:themeColor="text1"/>
          <w:sz w:val="32"/>
          <w:szCs w:val="32"/>
          <w14:textFill>
            <w14:solidFill>
              <w14:schemeClr w14:val="tx1"/>
            </w14:solidFill>
          </w14:textFill>
        </w:rPr>
        <w:t>%；第三产业增加值</w:t>
      </w:r>
      <w:r>
        <w:rPr>
          <w:rFonts w:ascii="仿宋_GB2312" w:hAnsi="仿宋_GB2312" w:eastAsia="仿宋_GB2312" w:cs="仿宋_GB2312"/>
          <w:color w:val="000000" w:themeColor="text1"/>
          <w:sz w:val="32"/>
          <w:szCs w:val="32"/>
          <w14:textFill>
            <w14:solidFill>
              <w14:schemeClr w14:val="tx1"/>
            </w14:solidFill>
          </w14:textFill>
        </w:rPr>
        <w:t>182</w:t>
      </w:r>
      <w:r>
        <w:rPr>
          <w:rFonts w:hint="eastAsia" w:ascii="仿宋_GB2312" w:hAnsi="仿宋_GB2312" w:eastAsia="仿宋_GB2312" w:cs="仿宋_GB2312"/>
          <w:color w:val="000000" w:themeColor="text1"/>
          <w:sz w:val="32"/>
          <w:szCs w:val="32"/>
          <w14:textFill>
            <w14:solidFill>
              <w14:schemeClr w14:val="tx1"/>
            </w14:solidFill>
          </w14:textFill>
        </w:rPr>
        <w:t>亿元，增长1</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%。三次产业结构调整为</w:t>
      </w:r>
      <w:r>
        <w:rPr>
          <w:rFonts w:ascii="仿宋_GB2312" w:hAnsi="仿宋_GB2312" w:eastAsia="仿宋_GB2312" w:cs="仿宋_GB2312"/>
          <w:color w:val="000000" w:themeColor="text1"/>
          <w:sz w:val="32"/>
          <w:szCs w:val="32"/>
          <w14:textFill>
            <w14:solidFill>
              <w14:schemeClr w14:val="tx1"/>
            </w14:solidFill>
          </w14:textFill>
        </w:rPr>
        <w:t>33</w:t>
      </w:r>
      <w:r>
        <w:rPr>
          <w:rFonts w:hint="eastAsia" w:ascii="仿宋_GB2312" w:hAnsi="仿宋_GB2312" w:eastAsia="仿宋_GB2312" w:cs="仿宋_GB2312"/>
          <w:color w:val="000000" w:themeColor="text1"/>
          <w:sz w:val="32"/>
          <w:szCs w:val="32"/>
          <w14:textFill>
            <w14:solidFill>
              <w14:schemeClr w14:val="tx1"/>
            </w14:solidFill>
          </w14:textFill>
        </w:rPr>
        <w:t>:13.</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:53.</w:t>
      </w:r>
      <w:r>
        <w:rPr>
          <w:rFonts w:ascii="仿宋_GB2312" w:hAnsi="仿宋_GB2312"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spacing w:line="520" w:lineRule="exact"/>
        <w:ind w:firstLine="0" w:firstLineChars="0"/>
        <w:rPr>
          <w:rFonts w:ascii="仿宋" w:hAnsi="仿宋" w:eastAsia="仿宋" w:cs="仿宋"/>
          <w:color w:val="0000FF"/>
          <w:sz w:val="32"/>
          <w:szCs w:val="32"/>
        </w:rPr>
      </w:pPr>
      <w:r>
        <w:rPr>
          <w:rFonts w:hint="eastAsia" w:ascii="仿宋" w:hAnsi="仿宋" w:eastAsia="仿宋" w:cs="仿宋"/>
          <w:color w:val="000000" w:themeColor="text1"/>
          <w:sz w:val="32"/>
          <w:szCs w:val="32"/>
          <w14:textFill>
            <w14:solidFill>
              <w14:schemeClr w14:val="tx1"/>
            </w14:solidFill>
          </w14:textFill>
        </w:rPr>
        <w:drawing>
          <wp:anchor distT="0" distB="0" distL="114300" distR="114300" simplePos="0" relativeHeight="251659264" behindDoc="1" locked="0" layoutInCell="1" allowOverlap="1">
            <wp:simplePos x="0" y="0"/>
            <wp:positionH relativeFrom="column">
              <wp:posOffset>95885</wp:posOffset>
            </wp:positionH>
            <wp:positionV relativeFrom="paragraph">
              <wp:posOffset>60325</wp:posOffset>
            </wp:positionV>
            <wp:extent cx="5054600" cy="2994660"/>
            <wp:effectExtent l="0" t="0" r="0" b="0"/>
            <wp:wrapTight wrapText="bothSides">
              <wp:wrapPolygon>
                <wp:start x="0" y="0"/>
                <wp:lineTo x="0" y="21435"/>
                <wp:lineTo x="21491" y="21435"/>
                <wp:lineTo x="21491" y="0"/>
                <wp:lineTo x="0" y="0"/>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spacing w:line="520" w:lineRule="exact"/>
        <w:ind w:firstLine="643" w:firstLineChars="200"/>
      </w:pPr>
      <w:r>
        <w:rPr>
          <w:rFonts w:hint="eastAsia" w:ascii="仿宋_GB2312" w:hAnsi="仿宋_GB2312" w:eastAsia="仿宋_GB2312" w:cs="仿宋_GB2312"/>
          <w:b/>
          <w:bCs/>
          <w:color w:val="000000"/>
          <w:sz w:val="32"/>
          <w:szCs w:val="32"/>
        </w:rPr>
        <w:t>稳就业保就业成效显著。</w:t>
      </w:r>
      <w:r>
        <w:rPr>
          <w:rFonts w:hint="eastAsia" w:ascii="仿宋" w:hAnsi="仿宋" w:eastAsia="仿宋" w:cs="仿宋"/>
          <w:color w:val="FF0000"/>
          <w:sz w:val="32"/>
          <w:szCs w:val="32"/>
        </w:rPr>
        <w:drawing>
          <wp:anchor distT="0" distB="0" distL="114300" distR="114300" simplePos="0" relativeHeight="251660288" behindDoc="1" locked="0" layoutInCell="1" allowOverlap="1">
            <wp:simplePos x="0" y="0"/>
            <wp:positionH relativeFrom="column">
              <wp:posOffset>172085</wp:posOffset>
            </wp:positionH>
            <wp:positionV relativeFrom="paragraph">
              <wp:posOffset>78740</wp:posOffset>
            </wp:positionV>
            <wp:extent cx="5466080" cy="2851785"/>
            <wp:effectExtent l="0" t="0" r="1270" b="5715"/>
            <wp:wrapTight wrapText="bothSides">
              <wp:wrapPolygon>
                <wp:start x="0" y="0"/>
                <wp:lineTo x="0" y="21499"/>
                <wp:lineTo x="21530" y="21499"/>
                <wp:lineTo x="21530" y="0"/>
                <wp:lineTo x="0" y="0"/>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_GB2312" w:hAnsi="仿宋_GB2312" w:eastAsia="仿宋_GB2312" w:cs="仿宋_GB2312"/>
          <w:color w:val="000000"/>
          <w:sz w:val="32"/>
          <w:szCs w:val="32"/>
        </w:rPr>
        <w:t>2021年，全市城镇新增就业8964人，完成了“十四五”目标的30％。2021年农村劳动力转移就业4386人、失业保险参保69045人，均提前完成“十四五”目标。年度应届高校毕业生就业率达到83.4%。城镇登记失业率为2.44％，控制在省定失业率4.0％以内。</w:t>
      </w:r>
    </w:p>
    <w:tbl>
      <w:tblPr>
        <w:tblStyle w:val="7"/>
        <w:tblW w:w="7960" w:type="dxa"/>
        <w:jc w:val="center"/>
        <w:tblLayout w:type="fixed"/>
        <w:tblCellMar>
          <w:top w:w="0" w:type="dxa"/>
          <w:left w:w="0" w:type="dxa"/>
          <w:bottom w:w="0" w:type="dxa"/>
          <w:right w:w="0" w:type="dxa"/>
        </w:tblCellMar>
      </w:tblPr>
      <w:tblGrid>
        <w:gridCol w:w="3772"/>
        <w:gridCol w:w="4188"/>
      </w:tblGrid>
      <w:tr>
        <w:tblPrEx>
          <w:tblCellMar>
            <w:top w:w="0" w:type="dxa"/>
            <w:left w:w="0" w:type="dxa"/>
            <w:bottom w:w="0" w:type="dxa"/>
            <w:right w:w="0" w:type="dxa"/>
          </w:tblCellMar>
        </w:tblPrEx>
        <w:trPr>
          <w:trHeight w:val="795" w:hRule="atLeast"/>
          <w:jc w:val="center"/>
        </w:trPr>
        <w:tc>
          <w:tcPr>
            <w:tcW w:w="7960" w:type="dxa"/>
            <w:gridSpan w:val="2"/>
            <w:tcBorders>
              <w:top w:val="nil"/>
              <w:left w:val="nil"/>
              <w:bottom w:val="single" w:color="auto" w:sz="4"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b/>
                <w:color w:val="000000"/>
                <w:sz w:val="32"/>
                <w:szCs w:val="32"/>
              </w:rPr>
            </w:pPr>
            <w:r>
              <w:rPr>
                <w:rFonts w:hint="eastAsia" w:ascii="黑体" w:hAnsi="黑体" w:eastAsia="黑体" w:cs="黑体"/>
                <w:bCs/>
                <w:color w:val="000000"/>
                <w:kern w:val="0"/>
                <w:sz w:val="30"/>
                <w:szCs w:val="30"/>
                <w:lang w:bidi="ar"/>
              </w:rPr>
              <w:t>表1  202</w:t>
            </w:r>
            <w:r>
              <w:rPr>
                <w:rFonts w:ascii="黑体" w:hAnsi="黑体" w:eastAsia="黑体" w:cs="黑体"/>
                <w:bCs/>
                <w:color w:val="000000"/>
                <w:kern w:val="0"/>
                <w:sz w:val="30"/>
                <w:szCs w:val="30"/>
                <w:lang w:bidi="ar"/>
              </w:rPr>
              <w:t>1</w:t>
            </w:r>
            <w:r>
              <w:rPr>
                <w:rFonts w:hint="eastAsia" w:ascii="黑体" w:hAnsi="黑体" w:eastAsia="黑体" w:cs="黑体"/>
                <w:bCs/>
                <w:color w:val="000000"/>
                <w:kern w:val="0"/>
                <w:sz w:val="30"/>
                <w:szCs w:val="30"/>
                <w:lang w:bidi="ar"/>
              </w:rPr>
              <w:t>年居民消费价格比上年涨跌幅度</w:t>
            </w:r>
          </w:p>
        </w:tc>
      </w:tr>
      <w:tr>
        <w:tblPrEx>
          <w:tblCellMar>
            <w:top w:w="0" w:type="dxa"/>
            <w:left w:w="0" w:type="dxa"/>
            <w:bottom w:w="0" w:type="dxa"/>
            <w:right w:w="0" w:type="dxa"/>
          </w:tblCellMar>
        </w:tblPrEx>
        <w:trPr>
          <w:trHeight w:val="560" w:hRule="atLeast"/>
          <w:jc w:val="center"/>
        </w:trPr>
        <w:tc>
          <w:tcPr>
            <w:tcW w:w="3772" w:type="dxa"/>
            <w:vMerge w:val="restart"/>
            <w:tcBorders>
              <w:top w:val="single" w:color="000000" w:sz="12" w:space="0"/>
              <w:left w:val="nil"/>
              <w:bottom w:val="single" w:color="000000" w:sz="4"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指标</w:t>
            </w:r>
          </w:p>
        </w:tc>
        <w:tc>
          <w:tcPr>
            <w:tcW w:w="4188" w:type="dxa"/>
            <w:vMerge w:val="restart"/>
            <w:tcBorders>
              <w:top w:val="single" w:color="000000"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比上年涨跌幅度（%）</w:t>
            </w:r>
          </w:p>
        </w:tc>
      </w:tr>
      <w:tr>
        <w:tblPrEx>
          <w:tblCellMar>
            <w:top w:w="0" w:type="dxa"/>
            <w:left w:w="0" w:type="dxa"/>
            <w:bottom w:w="0" w:type="dxa"/>
            <w:right w:w="0" w:type="dxa"/>
          </w:tblCellMar>
        </w:tblPrEx>
        <w:trPr>
          <w:trHeight w:val="560" w:hRule="atLeast"/>
          <w:jc w:val="center"/>
        </w:trPr>
        <w:tc>
          <w:tcPr>
            <w:tcW w:w="3772" w:type="dxa"/>
            <w:vMerge w:val="continue"/>
            <w:tcBorders>
              <w:top w:val="nil"/>
              <w:left w:val="nil"/>
              <w:bottom w:val="single" w:color="000000" w:sz="4" w:space="0"/>
              <w:right w:val="nil"/>
            </w:tcBorders>
            <w:shd w:val="clear" w:color="auto" w:fill="auto"/>
            <w:noWrap/>
            <w:tcMar>
              <w:top w:w="15" w:type="dxa"/>
              <w:left w:w="15" w:type="dxa"/>
              <w:right w:w="15" w:type="dxa"/>
            </w:tcMar>
            <w:vAlign w:val="center"/>
          </w:tcPr>
          <w:p>
            <w:pPr>
              <w:spacing w:line="480" w:lineRule="exact"/>
              <w:jc w:val="center"/>
              <w:rPr>
                <w:rFonts w:ascii="宋体" w:hAnsi="宋体" w:eastAsia="宋体" w:cs="宋体"/>
                <w:color w:val="000000"/>
                <w:sz w:val="24"/>
              </w:rPr>
            </w:pPr>
          </w:p>
        </w:tc>
        <w:tc>
          <w:tcPr>
            <w:tcW w:w="4188"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spacing w:line="480" w:lineRule="exact"/>
              <w:jc w:val="center"/>
              <w:rPr>
                <w:rFonts w:ascii="宋体" w:hAnsi="宋体" w:eastAsia="宋体" w:cs="宋体"/>
                <w:color w:val="000000"/>
                <w:sz w:val="24"/>
              </w:rPr>
            </w:pPr>
          </w:p>
        </w:tc>
      </w:tr>
      <w:tr>
        <w:tblPrEx>
          <w:tblCellMar>
            <w:top w:w="0" w:type="dxa"/>
            <w:left w:w="0" w:type="dxa"/>
            <w:bottom w:w="0" w:type="dxa"/>
            <w:right w:w="0" w:type="dxa"/>
          </w:tblCellMar>
        </w:tblPrEx>
        <w:trPr>
          <w:trHeight w:val="44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居民消费价格</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widowControl/>
              <w:spacing w:line="48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 xml:space="preserve">0.9 </w:t>
            </w:r>
          </w:p>
        </w:tc>
      </w:tr>
      <w:tr>
        <w:tblPrEx>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    其中：食品烟酒</w:t>
            </w:r>
          </w:p>
        </w:tc>
        <w:tc>
          <w:tcPr>
            <w:tcW w:w="4188" w:type="dxa"/>
            <w:tcBorders>
              <w:top w:val="nil"/>
              <w:left w:val="single" w:color="000000" w:sz="4" w:space="0"/>
              <w:bottom w:val="nil"/>
              <w:right w:val="nil"/>
            </w:tcBorders>
            <w:shd w:val="clear" w:color="auto" w:fill="auto"/>
            <w:tcMar>
              <w:top w:w="15" w:type="dxa"/>
              <w:left w:w="15" w:type="dxa"/>
              <w:right w:w="15" w:type="dxa"/>
            </w:tcMar>
            <w:vAlign w:val="bottom"/>
          </w:tcPr>
          <w:p>
            <w:pPr>
              <w:widowControl/>
              <w:spacing w:line="480" w:lineRule="exact"/>
              <w:jc w:val="center"/>
              <w:textAlignment w:val="bottom"/>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 xml:space="preserve">-0.4 </w:t>
            </w:r>
          </w:p>
        </w:tc>
      </w:tr>
      <w:tr>
        <w:tblPrEx>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          衣着</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widowControl/>
              <w:spacing w:line="48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1.2</w:t>
            </w:r>
          </w:p>
        </w:tc>
      </w:tr>
      <w:tr>
        <w:tblPrEx>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          居住</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widowControl/>
              <w:spacing w:line="48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 xml:space="preserve">0.7 </w:t>
            </w:r>
          </w:p>
        </w:tc>
      </w:tr>
      <w:tr>
        <w:tblPrEx>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          生活用品及服务</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widowControl/>
              <w:spacing w:line="48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 xml:space="preserve">0.4 </w:t>
            </w:r>
          </w:p>
        </w:tc>
      </w:tr>
      <w:tr>
        <w:tblPrEx>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          交通和通信</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widowControl/>
              <w:spacing w:line="48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5.4</w:t>
            </w:r>
          </w:p>
        </w:tc>
      </w:tr>
      <w:tr>
        <w:tblPrEx>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          教育文化和娱乐</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widowControl/>
              <w:spacing w:line="480" w:lineRule="exact"/>
              <w:jc w:val="center"/>
              <w:textAlignment w:val="center"/>
              <w:rPr>
                <w:rFonts w:ascii="Times New Roman" w:hAnsi="Times New Roman" w:eastAsia="宋体" w:cs="Times New Roman"/>
                <w:color w:val="000000"/>
                <w:sz w:val="24"/>
              </w:rPr>
            </w:pPr>
            <w:r>
              <w:rPr>
                <w:rFonts w:hint="eastAsia" w:ascii="Times New Roman" w:hAnsi="Times New Roman" w:eastAsia="宋体" w:cs="Times New Roman"/>
                <w:color w:val="000000"/>
                <w:kern w:val="0"/>
                <w:sz w:val="24"/>
                <w:lang w:bidi="ar"/>
              </w:rPr>
              <w:t>2.</w:t>
            </w:r>
            <w:r>
              <w:rPr>
                <w:rFonts w:ascii="Times New Roman" w:hAnsi="Times New Roman" w:eastAsia="宋体" w:cs="Times New Roman"/>
                <w:color w:val="000000"/>
                <w:kern w:val="0"/>
                <w:sz w:val="24"/>
                <w:lang w:bidi="ar"/>
              </w:rPr>
              <w:t>4</w:t>
            </w:r>
          </w:p>
        </w:tc>
      </w:tr>
      <w:tr>
        <w:tblPrEx>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          医疗保健</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widowControl/>
              <w:spacing w:line="48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 xml:space="preserve">-0.7 </w:t>
            </w:r>
          </w:p>
        </w:tc>
      </w:tr>
      <w:tr>
        <w:tblPrEx>
          <w:tblCellMar>
            <w:top w:w="0" w:type="dxa"/>
            <w:left w:w="0" w:type="dxa"/>
            <w:bottom w:w="0" w:type="dxa"/>
            <w:right w:w="0" w:type="dxa"/>
          </w:tblCellMar>
        </w:tblPrEx>
        <w:trPr>
          <w:trHeight w:val="472" w:hRule="atLeast"/>
          <w:jc w:val="center"/>
        </w:trPr>
        <w:tc>
          <w:tcPr>
            <w:tcW w:w="3772" w:type="dxa"/>
            <w:tcBorders>
              <w:top w:val="nil"/>
              <w:left w:val="nil"/>
              <w:bottom w:val="single" w:color="000000" w:sz="12" w:space="0"/>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          其他用品和服务</w:t>
            </w:r>
          </w:p>
        </w:tc>
        <w:tc>
          <w:tcPr>
            <w:tcW w:w="4188" w:type="dxa"/>
            <w:tcBorders>
              <w:top w:val="nil"/>
              <w:left w:val="single" w:color="000000" w:sz="4" w:space="0"/>
              <w:bottom w:val="single" w:color="000000" w:sz="12" w:space="0"/>
              <w:right w:val="nil"/>
            </w:tcBorders>
            <w:shd w:val="clear" w:color="auto" w:fill="auto"/>
            <w:tcMar>
              <w:top w:w="15" w:type="dxa"/>
              <w:left w:w="15" w:type="dxa"/>
              <w:right w:w="15" w:type="dxa"/>
            </w:tcMar>
            <w:vAlign w:val="center"/>
          </w:tcPr>
          <w:p>
            <w:pPr>
              <w:widowControl/>
              <w:spacing w:line="48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lang w:bidi="ar"/>
              </w:rPr>
              <w:t>-0.4</w:t>
            </w:r>
          </w:p>
        </w:tc>
      </w:tr>
    </w:tbl>
    <w:p>
      <w:pPr>
        <w:spacing w:line="52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物价总体涨势温和。</w:t>
      </w:r>
      <w:r>
        <w:rPr>
          <w:rFonts w:hint="eastAsia" w:ascii="仿宋_GB2312" w:hAnsi="仿宋_GB2312" w:eastAsia="仿宋_GB2312" w:cs="仿宋_GB2312"/>
          <w:color w:val="000000" w:themeColor="text1"/>
          <w:sz w:val="32"/>
          <w:szCs w:val="32"/>
          <w14:textFill>
            <w14:solidFill>
              <w14:schemeClr w14:val="tx1"/>
            </w14:solidFill>
          </w14:textFill>
        </w:rPr>
        <w:t>全年居民消费价格比上年上涨</w:t>
      </w:r>
      <w:r>
        <w:rPr>
          <w:rFonts w:ascii="仿宋_GB2312" w:hAnsi="仿宋_GB2312" w:eastAsia="仿宋_GB2312" w:cs="仿宋_GB2312"/>
          <w:color w:val="000000" w:themeColor="text1"/>
          <w:sz w:val="32"/>
          <w:szCs w:val="32"/>
          <w14:textFill>
            <w14:solidFill>
              <w14:schemeClr w14:val="tx1"/>
            </w14:solidFill>
          </w14:textFill>
        </w:rPr>
        <w:t>0.9</w:t>
      </w:r>
      <w:r>
        <w:rPr>
          <w:rFonts w:hint="eastAsia" w:ascii="仿宋_GB2312" w:hAnsi="仿宋_GB2312" w:eastAsia="仿宋_GB2312" w:cs="仿宋_GB2312"/>
          <w:color w:val="000000" w:themeColor="text1"/>
          <w:sz w:val="32"/>
          <w:szCs w:val="32"/>
          <w14:textFill>
            <w14:solidFill>
              <w14:schemeClr w14:val="tx1"/>
            </w14:solidFill>
          </w14:textFill>
        </w:rPr>
        <w:t>%。其中，交通和通信价格上涨</w:t>
      </w: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%，涨幅为居民消费八大类之首；其次是教育文化和娱乐、衣着类，价格分别上涨</w:t>
      </w:r>
      <w:r>
        <w:rPr>
          <w:rFonts w:ascii="仿宋_GB2312" w:hAnsi="仿宋_GB2312"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%。（居民消费价格比上年涨跌幅度见表1。）</w:t>
      </w:r>
    </w:p>
    <w:p>
      <w:pPr>
        <w:tabs>
          <w:tab w:val="left" w:pos="726"/>
        </w:tabs>
        <w:spacing w:line="520" w:lineRule="exact"/>
        <w:ind w:firstLine="643" w:firstLineChars="200"/>
        <w:rPr>
          <w:rFonts w:hint="eastAsia" w:ascii="仿宋_GB2312" w:hAnsi="仿宋_GB2312" w:eastAsia="仿宋_GB2312" w:cs="仿宋_GB2312"/>
          <w:color w:val="0000FF"/>
          <w:sz w:val="32"/>
          <w:szCs w:val="32"/>
          <w:shd w:val="clear" w:color="auto" w:fill="FFFFFF"/>
        </w:rPr>
      </w:pPr>
      <w:r>
        <w:rPr>
          <w:rFonts w:hint="eastAsia" w:ascii="仿宋_GB2312" w:hAnsi="仿宋_GB2312" w:eastAsia="仿宋_GB2312" w:cs="仿宋_GB2312"/>
          <w:b/>
          <w:bCs/>
          <w:color w:val="000000" w:themeColor="text1"/>
          <w:sz w:val="32"/>
          <w:szCs w:val="32"/>
          <w14:textFill>
            <w14:solidFill>
              <w14:schemeClr w14:val="tx1"/>
            </w14:solidFill>
          </w14:textFill>
        </w:rPr>
        <w:t>新兴动能发展进一步壮大。</w:t>
      </w:r>
      <w:r>
        <w:rPr>
          <w:rFonts w:hint="eastAsia" w:ascii="仿宋_GB2312" w:hAnsi="仿宋_GB2312" w:eastAsia="仿宋_GB2312" w:cs="仿宋_GB2312"/>
          <w:color w:val="000000" w:themeColor="text1"/>
          <w:sz w:val="32"/>
          <w:szCs w:val="32"/>
          <w14:textFill>
            <w14:solidFill>
              <w14:schemeClr w14:val="tx1"/>
            </w14:solidFill>
          </w14:textFill>
        </w:rPr>
        <w:t>全年从事科技活动人员4</w:t>
      </w:r>
      <w:r>
        <w:rPr>
          <w:rFonts w:ascii="仿宋_GB2312" w:hAnsi="仿宋_GB2312" w:eastAsia="仿宋_GB2312" w:cs="仿宋_GB2312"/>
          <w:color w:val="000000" w:themeColor="text1"/>
          <w:sz w:val="32"/>
          <w:szCs w:val="32"/>
          <w14:textFill>
            <w14:solidFill>
              <w14:schemeClr w14:val="tx1"/>
            </w14:solidFill>
          </w14:textFill>
        </w:rPr>
        <w:t>54</w:t>
      </w:r>
      <w:r>
        <w:rPr>
          <w:rFonts w:hint="eastAsia" w:ascii="仿宋_GB2312" w:hAnsi="仿宋_GB2312" w:eastAsia="仿宋_GB2312" w:cs="仿宋_GB2312"/>
          <w:color w:val="000000" w:themeColor="text1"/>
          <w:sz w:val="32"/>
          <w:szCs w:val="32"/>
          <w14:textFill>
            <w14:solidFill>
              <w14:schemeClr w14:val="tx1"/>
            </w14:solidFill>
          </w14:textFill>
        </w:rPr>
        <w:t>人。全年新认定高新技术企业</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家，累计高新技术企业</w:t>
      </w:r>
      <w:r>
        <w:rPr>
          <w:rFonts w:ascii="仿宋_GB2312" w:hAnsi="仿宋_GB2312"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家。依托</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博鳌亚洲论坛品牌效应，全年举办各类会议会展活动</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283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场，会议收入约</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亿元，其中，千人以上会议</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场；</w:t>
      </w:r>
      <w:r>
        <w:rPr>
          <w:rFonts w:hint="eastAsia" w:ascii="仿宋_GB2312" w:hAnsi="仿宋_GB2312" w:eastAsia="仿宋_GB2312" w:cs="仿宋_GB2312"/>
          <w:color w:val="000000" w:themeColor="text1"/>
          <w:sz w:val="32"/>
          <w:szCs w:val="32"/>
          <w14:textFill>
            <w14:solidFill>
              <w14:schemeClr w14:val="tx1"/>
            </w14:solidFill>
          </w14:textFill>
        </w:rPr>
        <w:t>全年乐城先行区医疗机构接待医疗旅游人数</w:t>
      </w:r>
      <w:r>
        <w:rPr>
          <w:rFonts w:ascii="仿宋_GB2312" w:hAnsi="仿宋_GB2312" w:eastAsia="仿宋_GB2312" w:cs="仿宋_GB2312"/>
          <w:color w:val="000000" w:themeColor="text1"/>
          <w:sz w:val="32"/>
          <w:szCs w:val="32"/>
          <w14:textFill>
            <w14:solidFill>
              <w14:schemeClr w14:val="tx1"/>
            </w14:solidFill>
          </w14:textFill>
        </w:rPr>
        <w:t>12.53</w:t>
      </w:r>
      <w:r>
        <w:rPr>
          <w:rFonts w:hint="eastAsia" w:ascii="仿宋_GB2312" w:hAnsi="仿宋_GB2312" w:eastAsia="仿宋_GB2312" w:cs="仿宋_GB2312"/>
          <w:color w:val="000000" w:themeColor="text1"/>
          <w:sz w:val="32"/>
          <w:szCs w:val="32"/>
          <w14:textFill>
            <w14:solidFill>
              <w14:schemeClr w14:val="tx1"/>
            </w14:solidFill>
          </w14:textFill>
        </w:rPr>
        <w:t>万人次，比上年增长</w:t>
      </w:r>
      <w:r>
        <w:rPr>
          <w:rFonts w:ascii="仿宋_GB2312" w:hAnsi="仿宋_GB2312" w:eastAsia="仿宋_GB2312" w:cs="仿宋_GB2312"/>
          <w:color w:val="000000" w:themeColor="text1"/>
          <w:sz w:val="32"/>
          <w:szCs w:val="32"/>
          <w14:textFill>
            <w14:solidFill>
              <w14:schemeClr w14:val="tx1"/>
            </w14:solidFill>
          </w14:textFill>
        </w:rPr>
        <w:t>87.64</w:t>
      </w:r>
      <w:r>
        <w:rPr>
          <w:rFonts w:hint="eastAsia" w:ascii="仿宋_GB2312" w:hAnsi="仿宋_GB2312" w:eastAsia="仿宋_GB2312" w:cs="仿宋_GB2312"/>
          <w:color w:val="000000" w:themeColor="text1"/>
          <w:sz w:val="32"/>
          <w:szCs w:val="32"/>
          <w14:textFill>
            <w14:solidFill>
              <w14:schemeClr w14:val="tx1"/>
            </w14:solidFill>
          </w14:textFill>
        </w:rPr>
        <w:t>%；营业收入</w:t>
      </w:r>
      <w:r>
        <w:rPr>
          <w:rFonts w:ascii="仿宋_GB2312" w:hAnsi="仿宋_GB2312" w:eastAsia="仿宋_GB2312" w:cs="仿宋_GB2312"/>
          <w:color w:val="000000" w:themeColor="text1"/>
          <w:sz w:val="32"/>
          <w:szCs w:val="32"/>
          <w14:textFill>
            <w14:solidFill>
              <w14:schemeClr w14:val="tx1"/>
            </w14:solidFill>
          </w14:textFill>
        </w:rPr>
        <w:t>12.54</w:t>
      </w:r>
      <w:r>
        <w:rPr>
          <w:rFonts w:hint="eastAsia" w:ascii="仿宋_GB2312" w:hAnsi="仿宋_GB2312" w:eastAsia="仿宋_GB2312" w:cs="仿宋_GB2312"/>
          <w:color w:val="000000" w:themeColor="text1"/>
          <w:sz w:val="32"/>
          <w:szCs w:val="32"/>
          <w14:textFill>
            <w14:solidFill>
              <w14:schemeClr w14:val="tx1"/>
            </w14:solidFill>
          </w14:textFill>
        </w:rPr>
        <w:t>亿元，比上年增长</w:t>
      </w:r>
      <w:r>
        <w:rPr>
          <w:rFonts w:ascii="仿宋_GB2312" w:hAnsi="仿宋_GB2312" w:eastAsia="仿宋_GB2312" w:cs="仿宋_GB2312"/>
          <w:color w:val="000000" w:themeColor="text1"/>
          <w:sz w:val="32"/>
          <w:szCs w:val="32"/>
          <w14:textFill>
            <w14:solidFill>
              <w14:schemeClr w14:val="tx1"/>
            </w14:solidFill>
          </w14:textFill>
        </w:rPr>
        <w:t>50.01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全年全市推广新能源汽车</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1610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辆，建设5G通信基站</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332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个，均超额完成任务。</w:t>
      </w:r>
    </w:p>
    <w:p>
      <w:pPr>
        <w:spacing w:line="52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rPr>
        <w:t>脱贫攻坚成果巩固提升。</w:t>
      </w:r>
      <w:r>
        <w:rPr>
          <w:rFonts w:hint="eastAsia" w:ascii="仿宋_GB2312" w:hAnsi="仿宋_GB2312" w:eastAsia="仿宋_GB2312" w:cs="仿宋_GB2312"/>
          <w:color w:val="000000"/>
          <w:sz w:val="32"/>
          <w:szCs w:val="32"/>
        </w:rPr>
        <w:t>扎实开展驻村第一书记和第二批乡村振兴工作队员轮换工作，派出驻村乡村振兴工作队200个，驻村帮扶干部588人，推动</w:t>
      </w:r>
      <w:r>
        <w:rPr>
          <w:rFonts w:hint="eastAsia" w:ascii="仿宋_GB2312" w:hAnsi="仿宋_GB2312" w:eastAsia="仿宋_GB2312" w:cs="仿宋_GB2312"/>
          <w:sz w:val="32"/>
          <w:szCs w:val="32"/>
        </w:rPr>
        <w:t>巩固拓展脱贫攻坚成果同乡村振兴有效衔接。</w:t>
      </w:r>
      <w:r>
        <w:rPr>
          <w:rFonts w:hint="eastAsia" w:ascii="仿宋_GB2312" w:hAnsi="仿宋_GB2312" w:eastAsia="仿宋_GB2312" w:cs="仿宋_GB2312"/>
          <w:color w:val="000000"/>
          <w:sz w:val="32"/>
          <w:szCs w:val="32"/>
        </w:rPr>
        <w:t>抓牢帮扶责任落实，派出帮扶联系人1218人，定期开展走访活动，帮助解决脱贫群众“急难愁盼”问题。建立健全防止返贫动态监测和帮扶机制，坚决守牢不发生规模性返贫底线，</w:t>
      </w:r>
      <w:r>
        <w:rPr>
          <w:rFonts w:hint="eastAsia" w:ascii="仿宋_GB2312" w:hAnsi="仿宋_GB2312" w:eastAsia="仿宋_GB2312" w:cs="仿宋_GB2312"/>
          <w:sz w:val="32"/>
          <w:szCs w:val="32"/>
        </w:rPr>
        <w:t>全年脱贫人口农村居民人均纯收入达17852.08元。</w:t>
      </w:r>
    </w:p>
    <w:p>
      <w:pPr>
        <w:spacing w:line="520" w:lineRule="exact"/>
        <w:ind w:firstLine="672" w:firstLineChars="200"/>
        <w:jc w:val="left"/>
        <w:rPr>
          <w:rStyle w:val="9"/>
          <w:rFonts w:ascii="黑体" w:hAnsi="黑体" w:eastAsia="黑体" w:cs="黑体"/>
          <w:b w:val="0"/>
          <w:color w:val="000000" w:themeColor="text1"/>
          <w:spacing w:val="8"/>
          <w:sz w:val="32"/>
          <w:szCs w:val="32"/>
          <w14:textFill>
            <w14:solidFill>
              <w14:schemeClr w14:val="tx1"/>
            </w14:solidFill>
          </w14:textFill>
        </w:rPr>
      </w:pPr>
      <w:r>
        <w:rPr>
          <w:rStyle w:val="9"/>
          <w:rFonts w:hint="eastAsia" w:ascii="黑体" w:hAnsi="黑体" w:eastAsia="黑体" w:cs="黑体"/>
          <w:b w:val="0"/>
          <w:color w:val="000000" w:themeColor="text1"/>
          <w:spacing w:val="8"/>
          <w:sz w:val="32"/>
          <w:szCs w:val="32"/>
          <w14:textFill>
            <w14:solidFill>
              <w14:schemeClr w14:val="tx1"/>
            </w14:solidFill>
          </w14:textFill>
        </w:rPr>
        <w:t>二、农林牧渔及服务业</w:t>
      </w:r>
    </w:p>
    <w:p>
      <w:pPr>
        <w:tabs>
          <w:tab w:val="left" w:pos="606"/>
        </w:tabs>
        <w:spacing w:line="520" w:lineRule="exact"/>
        <w:ind w:firstLine="643"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农业生产总体稳定。</w:t>
      </w:r>
      <w:r>
        <w:rPr>
          <w:rFonts w:hint="eastAsia" w:ascii="仿宋_GB2312" w:hAnsi="仿宋_GB2312" w:eastAsia="仿宋_GB2312" w:cs="仿宋_GB2312"/>
          <w:color w:val="000000" w:themeColor="text1"/>
          <w:sz w:val="32"/>
          <w:szCs w:val="32"/>
          <w14:textFill>
            <w14:solidFill>
              <w14:schemeClr w14:val="tx1"/>
            </w14:solidFill>
          </w14:textFill>
        </w:rPr>
        <w:t>全年全市农林牧渔及服务业增加值118.7亿元，比上年增长5.0%。其中，热带特色高效农业增加值89.6亿元，比上年增长5.2%。</w:t>
      </w:r>
    </w:p>
    <w:p>
      <w:pPr>
        <w:pStyle w:val="2"/>
        <w:spacing w:line="520" w:lineRule="exact"/>
        <w:ind w:firstLine="640"/>
      </w:pPr>
      <w:r>
        <w:rPr>
          <w:rFonts w:hint="eastAsia" w:ascii="仿宋_GB2312" w:hAnsi="仿宋_GB2312" w:eastAsia="仿宋_GB2312" w:cs="仿宋_GB2312"/>
          <w:color w:val="000000" w:themeColor="text1"/>
          <w:sz w:val="32"/>
          <w:szCs w:val="32"/>
          <w14:textFill>
            <w14:solidFill>
              <w14:schemeClr w14:val="tx1"/>
            </w14:solidFill>
          </w14:textFill>
        </w:rPr>
        <w:t>年末农业机械总动力32.67万千瓦，比上年增长1.3%。农用大中型拖拉机381台，与去年保持一致；农用运输车2983辆，增加278辆。全年农用化肥施用量（折纯）4.73万吨，比上年下降4.1%。现有农田水利有效灌溉面积18.6万亩。</w:t>
      </w:r>
    </w:p>
    <w:tbl>
      <w:tblPr>
        <w:tblStyle w:val="7"/>
        <w:tblW w:w="7202" w:type="dxa"/>
        <w:jc w:val="center"/>
        <w:tblLayout w:type="fixed"/>
        <w:tblCellMar>
          <w:top w:w="0" w:type="dxa"/>
          <w:left w:w="0" w:type="dxa"/>
          <w:bottom w:w="0" w:type="dxa"/>
          <w:right w:w="0" w:type="dxa"/>
        </w:tblCellMar>
      </w:tblPr>
      <w:tblGrid>
        <w:gridCol w:w="3044"/>
        <w:gridCol w:w="1091"/>
        <w:gridCol w:w="1050"/>
        <w:gridCol w:w="2017"/>
      </w:tblGrid>
      <w:tr>
        <w:tblPrEx>
          <w:tblCellMar>
            <w:top w:w="0" w:type="dxa"/>
            <w:left w:w="0" w:type="dxa"/>
            <w:bottom w:w="0" w:type="dxa"/>
            <w:right w:w="0" w:type="dxa"/>
          </w:tblCellMar>
        </w:tblPrEx>
        <w:trPr>
          <w:trHeight w:val="520" w:hRule="atLeast"/>
          <w:jc w:val="center"/>
        </w:trPr>
        <w:tc>
          <w:tcPr>
            <w:tcW w:w="7202" w:type="dxa"/>
            <w:gridSpan w:val="4"/>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FF0000"/>
                <w:sz w:val="24"/>
              </w:rPr>
            </w:pPr>
            <w:r>
              <w:rPr>
                <w:rFonts w:hint="eastAsia" w:ascii="黑体" w:hAnsi="黑体" w:eastAsia="黑体" w:cs="黑体"/>
                <w:color w:val="000000" w:themeColor="text1"/>
                <w:kern w:val="0"/>
                <w:sz w:val="30"/>
                <w:szCs w:val="30"/>
                <w:lang w:bidi="ar"/>
                <w14:textFill>
                  <w14:solidFill>
                    <w14:schemeClr w14:val="tx1"/>
                  </w14:solidFill>
                </w14:textFill>
              </w:rPr>
              <w:t>表2  202</w:t>
            </w:r>
            <w:r>
              <w:rPr>
                <w:rFonts w:ascii="黑体" w:hAnsi="黑体" w:eastAsia="黑体" w:cs="黑体"/>
                <w:color w:val="000000" w:themeColor="text1"/>
                <w:kern w:val="0"/>
                <w:sz w:val="30"/>
                <w:szCs w:val="30"/>
                <w:lang w:bidi="ar"/>
                <w14:textFill>
                  <w14:solidFill>
                    <w14:schemeClr w14:val="tx1"/>
                  </w14:solidFill>
                </w14:textFill>
              </w:rPr>
              <w:t>1</w:t>
            </w:r>
            <w:r>
              <w:rPr>
                <w:rFonts w:hint="eastAsia" w:ascii="黑体" w:hAnsi="黑体" w:eastAsia="黑体" w:cs="黑体"/>
                <w:color w:val="000000" w:themeColor="text1"/>
                <w:kern w:val="0"/>
                <w:sz w:val="30"/>
                <w:szCs w:val="30"/>
                <w:lang w:bidi="ar"/>
                <w14:textFill>
                  <w14:solidFill>
                    <w14:schemeClr w14:val="tx1"/>
                  </w14:solidFill>
                </w14:textFill>
              </w:rPr>
              <w:t>年农林牧渔业主要产品产量及其增长速度</w:t>
            </w:r>
          </w:p>
        </w:tc>
      </w:tr>
      <w:tr>
        <w:tblPrEx>
          <w:tblCellMar>
            <w:top w:w="0" w:type="dxa"/>
            <w:left w:w="0" w:type="dxa"/>
            <w:bottom w:w="0" w:type="dxa"/>
            <w:right w:w="0" w:type="dxa"/>
          </w:tblCellMar>
        </w:tblPrEx>
        <w:trPr>
          <w:trHeight w:val="520" w:hRule="atLeast"/>
          <w:jc w:val="center"/>
        </w:trPr>
        <w:tc>
          <w:tcPr>
            <w:tcW w:w="3044"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产品名称</w:t>
            </w:r>
          </w:p>
        </w:tc>
        <w:tc>
          <w:tcPr>
            <w:tcW w:w="1091"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单位</w:t>
            </w:r>
          </w:p>
        </w:tc>
        <w:tc>
          <w:tcPr>
            <w:tcW w:w="1050" w:type="dxa"/>
            <w:tcBorders>
              <w:top w:val="single" w:color="auto" w:sz="12"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绝对数</w:t>
            </w:r>
          </w:p>
        </w:tc>
        <w:tc>
          <w:tcPr>
            <w:tcW w:w="2017" w:type="dxa"/>
            <w:tcBorders>
              <w:top w:val="single" w:color="auto" w:sz="12" w:space="0"/>
              <w:left w:val="nil"/>
              <w:bottom w:val="single" w:color="000000" w:sz="4"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比上年增减（%）</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粮食</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10.</w:t>
            </w:r>
            <w:r>
              <w:rPr>
                <w:rFonts w:ascii="宋体" w:hAnsi="宋体" w:eastAsia="宋体" w:cs="宋体"/>
                <w:color w:val="000000" w:themeColor="text1"/>
                <w:kern w:val="0"/>
                <w:sz w:val="24"/>
                <w:lang w:bidi="ar"/>
                <w14:textFill>
                  <w14:solidFill>
                    <w14:schemeClr w14:val="tx1"/>
                  </w14:solidFill>
                </w14:textFill>
              </w:rPr>
              <w:t>3</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tabs>
                <w:tab w:val="center" w:pos="993"/>
                <w:tab w:val="right" w:pos="2107"/>
              </w:tabs>
              <w:spacing w:line="480" w:lineRule="exact"/>
              <w:ind w:firstLine="1440" w:firstLineChars="600"/>
              <w:jc w:val="lef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-1.2</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蔬菜（含菜用瓜）</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52.</w:t>
            </w:r>
            <w:r>
              <w:rPr>
                <w:rFonts w:ascii="宋体" w:hAnsi="宋体" w:eastAsia="宋体" w:cs="宋体"/>
                <w:color w:val="000000" w:themeColor="text1"/>
                <w:kern w:val="0"/>
                <w:sz w:val="24"/>
                <w:lang w:bidi="ar"/>
                <w14:textFill>
                  <w14:solidFill>
                    <w14:schemeClr w14:val="tx1"/>
                  </w14:solidFill>
                </w14:textFill>
              </w:rPr>
              <w:t>8</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2.2</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sz w:val="24"/>
              </w:rPr>
            </w:pPr>
            <w:r>
              <w:rPr>
                <w:rFonts w:hint="eastAsia" w:ascii="宋体" w:hAnsi="宋体" w:eastAsia="宋体" w:cs="宋体"/>
                <w:kern w:val="0"/>
                <w:sz w:val="24"/>
                <w:lang w:bidi="ar"/>
              </w:rPr>
              <w:t>水果</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sz w:val="24"/>
              </w:rPr>
            </w:pPr>
            <w:r>
              <w:rPr>
                <w:rFonts w:hint="eastAsia" w:ascii="宋体" w:hAnsi="宋体" w:eastAsia="宋体" w:cs="宋体"/>
                <w:kern w:val="0"/>
                <w:sz w:val="24"/>
                <w:lang w:bidi="ar"/>
              </w:rPr>
              <w:t>27</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 xml:space="preserve">           </w:t>
            </w:r>
            <w:r>
              <w:rPr>
                <w:rFonts w:ascii="宋体" w:hAnsi="宋体" w:eastAsia="宋体" w:cs="宋体"/>
                <w:kern w:val="0"/>
                <w:sz w:val="24"/>
                <w:lang w:bidi="ar"/>
              </w:rPr>
              <w:t>-1.5</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sz w:val="24"/>
              </w:rPr>
            </w:pPr>
            <w:r>
              <w:rPr>
                <w:rFonts w:hint="eastAsia" w:ascii="宋体" w:hAnsi="宋体" w:eastAsia="宋体" w:cs="宋体"/>
                <w:kern w:val="0"/>
                <w:sz w:val="24"/>
                <w:lang w:bidi="ar"/>
              </w:rPr>
              <w:t xml:space="preserve">   其中：菠萝</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sz w:val="24"/>
              </w:rPr>
            </w:pPr>
            <w:r>
              <w:rPr>
                <w:rFonts w:hint="eastAsia" w:ascii="宋体" w:hAnsi="宋体" w:eastAsia="宋体" w:cs="宋体"/>
                <w:kern w:val="0"/>
                <w:sz w:val="24"/>
                <w:lang w:bidi="ar"/>
              </w:rPr>
              <w:t>11.</w:t>
            </w:r>
            <w:r>
              <w:rPr>
                <w:rFonts w:ascii="宋体" w:hAnsi="宋体" w:eastAsia="宋体" w:cs="宋体"/>
                <w:kern w:val="0"/>
                <w:sz w:val="24"/>
                <w:lang w:bidi="ar"/>
              </w:rPr>
              <w:t>7</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 xml:space="preserve">           </w:t>
            </w:r>
            <w:r>
              <w:rPr>
                <w:rFonts w:ascii="宋体" w:hAnsi="宋体" w:eastAsia="宋体" w:cs="宋体"/>
                <w:kern w:val="0"/>
                <w:sz w:val="24"/>
                <w:lang w:bidi="ar"/>
              </w:rPr>
              <w:t xml:space="preserve"> 1.0</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sz w:val="24"/>
              </w:rPr>
            </w:pPr>
            <w:r>
              <w:rPr>
                <w:rFonts w:hint="eastAsia" w:ascii="宋体" w:hAnsi="宋体" w:eastAsia="宋体" w:cs="宋体"/>
                <w:kern w:val="0"/>
                <w:sz w:val="24"/>
                <w:lang w:bidi="ar"/>
              </w:rPr>
              <w:t xml:space="preserve">         芒果</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sz w:val="24"/>
              </w:rPr>
            </w:pPr>
            <w:r>
              <w:rPr>
                <w:rFonts w:hint="eastAsia" w:ascii="宋体" w:hAnsi="宋体" w:eastAsia="宋体" w:cs="宋体"/>
                <w:kern w:val="0"/>
                <w:sz w:val="24"/>
                <w:lang w:bidi="ar"/>
              </w:rPr>
              <w:t>0.01</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 xml:space="preserve">         </w:t>
            </w:r>
            <w:r>
              <w:rPr>
                <w:rFonts w:ascii="宋体" w:hAnsi="宋体" w:eastAsia="宋体" w:cs="宋体"/>
                <w:kern w:val="0"/>
                <w:sz w:val="24"/>
                <w:lang w:bidi="ar"/>
              </w:rPr>
              <w:t xml:space="preserve">  </w:t>
            </w:r>
            <w:r>
              <w:rPr>
                <w:rFonts w:hint="eastAsia" w:ascii="宋体" w:hAnsi="宋体" w:eastAsia="宋体" w:cs="宋体"/>
                <w:kern w:val="0"/>
                <w:sz w:val="24"/>
                <w:lang w:bidi="ar"/>
              </w:rPr>
              <w:t xml:space="preserve"> </w:t>
            </w:r>
            <w:r>
              <w:rPr>
                <w:rFonts w:ascii="宋体" w:hAnsi="宋体" w:eastAsia="宋体" w:cs="宋体"/>
                <w:kern w:val="0"/>
                <w:sz w:val="24"/>
                <w:lang w:bidi="ar"/>
              </w:rPr>
              <w:t>2.5</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sz w:val="24"/>
              </w:rPr>
            </w:pPr>
            <w:r>
              <w:rPr>
                <w:rFonts w:hint="eastAsia" w:ascii="宋体" w:hAnsi="宋体" w:eastAsia="宋体" w:cs="宋体"/>
                <w:kern w:val="0"/>
                <w:sz w:val="24"/>
                <w:lang w:bidi="ar"/>
              </w:rPr>
              <w:t xml:space="preserve">         香蕉</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sz w:val="24"/>
              </w:rPr>
            </w:pPr>
            <w:r>
              <w:rPr>
                <w:rFonts w:hint="eastAsia" w:ascii="宋体" w:hAnsi="宋体" w:eastAsia="宋体" w:cs="宋体"/>
                <w:kern w:val="0"/>
                <w:sz w:val="24"/>
                <w:lang w:bidi="ar"/>
              </w:rPr>
              <w:t>3.</w:t>
            </w:r>
            <w:r>
              <w:rPr>
                <w:rFonts w:ascii="宋体" w:hAnsi="宋体" w:eastAsia="宋体" w:cs="宋体"/>
                <w:kern w:val="0"/>
                <w:sz w:val="24"/>
                <w:lang w:bidi="ar"/>
              </w:rPr>
              <w:t>1</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 xml:space="preserve">          </w:t>
            </w:r>
            <w:r>
              <w:rPr>
                <w:rFonts w:ascii="宋体" w:hAnsi="宋体" w:eastAsia="宋体" w:cs="宋体"/>
                <w:kern w:val="0"/>
                <w:sz w:val="24"/>
                <w:lang w:bidi="ar"/>
              </w:rPr>
              <w:t xml:space="preserve"> </w:t>
            </w:r>
            <w:r>
              <w:rPr>
                <w:rFonts w:hint="eastAsia" w:ascii="宋体" w:hAnsi="宋体" w:eastAsia="宋体" w:cs="宋体"/>
                <w:kern w:val="0"/>
                <w:sz w:val="24"/>
                <w:lang w:bidi="ar"/>
              </w:rPr>
              <w:t>-</w:t>
            </w:r>
            <w:r>
              <w:rPr>
                <w:rFonts w:ascii="宋体" w:hAnsi="宋体" w:eastAsia="宋体" w:cs="宋体"/>
                <w:kern w:val="0"/>
                <w:sz w:val="24"/>
                <w:lang w:bidi="ar"/>
              </w:rPr>
              <w:t>2.4</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sz w:val="24"/>
              </w:rPr>
            </w:pPr>
            <w:r>
              <w:rPr>
                <w:rFonts w:hint="eastAsia" w:ascii="宋体" w:hAnsi="宋体" w:eastAsia="宋体" w:cs="宋体"/>
                <w:kern w:val="0"/>
                <w:sz w:val="24"/>
                <w:lang w:bidi="ar"/>
              </w:rPr>
              <w:t xml:space="preserve">         荔枝</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sz w:val="24"/>
              </w:rPr>
            </w:pPr>
            <w:r>
              <w:rPr>
                <w:rFonts w:hint="eastAsia" w:ascii="宋体" w:hAnsi="宋体" w:eastAsia="宋体" w:cs="宋体"/>
                <w:kern w:val="0"/>
                <w:sz w:val="24"/>
                <w:lang w:bidi="ar"/>
              </w:rPr>
              <w:t>1.6</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 xml:space="preserve">          </w:t>
            </w:r>
            <w:r>
              <w:rPr>
                <w:rFonts w:ascii="宋体" w:hAnsi="宋体" w:eastAsia="宋体" w:cs="宋体"/>
                <w:kern w:val="0"/>
                <w:sz w:val="24"/>
                <w:lang w:bidi="ar"/>
              </w:rPr>
              <w:t xml:space="preserve">  1</w:t>
            </w:r>
            <w:r>
              <w:rPr>
                <w:rFonts w:hint="eastAsia" w:ascii="宋体" w:hAnsi="宋体" w:eastAsia="宋体" w:cs="宋体"/>
                <w:kern w:val="0"/>
                <w:sz w:val="24"/>
                <w:lang w:bidi="ar"/>
              </w:rPr>
              <w:t>.3</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kern w:val="0"/>
                <w:sz w:val="24"/>
                <w:lang w:bidi="ar"/>
              </w:rPr>
            </w:pPr>
            <w:r>
              <w:rPr>
                <w:rFonts w:hint="eastAsia" w:ascii="宋体" w:hAnsi="宋体" w:eastAsia="宋体" w:cs="宋体"/>
                <w:kern w:val="0"/>
                <w:sz w:val="24"/>
                <w:lang w:bidi="ar"/>
              </w:rPr>
              <w:t xml:space="preserve">         龙眼</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kern w:val="0"/>
                <w:sz w:val="24"/>
                <w:lang w:bidi="ar"/>
              </w:rPr>
            </w:pPr>
            <w:r>
              <w:rPr>
                <w:rFonts w:hint="eastAsia" w:ascii="宋体" w:hAnsi="宋体" w:eastAsia="宋体" w:cs="宋体"/>
                <w:kern w:val="0"/>
                <w:sz w:val="24"/>
                <w:lang w:bidi="ar"/>
              </w:rPr>
              <w:t>0.05</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 xml:space="preserve">         </w:t>
            </w:r>
            <w:r>
              <w:rPr>
                <w:rFonts w:ascii="宋体" w:hAnsi="宋体" w:eastAsia="宋体" w:cs="宋体"/>
                <w:kern w:val="0"/>
                <w:sz w:val="24"/>
                <w:lang w:bidi="ar"/>
              </w:rPr>
              <w:t xml:space="preserve">   6.0</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sz w:val="24"/>
              </w:rPr>
            </w:pPr>
            <w:r>
              <w:rPr>
                <w:rFonts w:hint="eastAsia" w:ascii="宋体" w:hAnsi="宋体" w:eastAsia="宋体" w:cs="宋体"/>
                <w:kern w:val="0"/>
                <w:sz w:val="24"/>
                <w:lang w:bidi="ar"/>
              </w:rPr>
              <w:t xml:space="preserve">         杨桃</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sz w:val="24"/>
              </w:rPr>
            </w:pPr>
            <w:r>
              <w:rPr>
                <w:rFonts w:hint="eastAsia" w:ascii="宋体" w:hAnsi="宋体" w:eastAsia="宋体" w:cs="宋体"/>
                <w:kern w:val="0"/>
                <w:sz w:val="24"/>
                <w:lang w:bidi="ar"/>
              </w:rPr>
              <w:t>0.38</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 xml:space="preserve">         </w:t>
            </w:r>
            <w:r>
              <w:rPr>
                <w:rFonts w:ascii="宋体" w:hAnsi="宋体" w:eastAsia="宋体" w:cs="宋体"/>
                <w:kern w:val="0"/>
                <w:sz w:val="24"/>
                <w:lang w:bidi="ar"/>
              </w:rPr>
              <w:t xml:space="preserve">   0.2</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sz w:val="24"/>
              </w:rPr>
            </w:pPr>
            <w:r>
              <w:rPr>
                <w:rFonts w:hint="eastAsia" w:ascii="宋体" w:hAnsi="宋体" w:eastAsia="宋体" w:cs="宋体"/>
                <w:kern w:val="0"/>
                <w:sz w:val="24"/>
                <w:lang w:bidi="ar"/>
              </w:rPr>
              <w:t xml:space="preserve">         石榴</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sz w:val="24"/>
              </w:rPr>
            </w:pPr>
            <w:r>
              <w:rPr>
                <w:rFonts w:hint="eastAsia" w:ascii="宋体" w:hAnsi="宋体" w:eastAsia="宋体" w:cs="宋体"/>
                <w:kern w:val="0"/>
                <w:sz w:val="24"/>
                <w:lang w:bidi="ar"/>
              </w:rPr>
              <w:t>4.</w:t>
            </w:r>
            <w:r>
              <w:rPr>
                <w:rFonts w:ascii="宋体" w:hAnsi="宋体" w:eastAsia="宋体" w:cs="宋体"/>
                <w:kern w:val="0"/>
                <w:sz w:val="24"/>
                <w:lang w:bidi="ar"/>
              </w:rPr>
              <w:t>8</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 xml:space="preserve">         </w:t>
            </w:r>
            <w:r>
              <w:rPr>
                <w:rFonts w:ascii="宋体" w:hAnsi="宋体" w:eastAsia="宋体" w:cs="宋体"/>
                <w:kern w:val="0"/>
                <w:sz w:val="24"/>
                <w:lang w:bidi="ar"/>
              </w:rPr>
              <w:t xml:space="preserve">  -1.5</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sz w:val="24"/>
              </w:rPr>
            </w:pPr>
            <w:r>
              <w:rPr>
                <w:rFonts w:hint="eastAsia" w:ascii="宋体" w:hAnsi="宋体" w:eastAsia="宋体" w:cs="宋体"/>
                <w:kern w:val="0"/>
                <w:sz w:val="24"/>
                <w:lang w:bidi="ar"/>
              </w:rPr>
              <w:t>橡胶</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sz w:val="24"/>
              </w:rPr>
            </w:pPr>
            <w:r>
              <w:rPr>
                <w:rFonts w:ascii="宋体" w:hAnsi="宋体" w:eastAsia="宋体" w:cs="宋体"/>
                <w:kern w:val="0"/>
                <w:sz w:val="24"/>
                <w:lang w:bidi="ar"/>
              </w:rPr>
              <w:t>2.9</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sz w:val="24"/>
              </w:rPr>
            </w:pPr>
            <w:r>
              <w:rPr>
                <w:rFonts w:hint="eastAsia" w:ascii="宋体" w:hAnsi="宋体" w:eastAsia="宋体" w:cs="宋体"/>
                <w:kern w:val="0"/>
                <w:sz w:val="24"/>
                <w:lang w:bidi="ar"/>
              </w:rPr>
              <w:t xml:space="preserve">          </w:t>
            </w:r>
            <w:r>
              <w:rPr>
                <w:rFonts w:ascii="宋体" w:hAnsi="宋体" w:eastAsia="宋体" w:cs="宋体"/>
                <w:kern w:val="0"/>
                <w:sz w:val="24"/>
                <w:lang w:bidi="ar"/>
              </w:rPr>
              <w:t xml:space="preserve"> </w:t>
            </w:r>
            <w:r>
              <w:rPr>
                <w:rFonts w:hint="eastAsia" w:ascii="宋体" w:hAnsi="宋体" w:eastAsia="宋体" w:cs="宋体"/>
                <w:kern w:val="0"/>
                <w:sz w:val="24"/>
                <w:lang w:bidi="ar"/>
              </w:rPr>
              <w:t>-2.</w:t>
            </w:r>
            <w:r>
              <w:rPr>
                <w:rFonts w:ascii="宋体" w:hAnsi="宋体" w:eastAsia="宋体" w:cs="宋体"/>
                <w:kern w:val="0"/>
                <w:sz w:val="24"/>
                <w:lang w:bidi="ar"/>
              </w:rPr>
              <w:t>1</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胡椒</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w:t>
            </w:r>
            <w:r>
              <w:rPr>
                <w:rFonts w:ascii="宋体" w:hAnsi="宋体" w:eastAsia="宋体" w:cs="宋体"/>
                <w:color w:val="000000" w:themeColor="text1"/>
                <w:kern w:val="0"/>
                <w:sz w:val="24"/>
                <w:lang w:bidi="ar"/>
                <w14:textFill>
                  <w14:solidFill>
                    <w14:schemeClr w14:val="tx1"/>
                  </w14:solidFill>
                </w14:textFill>
              </w:rPr>
              <w:t>4.9</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椰子</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亿个</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0.7</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-1.7</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槟榔</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w:t>
            </w:r>
            <w:r>
              <w:rPr>
                <w:rFonts w:ascii="宋体" w:hAnsi="宋体" w:eastAsia="宋体" w:cs="宋体"/>
                <w:color w:val="000000" w:themeColor="text1"/>
                <w:kern w:val="0"/>
                <w:sz w:val="24"/>
                <w:lang w:bidi="ar"/>
                <w14:textFill>
                  <w14:solidFill>
                    <w14:schemeClr w14:val="tx1"/>
                  </w14:solidFill>
                </w14:textFill>
              </w:rPr>
              <w:t>7</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3.7</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总肉量</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7.6</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10.4</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其中：猪肉</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3.3</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33.6</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禽肉</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w:t>
            </w:r>
            <w:r>
              <w:rPr>
                <w:rFonts w:ascii="宋体" w:hAnsi="宋体" w:eastAsia="宋体" w:cs="宋体"/>
                <w:color w:val="000000" w:themeColor="text1"/>
                <w:kern w:val="0"/>
                <w:sz w:val="24"/>
                <w:lang w:bidi="ar"/>
                <w14:textFill>
                  <w14:solidFill>
                    <w14:schemeClr w14:val="tx1"/>
                  </w14:solidFill>
                </w14:textFill>
              </w:rPr>
              <w:t>1</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2.4</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水产品产量</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w:t>
            </w:r>
            <w:r>
              <w:rPr>
                <w:rFonts w:ascii="宋体" w:hAnsi="宋体" w:eastAsia="宋体" w:cs="宋体"/>
                <w:color w:val="000000" w:themeColor="text1"/>
                <w:kern w:val="0"/>
                <w:sz w:val="24"/>
                <w:lang w:bidi="ar"/>
                <w14:textFill>
                  <w14:solidFill>
                    <w14:schemeClr w14:val="tx1"/>
                  </w14:solidFill>
                </w14:textFill>
              </w:rPr>
              <w:t>3</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0.65</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其中：海水产品</w:t>
            </w:r>
          </w:p>
        </w:tc>
        <w:tc>
          <w:tcPr>
            <w:tcW w:w="1091"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05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w:t>
            </w:r>
            <w:r>
              <w:rPr>
                <w:rFonts w:ascii="宋体" w:hAnsi="宋体" w:eastAsia="宋体" w:cs="宋体"/>
                <w:color w:val="000000" w:themeColor="text1"/>
                <w:kern w:val="0"/>
                <w:sz w:val="24"/>
                <w:lang w:bidi="ar"/>
                <w14:textFill>
                  <w14:solidFill>
                    <w14:schemeClr w14:val="tx1"/>
                  </w14:solidFill>
                </w14:textFill>
              </w:rPr>
              <w:t>3</w:t>
            </w:r>
          </w:p>
        </w:tc>
        <w:tc>
          <w:tcPr>
            <w:tcW w:w="2017"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4.9</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CellMar>
            <w:top w:w="0" w:type="dxa"/>
            <w:left w:w="0" w:type="dxa"/>
            <w:bottom w:w="0" w:type="dxa"/>
            <w:right w:w="0" w:type="dxa"/>
          </w:tblCellMar>
        </w:tblPrEx>
        <w:trPr>
          <w:trHeight w:val="400" w:hRule="atLeast"/>
          <w:jc w:val="center"/>
        </w:trPr>
        <w:tc>
          <w:tcPr>
            <w:tcW w:w="3044" w:type="dxa"/>
            <w:tcBorders>
              <w:top w:val="nil"/>
              <w:left w:val="nil"/>
              <w:bottom w:val="single" w:color="auto" w:sz="12" w:space="0"/>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淡水产品</w:t>
            </w:r>
          </w:p>
        </w:tc>
        <w:tc>
          <w:tcPr>
            <w:tcW w:w="1091" w:type="dxa"/>
            <w:tcBorders>
              <w:top w:val="nil"/>
              <w:left w:val="nil"/>
              <w:bottom w:val="single" w:color="auto" w:sz="12" w:space="0"/>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050" w:type="dxa"/>
            <w:tcBorders>
              <w:top w:val="nil"/>
              <w:left w:val="nil"/>
              <w:bottom w:val="single" w:color="auto" w:sz="12" w:space="0"/>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3.0</w:t>
            </w:r>
          </w:p>
        </w:tc>
        <w:tc>
          <w:tcPr>
            <w:tcW w:w="2017"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8.1</w:t>
            </w:r>
          </w:p>
        </w:tc>
      </w:tr>
    </w:tbl>
    <w:p>
      <w:pPr>
        <w:pStyle w:val="2"/>
        <w:spacing w:line="52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市农林牧渔及服务业总产值193.9亿元，比上年增长6.3%。从内部行业看，种植业产值115.4亿元，比上年增长8.1%。粮食播种面积27.6万亩，比上年下降3.7%；产量10.3万吨，比上年下降1.2%。蔬菜（含果用瓜）种植面积23.2万亩，比上年增长1.4%；产量52.8万吨，比上年增长2.2%。水果收获面积12.5万亩，比上年下降0.3%；产量27.0万吨，比上年下降1.5%。林业产值12.6亿元，比上年增长7.8%。橡胶产量2.9万吨，比上年下降2.1%；槟榔产量3.7万吨，比上年下降3.7%；椰子产量6793万个，比上年下降1.7%；胡椒产量1.2万吨，比上年下降4.9%。牧业产值32.8亿元，比上年下降0.3%。年末生猪存栏16.1万头，比上年增长6.8%。总肉量7.6万吨，比上年增长10.4%。猪肉量3.3万吨，比上年增长33.6%。禽类肉量4.1万吨，比上年下降2.4%。渔业产值19.5亿元，比上年增长15.4%。水产品总产量8.3万吨，比上年下降0.65%。农林牧渔服务业产值13.5亿元，比上年增长10.7%。（农林牧渔业主要产品产量及其增长速度见表2。）</w:t>
      </w:r>
    </w:p>
    <w:p>
      <w:pPr>
        <w:tabs>
          <w:tab w:val="left" w:pos="606"/>
        </w:tabs>
        <w:spacing w:line="520" w:lineRule="exact"/>
        <w:ind w:firstLine="672" w:firstLineChars="200"/>
        <w:jc w:val="left"/>
        <w:rPr>
          <w:rStyle w:val="9"/>
          <w:rFonts w:ascii="黑体" w:hAnsi="黑体" w:eastAsia="黑体" w:cs="黑体"/>
          <w:b w:val="0"/>
          <w:color w:val="000000" w:themeColor="text1"/>
          <w:spacing w:val="8"/>
          <w:sz w:val="32"/>
          <w:szCs w:val="32"/>
          <w14:textFill>
            <w14:solidFill>
              <w14:schemeClr w14:val="tx1"/>
            </w14:solidFill>
          </w14:textFill>
        </w:rPr>
      </w:pPr>
      <w:r>
        <w:rPr>
          <w:rStyle w:val="9"/>
          <w:rFonts w:hint="eastAsia" w:ascii="黑体" w:hAnsi="黑体" w:eastAsia="黑体" w:cs="黑体"/>
          <w:b w:val="0"/>
          <w:color w:val="000000" w:themeColor="text1"/>
          <w:spacing w:val="8"/>
          <w:sz w:val="32"/>
          <w:szCs w:val="32"/>
          <w14:textFill>
            <w14:solidFill>
              <w14:schemeClr w14:val="tx1"/>
            </w14:solidFill>
          </w14:textFill>
        </w:rPr>
        <w:t>三、工业和建筑业</w:t>
      </w:r>
    </w:p>
    <w:p>
      <w:pPr>
        <w:tabs>
          <w:tab w:val="left" w:pos="726"/>
        </w:tabs>
        <w:spacing w:line="52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工业生产持续发展。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全年全市工业增加值</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12.35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亿元，比上年增长3</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%。规模以上工业产值29.07亿元，比上年增长39.3%。按轻重工业分，轻工业产值增长54.2%；重工业产值增长10.3%。从经济类型看，国有企业产值增长2.2%；股份制企业增长22.5%；外商及港澳台商投资企业增长59.8%。</w:t>
      </w:r>
    </w:p>
    <w:p>
      <w:pPr>
        <w:tabs>
          <w:tab w:val="left" w:pos="726"/>
        </w:tabs>
        <w:spacing w:line="52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规模以上工业中，食品制造业增长1.3%，酒、饮料和精制茶制造业增长44.7%，医药制造业增长89.5%，非金属矿物制品业增长40.4%，通用设备制造业下降21.4%，电力、热力的生产和供应业增长16.2%，燃气生产和供应业增长78.0%，水的生产和供应业增长11.2%。（全年主要工业产品产量及其增长速度见表3。）</w:t>
      </w:r>
    </w:p>
    <w:p>
      <w:pPr>
        <w:tabs>
          <w:tab w:val="left" w:pos="726"/>
        </w:tabs>
        <w:spacing w:line="52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全年规模以上工业企业营业收入比上年增长38.5%，每百元营业收入中的成本为66.3元，比上年增长3.1元。年末规模以上工业企业资产负债率为72.7%。</w:t>
      </w:r>
    </w:p>
    <w:p>
      <w:pPr>
        <w:tabs>
          <w:tab w:val="left" w:pos="726"/>
        </w:tabs>
        <w:spacing w:line="52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建筑业稳定发展。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全年全市建筑业增加值</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31.9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%。本市具有资质等级的建筑企业单位8家，全年实现利润总额5868万元，比上年增长23.8%。</w:t>
      </w:r>
    </w:p>
    <w:tbl>
      <w:tblPr>
        <w:tblStyle w:val="7"/>
        <w:tblW w:w="7695" w:type="dxa"/>
        <w:jc w:val="center"/>
        <w:tblLayout w:type="fixed"/>
        <w:tblCellMar>
          <w:top w:w="0" w:type="dxa"/>
          <w:left w:w="0" w:type="dxa"/>
          <w:bottom w:w="0" w:type="dxa"/>
          <w:right w:w="0" w:type="dxa"/>
        </w:tblCellMar>
      </w:tblPr>
      <w:tblGrid>
        <w:gridCol w:w="3162"/>
        <w:gridCol w:w="1185"/>
        <w:gridCol w:w="1305"/>
        <w:gridCol w:w="2043"/>
      </w:tblGrid>
      <w:tr>
        <w:tblPrEx>
          <w:tblCellMar>
            <w:top w:w="0" w:type="dxa"/>
            <w:left w:w="0" w:type="dxa"/>
            <w:bottom w:w="0" w:type="dxa"/>
            <w:right w:w="0" w:type="dxa"/>
          </w:tblCellMar>
        </w:tblPrEx>
        <w:trPr>
          <w:trHeight w:val="580" w:hRule="atLeast"/>
          <w:jc w:val="center"/>
        </w:trPr>
        <w:tc>
          <w:tcPr>
            <w:tcW w:w="7695" w:type="dxa"/>
            <w:gridSpan w:val="4"/>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黑体" w:hAnsi="黑体" w:eastAsia="黑体" w:cs="黑体"/>
                <w:color w:val="000000" w:themeColor="text1"/>
                <w:kern w:val="0"/>
                <w:sz w:val="30"/>
                <w:szCs w:val="30"/>
                <w:lang w:bidi="ar"/>
                <w14:textFill>
                  <w14:solidFill>
                    <w14:schemeClr w14:val="tx1"/>
                  </w14:solidFill>
                </w14:textFill>
              </w:rPr>
              <w:t>表3  2021年主要工业产品产量及其增长速度</w:t>
            </w:r>
          </w:p>
        </w:tc>
      </w:tr>
      <w:tr>
        <w:tblPrEx>
          <w:tblCellMar>
            <w:top w:w="0" w:type="dxa"/>
            <w:left w:w="0" w:type="dxa"/>
            <w:bottom w:w="0" w:type="dxa"/>
            <w:right w:w="0" w:type="dxa"/>
          </w:tblCellMar>
        </w:tblPrEx>
        <w:trPr>
          <w:trHeight w:val="480" w:hRule="atLeast"/>
          <w:jc w:val="center"/>
        </w:trPr>
        <w:tc>
          <w:tcPr>
            <w:tcW w:w="3162"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产品名称</w:t>
            </w:r>
          </w:p>
        </w:tc>
        <w:tc>
          <w:tcPr>
            <w:tcW w:w="1185"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单位</w:t>
            </w:r>
          </w:p>
        </w:tc>
        <w:tc>
          <w:tcPr>
            <w:tcW w:w="1305" w:type="dxa"/>
            <w:tcBorders>
              <w:top w:val="single" w:color="auto"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绝对数</w:t>
            </w:r>
          </w:p>
        </w:tc>
        <w:tc>
          <w:tcPr>
            <w:tcW w:w="2043" w:type="dxa"/>
            <w:tcBorders>
              <w:top w:val="single" w:color="auto"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比上年增减（%）</w:t>
            </w:r>
          </w:p>
        </w:tc>
      </w:tr>
      <w:tr>
        <w:tblPrEx>
          <w:tblCellMar>
            <w:top w:w="0" w:type="dxa"/>
            <w:left w:w="0" w:type="dxa"/>
            <w:bottom w:w="0" w:type="dxa"/>
            <w:right w:w="0" w:type="dxa"/>
          </w:tblCellMar>
        </w:tblPrEx>
        <w:trPr>
          <w:trHeight w:val="400" w:hRule="atLeast"/>
          <w:jc w:val="center"/>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自来水生产量</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万立方米</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3915</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6.0 </w:t>
            </w:r>
          </w:p>
        </w:tc>
      </w:tr>
      <w:tr>
        <w:tblPrEx>
          <w:tblCellMar>
            <w:top w:w="0" w:type="dxa"/>
            <w:left w:w="0" w:type="dxa"/>
            <w:bottom w:w="0" w:type="dxa"/>
            <w:right w:w="0" w:type="dxa"/>
          </w:tblCellMar>
        </w:tblPrEx>
        <w:trPr>
          <w:trHeight w:val="400" w:hRule="atLeast"/>
          <w:jc w:val="center"/>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发电量</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万千瓦时</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26408.64</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14.1 </w:t>
            </w:r>
          </w:p>
        </w:tc>
      </w:tr>
      <w:tr>
        <w:tblPrEx>
          <w:tblCellMar>
            <w:top w:w="0" w:type="dxa"/>
            <w:left w:w="0" w:type="dxa"/>
            <w:bottom w:w="0" w:type="dxa"/>
            <w:right w:w="0" w:type="dxa"/>
          </w:tblCellMar>
        </w:tblPrEx>
        <w:trPr>
          <w:trHeight w:val="400" w:hRule="atLeast"/>
          <w:jc w:val="center"/>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其中： 水力发电量</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万千瓦时</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26408.64</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14.1</w:t>
            </w:r>
          </w:p>
        </w:tc>
      </w:tr>
      <w:tr>
        <w:tblPrEx>
          <w:tblCellMar>
            <w:top w:w="0" w:type="dxa"/>
            <w:left w:w="0" w:type="dxa"/>
            <w:bottom w:w="0" w:type="dxa"/>
            <w:right w:w="0" w:type="dxa"/>
          </w:tblCellMar>
        </w:tblPrEx>
        <w:trPr>
          <w:trHeight w:val="400" w:hRule="atLeast"/>
          <w:jc w:val="center"/>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商品混凝土</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立方米</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914321.58 </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14.8 </w:t>
            </w:r>
          </w:p>
        </w:tc>
      </w:tr>
      <w:tr>
        <w:tblPrEx>
          <w:tblCellMar>
            <w:top w:w="0" w:type="dxa"/>
            <w:left w:w="0" w:type="dxa"/>
            <w:bottom w:w="0" w:type="dxa"/>
            <w:right w:w="0" w:type="dxa"/>
          </w:tblCellMar>
        </w:tblPrEx>
        <w:trPr>
          <w:trHeight w:val="400" w:hRule="atLeast"/>
          <w:jc w:val="center"/>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饮料</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5585.11</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36.6</w:t>
            </w:r>
          </w:p>
        </w:tc>
      </w:tr>
      <w:tr>
        <w:tblPrEx>
          <w:tblCellMar>
            <w:top w:w="0" w:type="dxa"/>
            <w:left w:w="0" w:type="dxa"/>
            <w:bottom w:w="0" w:type="dxa"/>
            <w:right w:w="0" w:type="dxa"/>
          </w:tblCellMar>
        </w:tblPrEx>
        <w:trPr>
          <w:trHeight w:val="400" w:hRule="atLeast"/>
          <w:jc w:val="center"/>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其中：蛋白饮料</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6937.03 </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28.1 </w:t>
            </w:r>
          </w:p>
        </w:tc>
      </w:tr>
      <w:tr>
        <w:tblPrEx>
          <w:tblCellMar>
            <w:top w:w="0" w:type="dxa"/>
            <w:left w:w="0" w:type="dxa"/>
            <w:bottom w:w="0" w:type="dxa"/>
            <w:right w:w="0" w:type="dxa"/>
          </w:tblCellMar>
        </w:tblPrEx>
        <w:trPr>
          <w:trHeight w:val="400" w:hRule="atLeast"/>
          <w:jc w:val="center"/>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ind w:firstLine="960" w:firstLineChars="400"/>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果汁和蔬菜汁类饮料</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6889 </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47.7</w:t>
            </w:r>
          </w:p>
        </w:tc>
      </w:tr>
      <w:tr>
        <w:tblPrEx>
          <w:tblCellMar>
            <w:top w:w="0" w:type="dxa"/>
            <w:left w:w="0" w:type="dxa"/>
            <w:bottom w:w="0" w:type="dxa"/>
            <w:right w:w="0" w:type="dxa"/>
          </w:tblCellMar>
        </w:tblPrEx>
        <w:trPr>
          <w:trHeight w:val="400" w:hRule="atLeast"/>
          <w:jc w:val="center"/>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焙烤松脆食品</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65.99</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50</w:t>
            </w:r>
          </w:p>
        </w:tc>
      </w:tr>
      <w:tr>
        <w:tblPrEx>
          <w:tblCellMar>
            <w:top w:w="0" w:type="dxa"/>
            <w:left w:w="0" w:type="dxa"/>
            <w:bottom w:w="0" w:type="dxa"/>
            <w:right w:w="0" w:type="dxa"/>
          </w:tblCellMar>
        </w:tblPrEx>
        <w:trPr>
          <w:trHeight w:val="400" w:hRule="atLeast"/>
          <w:jc w:val="center"/>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糖果</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286.09</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-12.6</w:t>
            </w:r>
          </w:p>
        </w:tc>
      </w:tr>
      <w:tr>
        <w:tblPrEx>
          <w:tblCellMar>
            <w:top w:w="0" w:type="dxa"/>
            <w:left w:w="0" w:type="dxa"/>
            <w:bottom w:w="0" w:type="dxa"/>
            <w:right w:w="0" w:type="dxa"/>
          </w:tblCellMar>
        </w:tblPrEx>
        <w:trPr>
          <w:trHeight w:val="400" w:hRule="atLeast"/>
          <w:jc w:val="center"/>
        </w:trPr>
        <w:tc>
          <w:tcPr>
            <w:tcW w:w="3162"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砖</w:t>
            </w:r>
          </w:p>
        </w:tc>
        <w:tc>
          <w:tcPr>
            <w:tcW w:w="1185" w:type="dxa"/>
            <w:tcBorders>
              <w:top w:val="nil"/>
              <w:left w:val="single" w:color="000000" w:sz="4" w:space="0"/>
              <w:bottom w:val="single" w:color="auto" w:sz="12" w:space="0"/>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万块</w:t>
            </w:r>
          </w:p>
        </w:tc>
        <w:tc>
          <w:tcPr>
            <w:tcW w:w="1305" w:type="dxa"/>
            <w:tcBorders>
              <w:top w:val="nil"/>
              <w:left w:val="nil"/>
              <w:bottom w:val="single" w:color="auto" w:sz="12" w:space="0"/>
              <w:right w:val="single" w:color="000000" w:sz="4" w:space="0"/>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370.15</w:t>
            </w:r>
          </w:p>
        </w:tc>
        <w:tc>
          <w:tcPr>
            <w:tcW w:w="2043"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-1.9</w:t>
            </w:r>
          </w:p>
        </w:tc>
      </w:tr>
    </w:tbl>
    <w:p>
      <w:pPr>
        <w:spacing w:line="520" w:lineRule="exact"/>
        <w:ind w:firstLine="672" w:firstLineChars="200"/>
        <w:jc w:val="left"/>
        <w:rPr>
          <w:rStyle w:val="9"/>
          <w:rFonts w:ascii="黑体" w:hAnsi="黑体" w:eastAsia="黑体" w:cs="黑体"/>
          <w:b w:val="0"/>
          <w:color w:val="000000" w:themeColor="text1"/>
          <w:spacing w:val="8"/>
          <w:sz w:val="32"/>
          <w:szCs w:val="32"/>
          <w14:textFill>
            <w14:solidFill>
              <w14:schemeClr w14:val="tx1"/>
            </w14:solidFill>
          </w14:textFill>
        </w:rPr>
      </w:pPr>
      <w:r>
        <w:rPr>
          <w:rStyle w:val="9"/>
          <w:rFonts w:hint="eastAsia" w:ascii="黑体" w:hAnsi="黑体" w:eastAsia="黑体" w:cs="黑体"/>
          <w:b w:val="0"/>
          <w:color w:val="000000" w:themeColor="text1"/>
          <w:spacing w:val="8"/>
          <w:sz w:val="32"/>
          <w:szCs w:val="32"/>
          <w14:textFill>
            <w14:solidFill>
              <w14:schemeClr w14:val="tx1"/>
            </w14:solidFill>
          </w14:textFill>
        </w:rPr>
        <w:t>四、服务业</w:t>
      </w:r>
    </w:p>
    <w:p>
      <w:pPr>
        <w:tabs>
          <w:tab w:val="left" w:pos="726"/>
        </w:tabs>
        <w:spacing w:line="520" w:lineRule="exact"/>
        <w:ind w:firstLine="643" w:firstLineChars="200"/>
        <w:rPr>
          <w:rFonts w:ascii="仿宋_GB2312" w:hAnsi="仿宋_GB2312" w:eastAsia="仿宋_GB2312" w:cs="仿宋_GB2312"/>
          <w:color w:val="0000FF"/>
          <w:sz w:val="32"/>
          <w:szCs w:val="32"/>
          <w:shd w:val="clear" w:color="auto" w:fill="FFFFFF"/>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服务业经济稳步复苏。</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全年全市批发和零售业增加值</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42.6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14.2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%；交通运输、仓储和邮政业增加值</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38.9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%；住宿和餐饮业增加值</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22.3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%；金融业增加值</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13.4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0.5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%；房地产业增加值</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29.57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%；其他服务业增加值</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56.91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14.3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%。全年规模以上服务业企业营业收入比上年增长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44.7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%，每百元营业收入中的成本为</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67.4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元，营业收入利润率为</w:t>
      </w:r>
      <w:r>
        <w:rPr>
          <w:rFonts w:ascii="仿宋_GB2312" w:hAnsi="仿宋_GB2312" w:eastAsia="仿宋_GB2312" w:cs="仿宋_GB2312"/>
          <w:color w:val="000000" w:themeColor="text1"/>
          <w:sz w:val="32"/>
          <w:szCs w:val="32"/>
          <w:shd w:val="clear" w:color="auto" w:fill="FFFFFF"/>
          <w14:textFill>
            <w14:solidFill>
              <w14:schemeClr w14:val="tx1"/>
            </w14:solidFill>
          </w14:textFill>
        </w:rPr>
        <w:t>0.29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tabs>
          <w:tab w:val="left" w:pos="726"/>
        </w:tabs>
        <w:spacing w:line="52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交通运输业总体平稳。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全年货物运输量</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605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万吨，货物运输周转量</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12721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万吨公里。全年旅客运输量</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216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万人，旅客运输周转量</w:t>
      </w:r>
      <w:r>
        <w:rPr>
          <w:rFonts w:ascii="仿宋_GB2312" w:hAnsi="仿宋_GB2312" w:eastAsia="仿宋_GB2312" w:cs="仿宋_GB2312"/>
          <w:color w:val="000000" w:themeColor="text1"/>
          <w:sz w:val="32"/>
          <w:szCs w:val="32"/>
          <w:shd w:val="clear" w:color="auto" w:fill="FFFFFF"/>
          <w14:textFill>
            <w14:solidFill>
              <w14:schemeClr w14:val="tx1"/>
            </w14:solidFill>
          </w14:textFill>
        </w:rPr>
        <w:t>8988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万人公里。全年博鳌机场旅客吞吐量</w:t>
      </w:r>
      <w:r>
        <w:rPr>
          <w:rFonts w:ascii="仿宋_GB2312" w:hAnsi="仿宋_GB2312" w:eastAsia="仿宋_GB2312" w:cs="仿宋_GB2312"/>
          <w:color w:val="000000" w:themeColor="text1"/>
          <w:sz w:val="32"/>
          <w:szCs w:val="32"/>
          <w:shd w:val="clear" w:color="auto" w:fill="FFFFFF"/>
          <w14:textFill>
            <w14:solidFill>
              <w14:schemeClr w14:val="tx1"/>
            </w14:solidFill>
          </w14:textFill>
        </w:rPr>
        <w:t>70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.26万人次，比上年增长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24.8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%；货邮吞吐量</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1337.4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吨，比上年增长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142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%。（全年运输方式旅客和货物运输情况见表4。）</w:t>
      </w:r>
    </w:p>
    <w:tbl>
      <w:tblPr>
        <w:tblStyle w:val="7"/>
        <w:tblW w:w="7720" w:type="dxa"/>
        <w:jc w:val="center"/>
        <w:tblLayout w:type="fixed"/>
        <w:tblCellMar>
          <w:top w:w="0" w:type="dxa"/>
          <w:left w:w="0" w:type="dxa"/>
          <w:bottom w:w="0" w:type="dxa"/>
          <w:right w:w="0" w:type="dxa"/>
        </w:tblCellMar>
      </w:tblPr>
      <w:tblGrid>
        <w:gridCol w:w="2361"/>
        <w:gridCol w:w="1367"/>
        <w:gridCol w:w="1454"/>
        <w:gridCol w:w="2538"/>
      </w:tblGrid>
      <w:tr>
        <w:tblPrEx>
          <w:tblCellMar>
            <w:top w:w="0" w:type="dxa"/>
            <w:left w:w="0" w:type="dxa"/>
            <w:bottom w:w="0" w:type="dxa"/>
            <w:right w:w="0" w:type="dxa"/>
          </w:tblCellMar>
        </w:tblPrEx>
        <w:trPr>
          <w:trHeight w:val="674" w:hRule="atLeast"/>
          <w:jc w:val="center"/>
        </w:trPr>
        <w:tc>
          <w:tcPr>
            <w:tcW w:w="7720" w:type="dxa"/>
            <w:gridSpan w:val="4"/>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黑体" w:hAnsi="黑体" w:eastAsia="黑体" w:cs="黑体"/>
                <w:color w:val="000000" w:themeColor="text1"/>
                <w:kern w:val="0"/>
                <w:sz w:val="30"/>
                <w:szCs w:val="30"/>
                <w:lang w:bidi="ar"/>
                <w14:textFill>
                  <w14:solidFill>
                    <w14:schemeClr w14:val="tx1"/>
                  </w14:solidFill>
                </w14:textFill>
              </w:rPr>
              <w:t>表4   202</w:t>
            </w:r>
            <w:r>
              <w:rPr>
                <w:rFonts w:ascii="黑体" w:hAnsi="黑体" w:eastAsia="黑体" w:cs="黑体"/>
                <w:color w:val="000000" w:themeColor="text1"/>
                <w:kern w:val="0"/>
                <w:sz w:val="30"/>
                <w:szCs w:val="30"/>
                <w:lang w:bidi="ar"/>
                <w14:textFill>
                  <w14:solidFill>
                    <w14:schemeClr w14:val="tx1"/>
                  </w14:solidFill>
                </w14:textFill>
              </w:rPr>
              <w:t>1</w:t>
            </w:r>
            <w:r>
              <w:rPr>
                <w:rFonts w:hint="eastAsia" w:ascii="黑体" w:hAnsi="黑体" w:eastAsia="黑体" w:cs="黑体"/>
                <w:color w:val="000000" w:themeColor="text1"/>
                <w:kern w:val="0"/>
                <w:sz w:val="30"/>
                <w:szCs w:val="30"/>
                <w:lang w:bidi="ar"/>
                <w14:textFill>
                  <w14:solidFill>
                    <w14:schemeClr w14:val="tx1"/>
                  </w14:solidFill>
                </w14:textFill>
              </w:rPr>
              <w:t>年运输方式旅客和货物运输情况</w:t>
            </w:r>
          </w:p>
        </w:tc>
      </w:tr>
      <w:tr>
        <w:tblPrEx>
          <w:tblCellMar>
            <w:top w:w="0" w:type="dxa"/>
            <w:left w:w="0" w:type="dxa"/>
            <w:bottom w:w="0" w:type="dxa"/>
            <w:right w:w="0" w:type="dxa"/>
          </w:tblCellMar>
        </w:tblPrEx>
        <w:trPr>
          <w:trHeight w:val="505" w:hRule="atLeast"/>
          <w:jc w:val="center"/>
        </w:trPr>
        <w:tc>
          <w:tcPr>
            <w:tcW w:w="2361"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指标</w:t>
            </w:r>
          </w:p>
        </w:tc>
        <w:tc>
          <w:tcPr>
            <w:tcW w:w="1367"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单位</w:t>
            </w:r>
          </w:p>
        </w:tc>
        <w:tc>
          <w:tcPr>
            <w:tcW w:w="1454" w:type="dxa"/>
            <w:tcBorders>
              <w:top w:val="single" w:color="auto"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绝对数</w:t>
            </w:r>
          </w:p>
        </w:tc>
        <w:tc>
          <w:tcPr>
            <w:tcW w:w="2538" w:type="dxa"/>
            <w:tcBorders>
              <w:top w:val="single" w:color="auto"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比上年增减（%）</w:t>
            </w:r>
          </w:p>
        </w:tc>
      </w:tr>
      <w:tr>
        <w:tblPrEx>
          <w:tblCellMar>
            <w:top w:w="0" w:type="dxa"/>
            <w:left w:w="0" w:type="dxa"/>
            <w:bottom w:w="0" w:type="dxa"/>
            <w:right w:w="0" w:type="dxa"/>
          </w:tblCellMar>
        </w:tblPrEx>
        <w:trPr>
          <w:trHeight w:val="425" w:hRule="atLeast"/>
          <w:jc w:val="center"/>
        </w:trPr>
        <w:tc>
          <w:tcPr>
            <w:tcW w:w="2361"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一、公路</w:t>
            </w:r>
          </w:p>
        </w:tc>
        <w:tc>
          <w:tcPr>
            <w:tcW w:w="1367"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eastAsia="宋体" w:cs="宋体"/>
                <w:color w:val="000000" w:themeColor="text1"/>
                <w:sz w:val="24"/>
                <w14:textFill>
                  <w14:solidFill>
                    <w14:schemeClr w14:val="tx1"/>
                  </w14:solidFill>
                </w14:textFill>
              </w:rPr>
            </w:pPr>
          </w:p>
        </w:tc>
        <w:tc>
          <w:tcPr>
            <w:tcW w:w="1454" w:type="dxa"/>
            <w:tcBorders>
              <w:top w:val="nil"/>
              <w:left w:val="nil"/>
              <w:bottom w:val="nil"/>
              <w:right w:val="single" w:color="000000" w:sz="4" w:space="0"/>
            </w:tcBorders>
            <w:shd w:val="clear" w:color="auto" w:fill="auto"/>
            <w:noWrap/>
            <w:tcMar>
              <w:top w:w="15" w:type="dxa"/>
              <w:left w:w="15" w:type="dxa"/>
              <w:right w:w="15" w:type="dxa"/>
            </w:tcMar>
            <w:vAlign w:val="bottom"/>
          </w:tcPr>
          <w:p>
            <w:pPr>
              <w:spacing w:line="560" w:lineRule="exact"/>
              <w:jc w:val="right"/>
              <w:rPr>
                <w:rFonts w:ascii="宋体" w:hAnsi="宋体" w:eastAsia="宋体" w:cs="宋体"/>
                <w:color w:val="000000" w:themeColor="text1"/>
                <w:sz w:val="24"/>
                <w14:textFill>
                  <w14:solidFill>
                    <w14:schemeClr w14:val="tx1"/>
                  </w14:solidFill>
                </w14:textFill>
              </w:rPr>
            </w:pPr>
          </w:p>
        </w:tc>
        <w:tc>
          <w:tcPr>
            <w:tcW w:w="2538" w:type="dxa"/>
            <w:tcBorders>
              <w:top w:val="nil"/>
              <w:left w:val="nil"/>
              <w:bottom w:val="nil"/>
              <w:right w:val="nil"/>
            </w:tcBorders>
            <w:shd w:val="clear" w:color="auto" w:fill="auto"/>
            <w:noWrap/>
            <w:tcMar>
              <w:top w:w="15" w:type="dxa"/>
              <w:left w:w="15" w:type="dxa"/>
              <w:right w:w="15" w:type="dxa"/>
            </w:tcMar>
            <w:vAlign w:val="center"/>
          </w:tcPr>
          <w:p>
            <w:pPr>
              <w:spacing w:line="560" w:lineRule="exact"/>
              <w:jc w:val="right"/>
              <w:rPr>
                <w:rFonts w:ascii="宋体" w:hAnsi="宋体" w:eastAsia="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415" w:hRule="atLeast"/>
          <w:jc w:val="center"/>
        </w:trPr>
        <w:tc>
          <w:tcPr>
            <w:tcW w:w="2361"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货运量</w:t>
            </w:r>
          </w:p>
        </w:tc>
        <w:tc>
          <w:tcPr>
            <w:tcW w:w="1367"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45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256</w:t>
            </w:r>
            <w:r>
              <w:rPr>
                <w:rFonts w:hint="eastAsia" w:ascii="宋体" w:hAnsi="宋体" w:eastAsia="宋体" w:cs="宋体"/>
                <w:color w:val="000000" w:themeColor="text1"/>
                <w:kern w:val="0"/>
                <w:sz w:val="24"/>
                <w:lang w:bidi="ar"/>
                <w14:textFill>
                  <w14:solidFill>
                    <w14:schemeClr w14:val="tx1"/>
                  </w14:solidFill>
                </w14:textFill>
              </w:rPr>
              <w:t xml:space="preserve"> </w:t>
            </w:r>
          </w:p>
        </w:tc>
        <w:tc>
          <w:tcPr>
            <w:tcW w:w="2538"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16</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CellMar>
            <w:top w:w="0" w:type="dxa"/>
            <w:left w:w="0" w:type="dxa"/>
            <w:bottom w:w="0" w:type="dxa"/>
            <w:right w:w="0" w:type="dxa"/>
          </w:tblCellMar>
        </w:tblPrEx>
        <w:trPr>
          <w:trHeight w:val="415" w:hRule="atLeast"/>
          <w:jc w:val="center"/>
        </w:trPr>
        <w:tc>
          <w:tcPr>
            <w:tcW w:w="2361"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货物周转量</w:t>
            </w:r>
          </w:p>
        </w:tc>
        <w:tc>
          <w:tcPr>
            <w:tcW w:w="1367"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万吨公里</w:t>
            </w:r>
          </w:p>
        </w:tc>
        <w:tc>
          <w:tcPr>
            <w:tcW w:w="145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12721</w:t>
            </w:r>
            <w:r>
              <w:rPr>
                <w:rFonts w:hint="eastAsia" w:ascii="宋体" w:hAnsi="宋体" w:eastAsia="宋体" w:cs="宋体"/>
                <w:color w:val="000000" w:themeColor="text1"/>
                <w:kern w:val="0"/>
                <w:sz w:val="24"/>
                <w:lang w:bidi="ar"/>
                <w14:textFill>
                  <w14:solidFill>
                    <w14:schemeClr w14:val="tx1"/>
                  </w14:solidFill>
                </w14:textFill>
              </w:rPr>
              <w:t xml:space="preserve"> </w:t>
            </w:r>
          </w:p>
        </w:tc>
        <w:tc>
          <w:tcPr>
            <w:tcW w:w="2538"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58</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CellMar>
            <w:top w:w="0" w:type="dxa"/>
            <w:left w:w="0" w:type="dxa"/>
            <w:bottom w:w="0" w:type="dxa"/>
            <w:right w:w="0" w:type="dxa"/>
          </w:tblCellMar>
        </w:tblPrEx>
        <w:trPr>
          <w:trHeight w:val="415" w:hRule="atLeast"/>
          <w:jc w:val="center"/>
        </w:trPr>
        <w:tc>
          <w:tcPr>
            <w:tcW w:w="2361"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客运量</w:t>
            </w:r>
          </w:p>
        </w:tc>
        <w:tc>
          <w:tcPr>
            <w:tcW w:w="1367"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万人</w:t>
            </w:r>
          </w:p>
        </w:tc>
        <w:tc>
          <w:tcPr>
            <w:tcW w:w="145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146</w:t>
            </w:r>
            <w:r>
              <w:rPr>
                <w:rFonts w:hint="eastAsia" w:ascii="宋体" w:hAnsi="宋体" w:eastAsia="宋体" w:cs="宋体"/>
                <w:color w:val="000000" w:themeColor="text1"/>
                <w:kern w:val="0"/>
                <w:sz w:val="24"/>
                <w:lang w:bidi="ar"/>
                <w14:textFill>
                  <w14:solidFill>
                    <w14:schemeClr w14:val="tx1"/>
                  </w14:solidFill>
                </w14:textFill>
              </w:rPr>
              <w:t xml:space="preserve"> </w:t>
            </w:r>
          </w:p>
        </w:tc>
        <w:tc>
          <w:tcPr>
            <w:tcW w:w="2538"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r>
              <w:rPr>
                <w:rFonts w:ascii="宋体" w:hAnsi="宋体" w:eastAsia="宋体" w:cs="宋体"/>
                <w:color w:val="000000" w:themeColor="text1"/>
                <w:kern w:val="0"/>
                <w:sz w:val="24"/>
                <w:lang w:bidi="ar"/>
                <w14:textFill>
                  <w14:solidFill>
                    <w14:schemeClr w14:val="tx1"/>
                  </w14:solidFill>
                </w14:textFill>
              </w:rPr>
              <w:t>26.25</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CellMar>
            <w:top w:w="0" w:type="dxa"/>
            <w:left w:w="0" w:type="dxa"/>
            <w:bottom w:w="0" w:type="dxa"/>
            <w:right w:w="0" w:type="dxa"/>
          </w:tblCellMar>
        </w:tblPrEx>
        <w:trPr>
          <w:trHeight w:val="415" w:hRule="atLeast"/>
          <w:jc w:val="center"/>
        </w:trPr>
        <w:tc>
          <w:tcPr>
            <w:tcW w:w="2361"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旅客周转量</w:t>
            </w:r>
          </w:p>
        </w:tc>
        <w:tc>
          <w:tcPr>
            <w:tcW w:w="1367"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万人公里</w:t>
            </w:r>
          </w:p>
        </w:tc>
        <w:tc>
          <w:tcPr>
            <w:tcW w:w="145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8895</w:t>
            </w:r>
            <w:r>
              <w:rPr>
                <w:rFonts w:hint="eastAsia" w:ascii="宋体" w:hAnsi="宋体" w:eastAsia="宋体" w:cs="宋体"/>
                <w:color w:val="000000" w:themeColor="text1"/>
                <w:kern w:val="0"/>
                <w:sz w:val="24"/>
                <w:lang w:bidi="ar"/>
                <w14:textFill>
                  <w14:solidFill>
                    <w14:schemeClr w14:val="tx1"/>
                  </w14:solidFill>
                </w14:textFill>
              </w:rPr>
              <w:t xml:space="preserve"> </w:t>
            </w:r>
          </w:p>
        </w:tc>
        <w:tc>
          <w:tcPr>
            <w:tcW w:w="2538"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14.31</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CellMar>
            <w:top w:w="0" w:type="dxa"/>
            <w:left w:w="0" w:type="dxa"/>
            <w:bottom w:w="0" w:type="dxa"/>
            <w:right w:w="0" w:type="dxa"/>
          </w:tblCellMar>
        </w:tblPrEx>
        <w:trPr>
          <w:trHeight w:val="415" w:hRule="atLeast"/>
          <w:jc w:val="center"/>
        </w:trPr>
        <w:tc>
          <w:tcPr>
            <w:tcW w:w="2361"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二、水运</w:t>
            </w:r>
          </w:p>
        </w:tc>
        <w:tc>
          <w:tcPr>
            <w:tcW w:w="1367"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eastAsia="宋体" w:cs="宋体"/>
                <w:color w:val="000000" w:themeColor="text1"/>
                <w:sz w:val="24"/>
                <w14:textFill>
                  <w14:solidFill>
                    <w14:schemeClr w14:val="tx1"/>
                  </w14:solidFill>
                </w14:textFill>
              </w:rPr>
            </w:pPr>
          </w:p>
        </w:tc>
        <w:tc>
          <w:tcPr>
            <w:tcW w:w="1454" w:type="dxa"/>
            <w:tcBorders>
              <w:top w:val="nil"/>
              <w:left w:val="nil"/>
              <w:bottom w:val="nil"/>
              <w:right w:val="single" w:color="000000" w:sz="4" w:space="0"/>
            </w:tcBorders>
            <w:shd w:val="clear" w:color="auto" w:fill="auto"/>
            <w:noWrap/>
            <w:tcMar>
              <w:top w:w="15" w:type="dxa"/>
              <w:left w:w="15" w:type="dxa"/>
              <w:right w:w="15" w:type="dxa"/>
            </w:tcMar>
            <w:vAlign w:val="center"/>
          </w:tcPr>
          <w:p>
            <w:pPr>
              <w:spacing w:line="560" w:lineRule="exact"/>
              <w:jc w:val="right"/>
              <w:rPr>
                <w:rFonts w:ascii="宋体" w:hAnsi="宋体" w:eastAsia="宋体" w:cs="宋体"/>
                <w:color w:val="000000" w:themeColor="text1"/>
                <w:sz w:val="24"/>
                <w14:textFill>
                  <w14:solidFill>
                    <w14:schemeClr w14:val="tx1"/>
                  </w14:solidFill>
                </w14:textFill>
              </w:rPr>
            </w:pPr>
          </w:p>
        </w:tc>
        <w:tc>
          <w:tcPr>
            <w:tcW w:w="2538" w:type="dxa"/>
            <w:tcBorders>
              <w:top w:val="nil"/>
              <w:left w:val="nil"/>
              <w:bottom w:val="nil"/>
              <w:right w:val="nil"/>
            </w:tcBorders>
            <w:shd w:val="clear" w:color="auto" w:fill="auto"/>
            <w:noWrap/>
            <w:tcMar>
              <w:top w:w="15" w:type="dxa"/>
              <w:left w:w="15" w:type="dxa"/>
              <w:right w:w="15" w:type="dxa"/>
            </w:tcMar>
            <w:vAlign w:val="center"/>
          </w:tcPr>
          <w:p>
            <w:pPr>
              <w:spacing w:line="560" w:lineRule="exact"/>
              <w:jc w:val="right"/>
              <w:rPr>
                <w:rFonts w:ascii="宋体" w:hAnsi="宋体" w:eastAsia="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415" w:hRule="atLeast"/>
          <w:jc w:val="center"/>
        </w:trPr>
        <w:tc>
          <w:tcPr>
            <w:tcW w:w="2361"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货运量</w:t>
            </w:r>
          </w:p>
        </w:tc>
        <w:tc>
          <w:tcPr>
            <w:tcW w:w="1367"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45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348</w:t>
            </w:r>
          </w:p>
        </w:tc>
        <w:tc>
          <w:tcPr>
            <w:tcW w:w="2538"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107.78</w:t>
            </w:r>
          </w:p>
        </w:tc>
      </w:tr>
      <w:tr>
        <w:tblPrEx>
          <w:tblCellMar>
            <w:top w:w="0" w:type="dxa"/>
            <w:left w:w="0" w:type="dxa"/>
            <w:bottom w:w="0" w:type="dxa"/>
            <w:right w:w="0" w:type="dxa"/>
          </w:tblCellMar>
        </w:tblPrEx>
        <w:trPr>
          <w:trHeight w:val="415" w:hRule="atLeast"/>
          <w:jc w:val="center"/>
        </w:trPr>
        <w:tc>
          <w:tcPr>
            <w:tcW w:w="2361"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货物周转量</w:t>
            </w:r>
          </w:p>
        </w:tc>
        <w:tc>
          <w:tcPr>
            <w:tcW w:w="1367"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万吨公里</w:t>
            </w:r>
          </w:p>
        </w:tc>
        <w:tc>
          <w:tcPr>
            <w:tcW w:w="145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c>
          <w:tcPr>
            <w:tcW w:w="2538"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415" w:hRule="atLeast"/>
          <w:jc w:val="center"/>
        </w:trPr>
        <w:tc>
          <w:tcPr>
            <w:tcW w:w="2361"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客运量</w:t>
            </w:r>
          </w:p>
        </w:tc>
        <w:tc>
          <w:tcPr>
            <w:tcW w:w="1367"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万人</w:t>
            </w:r>
          </w:p>
        </w:tc>
        <w:tc>
          <w:tcPr>
            <w:tcW w:w="145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p>
        </w:tc>
        <w:tc>
          <w:tcPr>
            <w:tcW w:w="2538"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CellMar>
            <w:top w:w="0" w:type="dxa"/>
            <w:left w:w="0" w:type="dxa"/>
            <w:bottom w:w="0" w:type="dxa"/>
            <w:right w:w="0" w:type="dxa"/>
          </w:tblCellMar>
        </w:tblPrEx>
        <w:trPr>
          <w:trHeight w:val="415" w:hRule="atLeast"/>
          <w:jc w:val="center"/>
        </w:trPr>
        <w:tc>
          <w:tcPr>
            <w:tcW w:w="2361"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旅客周转量</w:t>
            </w:r>
          </w:p>
        </w:tc>
        <w:tc>
          <w:tcPr>
            <w:tcW w:w="1367"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万人公里</w:t>
            </w:r>
          </w:p>
        </w:tc>
        <w:tc>
          <w:tcPr>
            <w:tcW w:w="1454"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92</w:t>
            </w:r>
            <w:r>
              <w:rPr>
                <w:rFonts w:hint="eastAsia" w:ascii="宋体" w:hAnsi="宋体" w:eastAsia="宋体" w:cs="宋体"/>
                <w:color w:val="000000" w:themeColor="text1"/>
                <w:kern w:val="0"/>
                <w:sz w:val="24"/>
                <w:lang w:bidi="ar"/>
                <w14:textFill>
                  <w14:solidFill>
                    <w14:schemeClr w14:val="tx1"/>
                  </w14:solidFill>
                </w14:textFill>
              </w:rPr>
              <w:t xml:space="preserve"> </w:t>
            </w:r>
          </w:p>
        </w:tc>
        <w:tc>
          <w:tcPr>
            <w:tcW w:w="2538"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r>
              <w:rPr>
                <w:rFonts w:ascii="宋体" w:hAnsi="宋体" w:eastAsia="宋体" w:cs="宋体"/>
                <w:color w:val="000000" w:themeColor="text1"/>
                <w:kern w:val="0"/>
                <w:sz w:val="24"/>
                <w:lang w:bidi="ar"/>
                <w14:textFill>
                  <w14:solidFill>
                    <w14:schemeClr w14:val="tx1"/>
                  </w14:solidFill>
                </w14:textFill>
              </w:rPr>
              <w:t>23.77</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CellMar>
            <w:top w:w="0" w:type="dxa"/>
            <w:left w:w="0" w:type="dxa"/>
            <w:bottom w:w="0" w:type="dxa"/>
            <w:right w:w="0" w:type="dxa"/>
          </w:tblCellMar>
        </w:tblPrEx>
        <w:trPr>
          <w:trHeight w:val="415" w:hRule="atLeast"/>
          <w:jc w:val="center"/>
        </w:trPr>
        <w:tc>
          <w:tcPr>
            <w:tcW w:w="2361"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三、空运</w:t>
            </w:r>
          </w:p>
        </w:tc>
        <w:tc>
          <w:tcPr>
            <w:tcW w:w="1367"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eastAsia="宋体" w:cs="宋体"/>
                <w:color w:val="000000" w:themeColor="text1"/>
                <w:sz w:val="24"/>
                <w14:textFill>
                  <w14:solidFill>
                    <w14:schemeClr w14:val="tx1"/>
                  </w14:solidFill>
                </w14:textFill>
              </w:rPr>
            </w:pPr>
          </w:p>
        </w:tc>
        <w:tc>
          <w:tcPr>
            <w:tcW w:w="1454" w:type="dxa"/>
            <w:tcBorders>
              <w:top w:val="nil"/>
              <w:left w:val="nil"/>
              <w:bottom w:val="nil"/>
              <w:right w:val="single" w:color="000000" w:sz="4" w:space="0"/>
            </w:tcBorders>
            <w:shd w:val="clear" w:color="auto" w:fill="auto"/>
            <w:noWrap/>
            <w:tcMar>
              <w:top w:w="15" w:type="dxa"/>
              <w:left w:w="15" w:type="dxa"/>
              <w:right w:w="15" w:type="dxa"/>
            </w:tcMar>
            <w:vAlign w:val="center"/>
          </w:tcPr>
          <w:p>
            <w:pPr>
              <w:spacing w:line="560" w:lineRule="exact"/>
              <w:jc w:val="right"/>
              <w:rPr>
                <w:rFonts w:ascii="宋体" w:hAnsi="宋体" w:eastAsia="宋体" w:cs="宋体"/>
                <w:color w:val="000000" w:themeColor="text1"/>
                <w:sz w:val="24"/>
                <w14:textFill>
                  <w14:solidFill>
                    <w14:schemeClr w14:val="tx1"/>
                  </w14:solidFill>
                </w14:textFill>
              </w:rPr>
            </w:pPr>
          </w:p>
        </w:tc>
        <w:tc>
          <w:tcPr>
            <w:tcW w:w="2538" w:type="dxa"/>
            <w:tcBorders>
              <w:top w:val="nil"/>
              <w:left w:val="nil"/>
              <w:bottom w:val="nil"/>
              <w:right w:val="nil"/>
            </w:tcBorders>
            <w:shd w:val="clear" w:color="auto" w:fill="auto"/>
            <w:noWrap/>
            <w:tcMar>
              <w:top w:w="15" w:type="dxa"/>
              <w:left w:w="15" w:type="dxa"/>
              <w:right w:w="15" w:type="dxa"/>
            </w:tcMar>
            <w:vAlign w:val="center"/>
          </w:tcPr>
          <w:p>
            <w:pPr>
              <w:spacing w:line="560" w:lineRule="exact"/>
              <w:jc w:val="right"/>
              <w:rPr>
                <w:rFonts w:ascii="宋体" w:hAnsi="宋体" w:eastAsia="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415" w:hRule="atLeast"/>
          <w:jc w:val="center"/>
        </w:trPr>
        <w:tc>
          <w:tcPr>
            <w:tcW w:w="2361"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旅客吞吐量</w:t>
            </w:r>
          </w:p>
        </w:tc>
        <w:tc>
          <w:tcPr>
            <w:tcW w:w="1367"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万人次</w:t>
            </w:r>
          </w:p>
        </w:tc>
        <w:tc>
          <w:tcPr>
            <w:tcW w:w="1454" w:type="dxa"/>
            <w:tcBorders>
              <w:top w:val="nil"/>
              <w:left w:val="nil"/>
              <w:bottom w:val="nil"/>
              <w:right w:val="single" w:color="000000" w:sz="4" w:space="0"/>
            </w:tcBorders>
            <w:shd w:val="clear" w:color="auto" w:fill="auto"/>
            <w:tcMar>
              <w:top w:w="15" w:type="dxa"/>
              <w:left w:w="15" w:type="dxa"/>
              <w:right w:w="15" w:type="dxa"/>
            </w:tcMar>
            <w:vAlign w:val="bottom"/>
          </w:tcPr>
          <w:p>
            <w:pPr>
              <w:widowControl/>
              <w:spacing w:line="560" w:lineRule="exact"/>
              <w:jc w:val="right"/>
              <w:textAlignment w:val="bottom"/>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70</w:t>
            </w:r>
            <w:r>
              <w:rPr>
                <w:rFonts w:hint="eastAsia" w:ascii="宋体" w:hAnsi="宋体" w:eastAsia="宋体" w:cs="宋体"/>
                <w:color w:val="000000" w:themeColor="text1"/>
                <w:kern w:val="0"/>
                <w:sz w:val="24"/>
                <w:lang w:bidi="ar"/>
                <w14:textFill>
                  <w14:solidFill>
                    <w14:schemeClr w14:val="tx1"/>
                  </w14:solidFill>
                </w14:textFill>
              </w:rPr>
              <w:t>.26</w:t>
            </w:r>
          </w:p>
        </w:tc>
        <w:tc>
          <w:tcPr>
            <w:tcW w:w="2538"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24.8</w:t>
            </w:r>
          </w:p>
        </w:tc>
      </w:tr>
      <w:tr>
        <w:tblPrEx>
          <w:tblCellMar>
            <w:top w:w="0" w:type="dxa"/>
            <w:left w:w="0" w:type="dxa"/>
            <w:bottom w:w="0" w:type="dxa"/>
            <w:right w:w="0" w:type="dxa"/>
          </w:tblCellMar>
        </w:tblPrEx>
        <w:trPr>
          <w:trHeight w:val="425" w:hRule="atLeast"/>
          <w:jc w:val="center"/>
        </w:trPr>
        <w:tc>
          <w:tcPr>
            <w:tcW w:w="2361"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6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货邮吞吐量</w:t>
            </w:r>
          </w:p>
        </w:tc>
        <w:tc>
          <w:tcPr>
            <w:tcW w:w="1367" w:type="dxa"/>
            <w:tcBorders>
              <w:top w:val="nil"/>
              <w:left w:val="single" w:color="000000" w:sz="4" w:space="0"/>
              <w:bottom w:val="single" w:color="auto" w:sz="12"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454" w:type="dxa"/>
            <w:tcBorders>
              <w:top w:val="nil"/>
              <w:left w:val="nil"/>
              <w:bottom w:val="single" w:color="auto" w:sz="12" w:space="0"/>
              <w:right w:val="single" w:color="000000" w:sz="4" w:space="0"/>
            </w:tcBorders>
            <w:shd w:val="clear" w:color="auto" w:fill="auto"/>
            <w:tcMar>
              <w:top w:w="15" w:type="dxa"/>
              <w:left w:w="15" w:type="dxa"/>
              <w:right w:w="15" w:type="dxa"/>
            </w:tcMar>
            <w:vAlign w:val="bottom"/>
          </w:tcPr>
          <w:p>
            <w:pPr>
              <w:widowControl/>
              <w:spacing w:line="560" w:lineRule="exact"/>
              <w:jc w:val="right"/>
              <w:textAlignment w:val="bottom"/>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1337.4</w:t>
            </w:r>
            <w:r>
              <w:rPr>
                <w:rFonts w:hint="eastAsia" w:ascii="宋体" w:hAnsi="宋体" w:eastAsia="宋体" w:cs="宋体"/>
                <w:color w:val="000000" w:themeColor="text1"/>
                <w:kern w:val="0"/>
                <w:sz w:val="24"/>
                <w:lang w:bidi="ar"/>
                <w14:textFill>
                  <w14:solidFill>
                    <w14:schemeClr w14:val="tx1"/>
                  </w14:solidFill>
                </w14:textFill>
              </w:rPr>
              <w:t xml:space="preserve"> </w:t>
            </w:r>
          </w:p>
        </w:tc>
        <w:tc>
          <w:tcPr>
            <w:tcW w:w="2538"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142</w:t>
            </w:r>
          </w:p>
        </w:tc>
      </w:tr>
    </w:tbl>
    <w:p>
      <w:pPr>
        <w:spacing w:line="520" w:lineRule="exact"/>
        <w:ind w:firstLine="672" w:firstLineChars="200"/>
        <w:jc w:val="left"/>
        <w:rPr>
          <w:rStyle w:val="9"/>
          <w:rFonts w:ascii="黑体" w:hAnsi="黑体" w:eastAsia="黑体" w:cs="黑体"/>
          <w:b w:val="0"/>
          <w:color w:val="000000" w:themeColor="text1"/>
          <w:spacing w:val="8"/>
          <w:sz w:val="32"/>
          <w:szCs w:val="32"/>
          <w14:textFill>
            <w14:solidFill>
              <w14:schemeClr w14:val="tx1"/>
            </w14:solidFill>
          </w14:textFill>
        </w:rPr>
      </w:pPr>
      <w:r>
        <w:rPr>
          <w:rStyle w:val="9"/>
          <w:rFonts w:hint="eastAsia" w:ascii="黑体" w:hAnsi="黑体" w:eastAsia="黑体" w:cs="黑体"/>
          <w:b w:val="0"/>
          <w:color w:val="000000" w:themeColor="text1"/>
          <w:spacing w:val="8"/>
          <w:sz w:val="32"/>
          <w:szCs w:val="32"/>
          <w14:textFill>
            <w14:solidFill>
              <w14:schemeClr w14:val="tx1"/>
            </w14:solidFill>
          </w14:textFill>
        </w:rPr>
        <w:t>五、国内贸易</w:t>
      </w: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消费品市场较快恢复。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全年社会消费品零售总额</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128.69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%。按经营地统计，城镇消费品零售额</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115.82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亿元，增长1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%；乡村消费品零售额</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12.87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19.1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%。按消费类型统计，商品零售额</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109.47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%；餐饮收入额</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19.22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亿元，下降</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tabs>
          <w:tab w:val="left" w:pos="741"/>
        </w:tabs>
        <w:spacing w:line="52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drawing>
          <wp:anchor distT="0" distB="0" distL="114300" distR="114300" simplePos="0" relativeHeight="251663360" behindDoc="1" locked="0" layoutInCell="1" allowOverlap="1">
            <wp:simplePos x="0" y="0"/>
            <wp:positionH relativeFrom="column">
              <wp:posOffset>306705</wp:posOffset>
            </wp:positionH>
            <wp:positionV relativeFrom="paragraph">
              <wp:posOffset>266700</wp:posOffset>
            </wp:positionV>
            <wp:extent cx="4848225" cy="3333750"/>
            <wp:effectExtent l="0" t="0" r="0" b="0"/>
            <wp:wrapTight wrapText="bothSides">
              <wp:wrapPolygon>
                <wp:start x="0" y="0"/>
                <wp:lineTo x="0" y="21477"/>
                <wp:lineTo x="21473" y="21477"/>
                <wp:lineTo x="21473" y="0"/>
                <wp:lineTo x="0" y="0"/>
              </wp:wrapPolygon>
            </wp:wrapTight>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spacing w:line="520" w:lineRule="exact"/>
        <w:ind w:firstLine="672"/>
        <w:rPr>
          <w:rStyle w:val="9"/>
          <w:rFonts w:ascii="黑体" w:hAnsi="黑体" w:eastAsia="黑体" w:cs="黑体"/>
          <w:b w:val="0"/>
          <w:color w:val="000000" w:themeColor="text1"/>
          <w:spacing w:val="8"/>
          <w:sz w:val="32"/>
          <w:szCs w:val="32"/>
          <w14:textFill>
            <w14:solidFill>
              <w14:schemeClr w14:val="tx1"/>
            </w14:solidFill>
          </w14:textFill>
        </w:rPr>
      </w:pPr>
      <w:r>
        <w:rPr>
          <w:rStyle w:val="9"/>
          <w:rFonts w:hint="eastAsia" w:ascii="黑体" w:hAnsi="黑体" w:eastAsia="黑体" w:cs="黑体"/>
          <w:b w:val="0"/>
          <w:color w:val="000000" w:themeColor="text1"/>
          <w:spacing w:val="8"/>
          <w:sz w:val="32"/>
          <w:szCs w:val="32"/>
          <w14:textFill>
            <w14:solidFill>
              <w14:schemeClr w14:val="tx1"/>
            </w14:solidFill>
          </w14:textFill>
        </w:rPr>
        <w:t>六、固定资产投资</w:t>
      </w:r>
    </w:p>
    <w:p>
      <w:pPr>
        <w:tabs>
          <w:tab w:val="left" w:pos="741"/>
        </w:tabs>
        <w:spacing w:line="52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固定资产投资</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稳中趋缓</w:t>
      </w: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全年固定资产投资比上年增长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%。其中，房地产开发投资下降3</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%，非房地产开发投资增长21.5%。分产业看，第一产业投资增长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%；第二产业投资增长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10.8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%；第三产业投资增长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87.5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%。（全年固定资产投资情况见表5）。全年中央投资项目</w:t>
      </w:r>
      <w:r>
        <w:rPr>
          <w:rFonts w:ascii="仿宋_GB2312" w:hAnsi="仿宋_GB2312" w:eastAsia="仿宋_GB2312" w:cs="仿宋_GB2312"/>
          <w:color w:val="000000" w:themeColor="text1"/>
          <w:sz w:val="32"/>
          <w:szCs w:val="32"/>
          <w:shd w:val="clear" w:color="auto" w:fill="FFFFFF"/>
          <w14:textFill>
            <w14:solidFill>
              <w14:schemeClr w14:val="tx1"/>
            </w14:solidFill>
          </w14:textFill>
        </w:rPr>
        <w:t>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个，完成投资占年度投资计划的</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%；省重点项目</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个，完成投资占年度投资计划的</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107.6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%；市重点项目</w:t>
      </w:r>
      <w:r>
        <w:rPr>
          <w:rFonts w:ascii="仿宋_GB2312" w:hAnsi="仿宋_GB2312" w:eastAsia="仿宋_GB2312" w:cs="仿宋_GB2312"/>
          <w:color w:val="000000" w:themeColor="text1"/>
          <w:sz w:val="32"/>
          <w:szCs w:val="32"/>
          <w:shd w:val="clear" w:color="auto" w:fill="FFFFFF"/>
          <w14:textFill>
            <w14:solidFill>
              <w14:schemeClr w14:val="tx1"/>
            </w14:solidFill>
          </w14:textFill>
        </w:rPr>
        <w:t>86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个，完成投资占年度投资计划的</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103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tabs>
          <w:tab w:val="left" w:pos="741"/>
        </w:tabs>
        <w:spacing w:line="520" w:lineRule="exact"/>
        <w:ind w:firstLine="643" w:firstLineChars="200"/>
        <w:rPr>
          <w:rFonts w:ascii="仿宋_GB2312" w:hAnsi="仿宋_GB2312" w:eastAsia="仿宋_GB2312" w:cs="仿宋_GB2312"/>
          <w:color w:val="FF0000"/>
          <w:sz w:val="32"/>
          <w:szCs w:val="32"/>
          <w:shd w:val="clear" w:color="auto" w:fill="FFFFFF"/>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房地产市场稳中趋缓。</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全年房地产开发投资</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56.85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亿元，比上年下降</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%。其中住宅类投资</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44.5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%；非住宅类投资</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12.35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亿元，下降5</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%。房地产项目房屋施工面积</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326.65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万平方米，比上年增长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%。房屋销售面积</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34.81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万平方米，比上年增长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12.6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%；房屋销售额</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49.2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tabs>
          <w:tab w:val="left" w:pos="741"/>
        </w:tabs>
        <w:spacing w:line="52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tbl>
      <w:tblPr>
        <w:tblStyle w:val="7"/>
        <w:tblpPr w:leftFromText="180" w:rightFromText="180" w:vertAnchor="text" w:horzAnchor="page" w:tblpXSpec="center" w:tblpY="121"/>
        <w:tblOverlap w:val="never"/>
        <w:tblW w:w="8560" w:type="dxa"/>
        <w:jc w:val="center"/>
        <w:tblLayout w:type="fixed"/>
        <w:tblCellMar>
          <w:top w:w="0" w:type="dxa"/>
          <w:left w:w="0" w:type="dxa"/>
          <w:bottom w:w="0" w:type="dxa"/>
          <w:right w:w="0" w:type="dxa"/>
        </w:tblCellMar>
      </w:tblPr>
      <w:tblGrid>
        <w:gridCol w:w="2694"/>
        <w:gridCol w:w="1323"/>
        <w:gridCol w:w="3217"/>
        <w:gridCol w:w="1326"/>
      </w:tblGrid>
      <w:tr>
        <w:tblPrEx>
          <w:tblCellMar>
            <w:top w:w="0" w:type="dxa"/>
            <w:left w:w="0" w:type="dxa"/>
            <w:bottom w:w="0" w:type="dxa"/>
            <w:right w:w="0" w:type="dxa"/>
          </w:tblCellMar>
        </w:tblPrEx>
        <w:trPr>
          <w:trHeight w:val="637" w:hRule="atLeast"/>
          <w:jc w:val="center"/>
        </w:trPr>
        <w:tc>
          <w:tcPr>
            <w:tcW w:w="8560" w:type="dxa"/>
            <w:gridSpan w:val="4"/>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黑体" w:hAnsi="黑体" w:eastAsia="黑体" w:cs="黑体"/>
                <w:color w:val="000000" w:themeColor="text1"/>
                <w:kern w:val="0"/>
                <w:sz w:val="30"/>
                <w:szCs w:val="30"/>
                <w:lang w:bidi="ar"/>
                <w14:textFill>
                  <w14:solidFill>
                    <w14:schemeClr w14:val="tx1"/>
                  </w14:solidFill>
                </w14:textFill>
              </w:rPr>
              <w:t>表</w:t>
            </w:r>
            <w:r>
              <w:rPr>
                <w:rFonts w:ascii="黑体" w:hAnsi="黑体" w:eastAsia="黑体" w:cs="黑体"/>
                <w:color w:val="000000" w:themeColor="text1"/>
                <w:kern w:val="0"/>
                <w:sz w:val="30"/>
                <w:szCs w:val="30"/>
                <w:lang w:bidi="ar"/>
                <w14:textFill>
                  <w14:solidFill>
                    <w14:schemeClr w14:val="tx1"/>
                  </w14:solidFill>
                </w14:textFill>
              </w:rPr>
              <w:t>4</w:t>
            </w:r>
            <w:r>
              <w:rPr>
                <w:rFonts w:hint="eastAsia" w:ascii="黑体" w:hAnsi="黑体" w:eastAsia="黑体" w:cs="黑体"/>
                <w:color w:val="000000" w:themeColor="text1"/>
                <w:kern w:val="0"/>
                <w:sz w:val="30"/>
                <w:szCs w:val="30"/>
                <w:lang w:bidi="ar"/>
                <w14:textFill>
                  <w14:solidFill>
                    <w14:schemeClr w14:val="tx1"/>
                  </w14:solidFill>
                </w14:textFill>
              </w:rPr>
              <w:t xml:space="preserve">  202</w:t>
            </w:r>
            <w:r>
              <w:rPr>
                <w:rFonts w:ascii="黑体" w:hAnsi="黑体" w:eastAsia="黑体" w:cs="黑体"/>
                <w:color w:val="000000" w:themeColor="text1"/>
                <w:kern w:val="0"/>
                <w:sz w:val="30"/>
                <w:szCs w:val="30"/>
                <w:lang w:bidi="ar"/>
                <w14:textFill>
                  <w14:solidFill>
                    <w14:schemeClr w14:val="tx1"/>
                  </w14:solidFill>
                </w14:textFill>
              </w:rPr>
              <w:t>1</w:t>
            </w:r>
            <w:r>
              <w:rPr>
                <w:rFonts w:hint="eastAsia" w:ascii="黑体" w:hAnsi="黑体" w:eastAsia="黑体" w:cs="黑体"/>
                <w:color w:val="000000" w:themeColor="text1"/>
                <w:kern w:val="0"/>
                <w:sz w:val="30"/>
                <w:szCs w:val="30"/>
                <w:lang w:bidi="ar"/>
                <w14:textFill>
                  <w14:solidFill>
                    <w14:schemeClr w14:val="tx1"/>
                  </w14:solidFill>
                </w14:textFill>
              </w:rPr>
              <w:t>年分行业固定资产投资(不含农户)增长速度</w:t>
            </w:r>
          </w:p>
        </w:tc>
      </w:tr>
      <w:tr>
        <w:tblPrEx>
          <w:tblCellMar>
            <w:top w:w="0" w:type="dxa"/>
            <w:left w:w="0" w:type="dxa"/>
            <w:bottom w:w="0" w:type="dxa"/>
            <w:right w:w="0" w:type="dxa"/>
          </w:tblCellMar>
        </w:tblPrEx>
        <w:trPr>
          <w:trHeight w:val="978" w:hRule="atLeast"/>
          <w:jc w:val="center"/>
        </w:trPr>
        <w:tc>
          <w:tcPr>
            <w:tcW w:w="2694" w:type="dxa"/>
            <w:tcBorders>
              <w:top w:val="single" w:color="auto" w:sz="12" w:space="0"/>
              <w:left w:val="nil"/>
              <w:bottom w:val="single" w:color="000000" w:sz="4" w:space="0"/>
              <w:right w:val="nil"/>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行业</w:t>
            </w:r>
          </w:p>
        </w:tc>
        <w:tc>
          <w:tcPr>
            <w:tcW w:w="1323" w:type="dxa"/>
            <w:tcBorders>
              <w:top w:val="single" w:color="auto"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比上年增长</w:t>
            </w:r>
            <w:r>
              <w:rPr>
                <w:rFonts w:hint="eastAsia" w:ascii="宋体" w:hAnsi="宋体" w:eastAsia="宋体" w:cs="宋体"/>
                <w:b/>
                <w:color w:val="000000" w:themeColor="text1"/>
                <w:kern w:val="0"/>
                <w:sz w:val="24"/>
                <w:lang w:bidi="ar"/>
                <w14:textFill>
                  <w14:solidFill>
                    <w14:schemeClr w14:val="tx1"/>
                  </w14:solidFill>
                </w14:textFill>
              </w:rPr>
              <w:br w:type="textWrapping"/>
            </w:r>
            <w:r>
              <w:rPr>
                <w:rFonts w:hint="eastAsia" w:ascii="宋体" w:hAnsi="宋体" w:eastAsia="宋体" w:cs="宋体"/>
                <w:b/>
                <w:color w:val="000000" w:themeColor="text1"/>
                <w:kern w:val="0"/>
                <w:sz w:val="24"/>
                <w:lang w:bidi="ar"/>
                <w14:textFill>
                  <w14:solidFill>
                    <w14:schemeClr w14:val="tx1"/>
                  </w14:solidFill>
                </w14:textFill>
              </w:rPr>
              <w:t>（%）</w:t>
            </w:r>
          </w:p>
        </w:tc>
        <w:tc>
          <w:tcPr>
            <w:tcW w:w="3217" w:type="dxa"/>
            <w:tcBorders>
              <w:top w:val="single" w:color="auto"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行业</w:t>
            </w:r>
          </w:p>
        </w:tc>
        <w:tc>
          <w:tcPr>
            <w:tcW w:w="1326" w:type="dxa"/>
            <w:tcBorders>
              <w:top w:val="single" w:color="auto" w:sz="12" w:space="0"/>
              <w:left w:val="single" w:color="000000" w:sz="4" w:space="0"/>
              <w:bottom w:val="nil"/>
              <w:right w:val="nil"/>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比上年增长</w:t>
            </w:r>
            <w:r>
              <w:rPr>
                <w:rFonts w:hint="eastAsia" w:ascii="宋体" w:hAnsi="宋体" w:eastAsia="宋体" w:cs="宋体"/>
                <w:b/>
                <w:color w:val="000000" w:themeColor="text1"/>
                <w:kern w:val="0"/>
                <w:sz w:val="24"/>
                <w:lang w:bidi="ar"/>
                <w14:textFill>
                  <w14:solidFill>
                    <w14:schemeClr w14:val="tx1"/>
                  </w14:solidFill>
                </w14:textFill>
              </w:rPr>
              <w:br w:type="textWrapping"/>
            </w:r>
            <w:r>
              <w:rPr>
                <w:rFonts w:hint="eastAsia" w:ascii="宋体" w:hAnsi="宋体" w:eastAsia="宋体" w:cs="宋体"/>
                <w:b/>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336" w:hRule="atLeast"/>
          <w:jc w:val="center"/>
        </w:trPr>
        <w:tc>
          <w:tcPr>
            <w:tcW w:w="2694"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总计</w:t>
            </w:r>
          </w:p>
        </w:tc>
        <w:tc>
          <w:tcPr>
            <w:tcW w:w="1323"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5.2</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住宿和餐饮业</w:t>
            </w:r>
          </w:p>
        </w:tc>
        <w:tc>
          <w:tcPr>
            <w:tcW w:w="132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-40.4</w:t>
            </w:r>
          </w:p>
        </w:tc>
      </w:tr>
      <w:tr>
        <w:tblPrEx>
          <w:tblCellMar>
            <w:top w:w="0" w:type="dxa"/>
            <w:left w:w="0" w:type="dxa"/>
            <w:bottom w:w="0" w:type="dxa"/>
            <w:right w:w="0" w:type="dxa"/>
          </w:tblCellMar>
        </w:tblPrEx>
        <w:trPr>
          <w:trHeight w:val="326" w:hRule="atLeast"/>
          <w:jc w:val="center"/>
        </w:trPr>
        <w:tc>
          <w:tcPr>
            <w:tcW w:w="2694"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农林牧渔业</w:t>
            </w:r>
          </w:p>
        </w:tc>
        <w:tc>
          <w:tcPr>
            <w:tcW w:w="1323"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109</w:t>
            </w:r>
            <w:r>
              <w:rPr>
                <w:rFonts w:hint="eastAsia" w:ascii="宋体" w:hAnsi="宋体" w:eastAsia="宋体" w:cs="宋体"/>
                <w:color w:val="000000" w:themeColor="text1"/>
                <w:kern w:val="0"/>
                <w:sz w:val="24"/>
                <w:lang w:bidi="ar"/>
                <w14:textFill>
                  <w14:solidFill>
                    <w14:schemeClr w14:val="tx1"/>
                  </w14:solidFill>
                </w14:textFill>
              </w:rPr>
              <w:t>.8</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金融业</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326" w:hRule="atLeast"/>
          <w:jc w:val="center"/>
        </w:trPr>
        <w:tc>
          <w:tcPr>
            <w:tcW w:w="2694"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采矿业</w:t>
            </w:r>
          </w:p>
        </w:tc>
        <w:tc>
          <w:tcPr>
            <w:tcW w:w="1323"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房地产业</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-2.2</w:t>
            </w:r>
          </w:p>
        </w:tc>
      </w:tr>
      <w:tr>
        <w:tblPrEx>
          <w:tblCellMar>
            <w:top w:w="0" w:type="dxa"/>
            <w:left w:w="0" w:type="dxa"/>
            <w:bottom w:w="0" w:type="dxa"/>
            <w:right w:w="0" w:type="dxa"/>
          </w:tblCellMar>
        </w:tblPrEx>
        <w:trPr>
          <w:trHeight w:val="326" w:hRule="atLeast"/>
          <w:jc w:val="center"/>
        </w:trPr>
        <w:tc>
          <w:tcPr>
            <w:tcW w:w="2694"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制造业</w:t>
            </w:r>
          </w:p>
        </w:tc>
        <w:tc>
          <w:tcPr>
            <w:tcW w:w="1323"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66.7</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租赁和商务服务业</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24</w:t>
            </w:r>
          </w:p>
        </w:tc>
      </w:tr>
      <w:tr>
        <w:tblPrEx>
          <w:tblCellMar>
            <w:top w:w="0" w:type="dxa"/>
            <w:left w:w="0" w:type="dxa"/>
            <w:bottom w:w="0" w:type="dxa"/>
            <w:right w:w="0" w:type="dxa"/>
          </w:tblCellMar>
        </w:tblPrEx>
        <w:trPr>
          <w:trHeight w:val="326" w:hRule="atLeast"/>
          <w:jc w:val="center"/>
        </w:trPr>
        <w:tc>
          <w:tcPr>
            <w:tcW w:w="2694" w:type="dxa"/>
            <w:vMerge w:val="restart"/>
            <w:tcBorders>
              <w:top w:val="nil"/>
              <w:left w:val="nil"/>
              <w:bottom w:val="nil"/>
              <w:right w:val="nil"/>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电力、燃气及水的生产和供应业</w:t>
            </w:r>
          </w:p>
        </w:tc>
        <w:tc>
          <w:tcPr>
            <w:tcW w:w="1323"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-22.9</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科学研究和技术服务业</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115.2</w:t>
            </w:r>
          </w:p>
        </w:tc>
      </w:tr>
      <w:tr>
        <w:tblPrEx>
          <w:tblCellMar>
            <w:top w:w="0" w:type="dxa"/>
            <w:left w:w="0" w:type="dxa"/>
            <w:bottom w:w="0" w:type="dxa"/>
            <w:right w:w="0" w:type="dxa"/>
          </w:tblCellMar>
        </w:tblPrEx>
        <w:trPr>
          <w:trHeight w:val="637" w:hRule="atLeast"/>
          <w:jc w:val="center"/>
        </w:trPr>
        <w:tc>
          <w:tcPr>
            <w:tcW w:w="2694" w:type="dxa"/>
            <w:vMerge w:val="continue"/>
            <w:tcBorders>
              <w:top w:val="nil"/>
              <w:left w:val="nil"/>
              <w:bottom w:val="nil"/>
              <w:right w:val="nil"/>
            </w:tcBorders>
            <w:shd w:val="clear" w:color="auto" w:fill="auto"/>
            <w:tcMar>
              <w:top w:w="15" w:type="dxa"/>
              <w:left w:w="15" w:type="dxa"/>
              <w:right w:w="15" w:type="dxa"/>
            </w:tcMar>
            <w:vAlign w:val="center"/>
          </w:tcPr>
          <w:p>
            <w:pPr>
              <w:spacing w:line="320" w:lineRule="exact"/>
              <w:jc w:val="left"/>
              <w:rPr>
                <w:rFonts w:ascii="宋体" w:hAnsi="宋体" w:eastAsia="宋体" w:cs="宋体"/>
                <w:color w:val="000000" w:themeColor="text1"/>
                <w:sz w:val="24"/>
                <w14:textFill>
                  <w14:solidFill>
                    <w14:schemeClr w14:val="tx1"/>
                  </w14:solidFill>
                </w14:textFill>
              </w:rPr>
            </w:pPr>
          </w:p>
        </w:tc>
        <w:tc>
          <w:tcPr>
            <w:tcW w:w="1323"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320" w:lineRule="exact"/>
              <w:jc w:val="right"/>
              <w:rPr>
                <w:rFonts w:ascii="宋体" w:hAnsi="宋体" w:eastAsia="宋体" w:cs="宋体"/>
                <w:color w:val="000000" w:themeColor="text1"/>
                <w:sz w:val="24"/>
                <w14:textFill>
                  <w14:solidFill>
                    <w14:schemeClr w14:val="tx1"/>
                  </w14:solidFill>
                </w14:textFill>
              </w:rPr>
            </w:pP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水利、环境和公共设施管理业</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63.8</w:t>
            </w:r>
          </w:p>
        </w:tc>
      </w:tr>
      <w:tr>
        <w:tblPrEx>
          <w:tblCellMar>
            <w:top w:w="0" w:type="dxa"/>
            <w:left w:w="0" w:type="dxa"/>
            <w:bottom w:w="0" w:type="dxa"/>
            <w:right w:w="0" w:type="dxa"/>
          </w:tblCellMar>
        </w:tblPrEx>
        <w:trPr>
          <w:trHeight w:val="326" w:hRule="atLeast"/>
          <w:jc w:val="center"/>
        </w:trPr>
        <w:tc>
          <w:tcPr>
            <w:tcW w:w="2694"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建筑业</w:t>
            </w:r>
          </w:p>
        </w:tc>
        <w:tc>
          <w:tcPr>
            <w:tcW w:w="1323"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344.6</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居民服务和其他服务业</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326" w:hRule="atLeast"/>
          <w:jc w:val="center"/>
        </w:trPr>
        <w:tc>
          <w:tcPr>
            <w:tcW w:w="2694" w:type="dxa"/>
            <w:vMerge w:val="restart"/>
            <w:tcBorders>
              <w:top w:val="nil"/>
              <w:left w:val="nil"/>
              <w:bottom w:val="nil"/>
              <w:right w:val="nil"/>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交通运输、仓储和邮政业</w:t>
            </w:r>
          </w:p>
        </w:tc>
        <w:tc>
          <w:tcPr>
            <w:tcW w:w="1323"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r>
              <w:rPr>
                <w:rFonts w:ascii="宋体" w:hAnsi="宋体" w:eastAsia="宋体" w:cs="宋体"/>
                <w:color w:val="000000" w:themeColor="text1"/>
                <w:kern w:val="0"/>
                <w:sz w:val="24"/>
                <w:lang w:bidi="ar"/>
                <w14:textFill>
                  <w14:solidFill>
                    <w14:schemeClr w14:val="tx1"/>
                  </w14:solidFill>
                </w14:textFill>
              </w:rPr>
              <w:t>54.8</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教育</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84</w:t>
            </w:r>
          </w:p>
        </w:tc>
      </w:tr>
      <w:tr>
        <w:tblPrEx>
          <w:tblCellMar>
            <w:top w:w="0" w:type="dxa"/>
            <w:left w:w="0" w:type="dxa"/>
            <w:bottom w:w="0" w:type="dxa"/>
            <w:right w:w="0" w:type="dxa"/>
          </w:tblCellMar>
        </w:tblPrEx>
        <w:trPr>
          <w:trHeight w:val="326" w:hRule="atLeast"/>
          <w:jc w:val="center"/>
        </w:trPr>
        <w:tc>
          <w:tcPr>
            <w:tcW w:w="2694" w:type="dxa"/>
            <w:vMerge w:val="continue"/>
            <w:tcBorders>
              <w:top w:val="nil"/>
              <w:left w:val="nil"/>
              <w:bottom w:val="nil"/>
              <w:right w:val="nil"/>
            </w:tcBorders>
            <w:shd w:val="clear" w:color="auto" w:fill="auto"/>
            <w:tcMar>
              <w:top w:w="15" w:type="dxa"/>
              <w:left w:w="15" w:type="dxa"/>
              <w:right w:w="15" w:type="dxa"/>
            </w:tcMar>
            <w:vAlign w:val="center"/>
          </w:tcPr>
          <w:p>
            <w:pPr>
              <w:spacing w:line="320" w:lineRule="exact"/>
              <w:jc w:val="left"/>
              <w:rPr>
                <w:rFonts w:ascii="宋体" w:hAnsi="宋体" w:eastAsia="宋体" w:cs="宋体"/>
                <w:color w:val="000000" w:themeColor="text1"/>
                <w:sz w:val="24"/>
                <w14:textFill>
                  <w14:solidFill>
                    <w14:schemeClr w14:val="tx1"/>
                  </w14:solidFill>
                </w14:textFill>
              </w:rPr>
            </w:pPr>
          </w:p>
        </w:tc>
        <w:tc>
          <w:tcPr>
            <w:tcW w:w="1323"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320" w:lineRule="exact"/>
              <w:jc w:val="right"/>
              <w:rPr>
                <w:rFonts w:ascii="宋体" w:hAnsi="宋体" w:eastAsia="宋体" w:cs="宋体"/>
                <w:color w:val="000000" w:themeColor="text1"/>
                <w:sz w:val="24"/>
                <w14:textFill>
                  <w14:solidFill>
                    <w14:schemeClr w14:val="tx1"/>
                  </w14:solidFill>
                </w14:textFill>
              </w:rPr>
            </w:pP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卫生和社会工作</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27.2</w:t>
            </w:r>
          </w:p>
        </w:tc>
      </w:tr>
      <w:tr>
        <w:tblPrEx>
          <w:tblCellMar>
            <w:top w:w="0" w:type="dxa"/>
            <w:left w:w="0" w:type="dxa"/>
            <w:bottom w:w="0" w:type="dxa"/>
            <w:right w:w="0" w:type="dxa"/>
          </w:tblCellMar>
        </w:tblPrEx>
        <w:trPr>
          <w:trHeight w:val="326" w:hRule="atLeast"/>
          <w:jc w:val="center"/>
        </w:trPr>
        <w:tc>
          <w:tcPr>
            <w:tcW w:w="2694" w:type="dxa"/>
            <w:vMerge w:val="restart"/>
            <w:tcBorders>
              <w:top w:val="nil"/>
              <w:left w:val="nil"/>
              <w:bottom w:val="nil"/>
              <w:right w:val="nil"/>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信息传输、计算机服务和软件业</w:t>
            </w:r>
          </w:p>
        </w:tc>
        <w:tc>
          <w:tcPr>
            <w:tcW w:w="1323"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0.8</w:t>
            </w: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文化、体育和娱乐业</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42.1</w:t>
            </w:r>
          </w:p>
        </w:tc>
      </w:tr>
      <w:tr>
        <w:tblPrEx>
          <w:tblCellMar>
            <w:top w:w="0" w:type="dxa"/>
            <w:left w:w="0" w:type="dxa"/>
            <w:bottom w:w="0" w:type="dxa"/>
            <w:right w:w="0" w:type="dxa"/>
          </w:tblCellMar>
        </w:tblPrEx>
        <w:trPr>
          <w:trHeight w:val="326" w:hRule="atLeast"/>
          <w:jc w:val="center"/>
        </w:trPr>
        <w:tc>
          <w:tcPr>
            <w:tcW w:w="2694" w:type="dxa"/>
            <w:vMerge w:val="continue"/>
            <w:tcBorders>
              <w:top w:val="nil"/>
              <w:left w:val="nil"/>
              <w:bottom w:val="nil"/>
              <w:right w:val="nil"/>
            </w:tcBorders>
            <w:shd w:val="clear" w:color="auto" w:fill="auto"/>
            <w:tcMar>
              <w:top w:w="15" w:type="dxa"/>
              <w:left w:w="15" w:type="dxa"/>
              <w:right w:w="15" w:type="dxa"/>
            </w:tcMar>
            <w:vAlign w:val="center"/>
          </w:tcPr>
          <w:p>
            <w:pPr>
              <w:spacing w:line="320" w:lineRule="exact"/>
              <w:jc w:val="left"/>
              <w:rPr>
                <w:rFonts w:ascii="宋体" w:hAnsi="宋体" w:eastAsia="宋体" w:cs="宋体"/>
                <w:color w:val="000000" w:themeColor="text1"/>
                <w:sz w:val="24"/>
                <w14:textFill>
                  <w14:solidFill>
                    <w14:schemeClr w14:val="tx1"/>
                  </w14:solidFill>
                </w14:textFill>
              </w:rPr>
            </w:pPr>
          </w:p>
        </w:tc>
        <w:tc>
          <w:tcPr>
            <w:tcW w:w="1323"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320" w:lineRule="exact"/>
              <w:jc w:val="right"/>
              <w:rPr>
                <w:rFonts w:ascii="宋体" w:hAnsi="宋体" w:eastAsia="宋体" w:cs="宋体"/>
                <w:color w:val="000000" w:themeColor="text1"/>
                <w:sz w:val="24"/>
                <w14:textFill>
                  <w14:solidFill>
                    <w14:schemeClr w14:val="tx1"/>
                  </w14:solidFill>
                </w14:textFill>
              </w:rPr>
            </w:pPr>
          </w:p>
        </w:tc>
        <w:tc>
          <w:tcPr>
            <w:tcW w:w="3217" w:type="dxa"/>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公共管理和社会组织</w:t>
            </w:r>
          </w:p>
        </w:tc>
        <w:tc>
          <w:tcPr>
            <w:tcW w:w="1326" w:type="dxa"/>
            <w:tcBorders>
              <w:top w:val="nil"/>
              <w:left w:val="single" w:color="000000" w:sz="4" w:space="0"/>
              <w:bottom w:val="nil"/>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356" w:hRule="atLeast"/>
          <w:jc w:val="center"/>
        </w:trPr>
        <w:tc>
          <w:tcPr>
            <w:tcW w:w="2694"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批发和零售业</w:t>
            </w:r>
          </w:p>
        </w:tc>
        <w:tc>
          <w:tcPr>
            <w:tcW w:w="1323" w:type="dxa"/>
            <w:tcBorders>
              <w:top w:val="nil"/>
              <w:left w:val="single" w:color="000000" w:sz="4" w:space="0"/>
              <w:bottom w:val="single" w:color="auto" w:sz="12" w:space="0"/>
              <w:right w:val="single" w:color="000000" w:sz="4" w:space="0"/>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kern w:val="0"/>
                <w:sz w:val="24"/>
                <w:lang w:bidi="ar"/>
                <w14:textFill>
                  <w14:solidFill>
                    <w14:schemeClr w14:val="tx1"/>
                  </w14:solidFill>
                </w14:textFill>
              </w:rPr>
              <w:t>-51.6</w:t>
            </w:r>
          </w:p>
        </w:tc>
        <w:tc>
          <w:tcPr>
            <w:tcW w:w="3217"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国际组织</w:t>
            </w:r>
          </w:p>
        </w:tc>
        <w:tc>
          <w:tcPr>
            <w:tcW w:w="1326" w:type="dxa"/>
            <w:tcBorders>
              <w:top w:val="nil"/>
              <w:left w:val="single" w:color="000000" w:sz="4" w:space="0"/>
              <w:bottom w:val="single" w:color="auto" w:sz="12" w:space="0"/>
              <w:right w:val="nil"/>
            </w:tcBorders>
            <w:shd w:val="clear" w:color="auto" w:fill="auto"/>
            <w:noWrap/>
            <w:tcMar>
              <w:top w:w="15" w:type="dxa"/>
              <w:left w:w="15" w:type="dxa"/>
              <w:right w:w="15" w:type="dxa"/>
            </w:tcMar>
            <w:vAlign w:val="center"/>
          </w:tcPr>
          <w:p>
            <w:pPr>
              <w:widowControl/>
              <w:spacing w:line="3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r>
    </w:tbl>
    <w:p>
      <w:pPr>
        <w:spacing w:line="520" w:lineRule="exact"/>
        <w:ind w:firstLine="672" w:firstLineChars="200"/>
        <w:jc w:val="left"/>
        <w:rPr>
          <w:rStyle w:val="9"/>
          <w:rFonts w:ascii="黑体" w:hAnsi="黑体" w:eastAsia="黑体" w:cs="黑体"/>
          <w:b w:val="0"/>
          <w:color w:val="000000" w:themeColor="text1"/>
          <w:spacing w:val="8"/>
          <w:sz w:val="32"/>
          <w:szCs w:val="32"/>
          <w14:textFill>
            <w14:solidFill>
              <w14:schemeClr w14:val="tx1"/>
            </w14:solidFill>
          </w14:textFill>
        </w:rPr>
      </w:pPr>
      <w:r>
        <w:rPr>
          <w:rFonts w:hint="eastAsia" w:ascii="黑体" w:hAnsi="黑体" w:eastAsia="黑体" w:cs="黑体"/>
          <w:color w:val="000000" w:themeColor="text1"/>
          <w:spacing w:val="8"/>
          <w:sz w:val="32"/>
          <w:szCs w:val="32"/>
          <w:shd w:val="clear" w:color="auto" w:fill="FFFFFF"/>
          <w14:textFill>
            <w14:solidFill>
              <w14:schemeClr w14:val="tx1"/>
            </w14:solidFill>
          </w14:textFill>
        </w:rPr>
        <w:t>七、</w:t>
      </w:r>
      <w:r>
        <w:rPr>
          <w:rStyle w:val="9"/>
          <w:rFonts w:hint="eastAsia" w:ascii="黑体" w:hAnsi="黑体" w:eastAsia="黑体" w:cs="黑体"/>
          <w:b w:val="0"/>
          <w:color w:val="000000" w:themeColor="text1"/>
          <w:spacing w:val="8"/>
          <w:sz w:val="32"/>
          <w:szCs w:val="32"/>
          <w14:textFill>
            <w14:solidFill>
              <w14:schemeClr w14:val="tx1"/>
            </w14:solidFill>
          </w14:textFill>
        </w:rPr>
        <w:t>对外经济</w:t>
      </w:r>
    </w:p>
    <w:p>
      <w:pPr>
        <w:tabs>
          <w:tab w:val="left" w:pos="741"/>
        </w:tabs>
        <w:spacing w:line="52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对外贸易保持较快发展。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全年货物进出口总额</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5695.06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万美元，比上年增长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111.54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%。其中，出口</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383.93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万美元，下降</w:t>
      </w:r>
      <w:r>
        <w:rPr>
          <w:rFonts w:ascii="仿宋_GB2312" w:hAnsi="仿宋_GB2312" w:eastAsia="仿宋_GB2312" w:cs="仿宋_GB2312"/>
          <w:color w:val="000000" w:themeColor="text1"/>
          <w:sz w:val="32"/>
          <w:szCs w:val="32"/>
          <w:shd w:val="clear" w:color="auto" w:fill="FFFFFF"/>
          <w14:textFill>
            <w14:solidFill>
              <w14:schemeClr w14:val="tx1"/>
            </w14:solidFill>
          </w14:textFill>
        </w:rPr>
        <w:t>0.63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%；进口</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5311.13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万美元，增长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130.33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%。货物进出口逆差</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4927.2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万美元。全年服务进出口总额</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1732.13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万美元，比上年增长3</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%。全年全市外商直接投资新设立企业</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家，实际使用外商直接投资金额</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930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万美元。</w:t>
      </w:r>
    </w:p>
    <w:p>
      <w:pPr>
        <w:spacing w:line="520" w:lineRule="exact"/>
        <w:ind w:firstLine="672" w:firstLineChars="200"/>
        <w:jc w:val="left"/>
        <w:rPr>
          <w:rStyle w:val="9"/>
          <w:rFonts w:ascii="黑体" w:hAnsi="黑体" w:eastAsia="黑体" w:cs="黑体"/>
          <w:b w:val="0"/>
          <w:color w:val="000000" w:themeColor="text1"/>
          <w:spacing w:val="8"/>
          <w:sz w:val="32"/>
          <w:szCs w:val="32"/>
          <w14:textFill>
            <w14:solidFill>
              <w14:schemeClr w14:val="tx1"/>
            </w14:solidFill>
          </w14:textFill>
        </w:rPr>
      </w:pPr>
      <w:r>
        <w:rPr>
          <w:rStyle w:val="9"/>
          <w:rFonts w:hint="eastAsia" w:ascii="黑体" w:hAnsi="黑体" w:eastAsia="黑体" w:cs="黑体"/>
          <w:b w:val="0"/>
          <w:color w:val="000000" w:themeColor="text1"/>
          <w:spacing w:val="8"/>
          <w:sz w:val="32"/>
          <w:szCs w:val="32"/>
          <w14:textFill>
            <w14:solidFill>
              <w14:schemeClr w14:val="tx1"/>
            </w14:solidFill>
          </w14:textFill>
        </w:rPr>
        <w:t>八、财政金融</w:t>
      </w:r>
    </w:p>
    <w:p>
      <w:pPr>
        <w:tabs>
          <w:tab w:val="left" w:pos="741"/>
        </w:tabs>
        <w:spacing w:line="52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财政收入放缓。</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全年全市地方一般公共预算收入</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12.81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亿元，比上年下降2</w:t>
      </w:r>
      <w:r>
        <w:rPr>
          <w:rFonts w:ascii="仿宋_GB2312" w:hAnsi="仿宋_GB2312" w:eastAsia="仿宋_GB2312" w:cs="仿宋_GB2312"/>
          <w:color w:val="000000" w:themeColor="text1"/>
          <w:sz w:val="32"/>
          <w:szCs w:val="32"/>
          <w:shd w:val="clear" w:color="auto" w:fill="FFFFFF"/>
          <w14:textFill>
            <w14:solidFill>
              <w14:schemeClr w14:val="tx1"/>
            </w14:solidFill>
          </w14:textFill>
        </w:rPr>
        <w:t>0.3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%。其中，税收收入</w:t>
      </w:r>
      <w:r>
        <w:rPr>
          <w:rFonts w:ascii="仿宋_GB2312" w:hAnsi="仿宋_GB2312" w:eastAsia="仿宋_GB2312" w:cs="仿宋_GB2312"/>
          <w:color w:val="000000" w:themeColor="text1"/>
          <w:sz w:val="32"/>
          <w:szCs w:val="32"/>
          <w:shd w:val="clear" w:color="auto" w:fill="FFFFFF"/>
          <w14:textFill>
            <w14:solidFill>
              <w14:schemeClr w14:val="tx1"/>
            </w14:solidFill>
          </w14:textFill>
        </w:rPr>
        <w:t>8.24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亿元，增长6%。全市地方一般公共预算支出</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49.64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亿元，比上年下降</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tabs>
          <w:tab w:val="left" w:pos="741"/>
        </w:tabs>
        <w:spacing w:line="52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金融存贷款规模扩大。</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年末全市金融机构本外币各项存款余额</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426.29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%。全部金融机构本外币各项贷款余额</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272.95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10.7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%。其中，住户贷款</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131.78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10.4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%；非金融企业及机关团体贷款</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140.89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亿元，增长1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w:t>
      </w:r>
    </w:p>
    <w:p>
      <w:pPr>
        <w:tabs>
          <w:tab w:val="left" w:pos="741"/>
        </w:tabs>
        <w:spacing w:line="52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年末全市金融机构资产总额</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489.66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%；金融机构负债总额</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478.89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%。全年金融机构利润总额</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4.73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57.2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%。银行不良贷款余额</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5.17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亿元，比上年减少1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%；不良贷款率</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1.89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%，比上年减少0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个百分点。</w:t>
      </w:r>
    </w:p>
    <w:p>
      <w:pPr>
        <w:tabs>
          <w:tab w:val="left" w:pos="741"/>
        </w:tabs>
        <w:spacing w:line="52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全年股票市价总值</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12.96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22.4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%；证券和期货交易</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425.72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亿元，比上年下降3</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tabs>
          <w:tab w:val="left" w:pos="741"/>
        </w:tabs>
        <w:spacing w:line="520" w:lineRule="exact"/>
        <w:ind w:firstLine="640" w:firstLineChars="200"/>
        <w:rPr>
          <w:color w:val="FF0000"/>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全年原保险保费收入</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4.72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亿元，比上年下降</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%。其中，财产险业务收入</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1.87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亿元，寿险收入</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1.86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亿元，健康险和意外险业务收入0.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亿元。支付各类赔款及给付1.5</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.6%。其中，财产险业务赔款1.1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亿元，寿险业务给付0.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亿元，健康险和意外伤害险业务赔款及给付0.1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亿元。</w:t>
      </w:r>
    </w:p>
    <w:p>
      <w:pPr>
        <w:spacing w:line="520" w:lineRule="exact"/>
        <w:ind w:firstLine="672" w:firstLineChars="200"/>
        <w:jc w:val="left"/>
        <w:rPr>
          <w:rStyle w:val="9"/>
          <w:rFonts w:ascii="黑体" w:hAnsi="黑体" w:eastAsia="黑体" w:cs="黑体"/>
          <w:b w:val="0"/>
          <w:color w:val="000000" w:themeColor="text1"/>
          <w:spacing w:val="8"/>
          <w:sz w:val="32"/>
          <w:szCs w:val="32"/>
          <w14:textFill>
            <w14:solidFill>
              <w14:schemeClr w14:val="tx1"/>
            </w14:solidFill>
          </w14:textFill>
        </w:rPr>
      </w:pPr>
      <w:r>
        <w:rPr>
          <w:rStyle w:val="9"/>
          <w:rFonts w:hint="eastAsia" w:ascii="黑体" w:hAnsi="黑体" w:eastAsia="黑体" w:cs="黑体"/>
          <w:b w:val="0"/>
          <w:color w:val="000000" w:themeColor="text1"/>
          <w:spacing w:val="8"/>
          <w:sz w:val="32"/>
          <w:szCs w:val="32"/>
          <w14:textFill>
            <w14:solidFill>
              <w14:schemeClr w14:val="tx1"/>
            </w14:solidFill>
          </w14:textFill>
        </w:rPr>
        <w:t>九、居民收入和社会保障</w:t>
      </w:r>
    </w:p>
    <w:p>
      <w:pPr>
        <w:tabs>
          <w:tab w:val="left" w:pos="741"/>
        </w:tabs>
        <w:spacing w:line="52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drawing>
          <wp:anchor distT="0" distB="0" distL="114300" distR="114300" simplePos="0" relativeHeight="251661312" behindDoc="1" locked="0" layoutInCell="1" allowOverlap="1">
            <wp:simplePos x="0" y="0"/>
            <wp:positionH relativeFrom="column">
              <wp:posOffset>87630</wp:posOffset>
            </wp:positionH>
            <wp:positionV relativeFrom="paragraph">
              <wp:posOffset>1334135</wp:posOffset>
            </wp:positionV>
            <wp:extent cx="5363210" cy="2924175"/>
            <wp:effectExtent l="0" t="0" r="8890" b="0"/>
            <wp:wrapTight wrapText="bothSides">
              <wp:wrapPolygon>
                <wp:start x="0" y="0"/>
                <wp:lineTo x="0" y="21389"/>
                <wp:lineTo x="21559" y="21389"/>
                <wp:lineTo x="21559" y="0"/>
                <wp:lineTo x="0" y="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居民收入稳定增长。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全年全市城乡居民人均可支配收入</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29241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%。按常住地分，城镇常住居民人均可支配收入</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39538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7.7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%；农村常住居民人均可支配收入</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20068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元，比上年增长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12.1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2"/>
        <w:spacing w:line="520" w:lineRule="exact"/>
        <w:ind w:firstLine="643"/>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社会保障体系更加健全。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年末全市参加城镇职工基本养老保险人数11.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%。参加城乡居民基本养老保险人数22.1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%。参加基本医疗保险人数49.</w:t>
      </w:r>
      <w:r>
        <w:rPr>
          <w:rFonts w:ascii="仿宋_GB2312" w:hAnsi="仿宋_GB2312" w:eastAsia="仿宋_GB2312" w:cs="仿宋_GB2312"/>
          <w:color w:val="000000" w:themeColor="text1"/>
          <w:sz w:val="32"/>
          <w:szCs w:val="32"/>
          <w:shd w:val="clear" w:color="auto" w:fill="FFFFFF"/>
          <w14:textFill>
            <w14:solidFill>
              <w14:schemeClr w14:val="tx1"/>
            </w14:solidFill>
          </w14:textFill>
        </w:rPr>
        <w:t>76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万人，比上年下降0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%。其中，参加职工基本医疗保险人数8.</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万人，下降2</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%；参加城乡居民基本医疗保险人数41.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万人，增长0.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%。参加失业保险人数6.</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%。参加工伤保险人数5.</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7.2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%。参加生育保险人数5.</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万人，比上年下降2</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%。年末全市共有13</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人享受城镇居民最低生活保障，8</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482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人享受农村居民最低生活保障，2</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403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人享受农村特困人员救助供养。全年临时救助</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6622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人次。全年资助</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39693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人参加基本医疗保险，直接医疗救助</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3.42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万人次。全年提供各类福利院床位数</w:t>
      </w:r>
      <w:r>
        <w:rPr>
          <w:rFonts w:ascii="仿宋_GB2312" w:hAnsi="仿宋_GB2312" w:eastAsia="仿宋_GB2312" w:cs="仿宋_GB2312"/>
          <w:color w:val="000000" w:themeColor="text1"/>
          <w:sz w:val="32"/>
          <w:szCs w:val="32"/>
          <w:shd w:val="clear" w:color="auto" w:fill="FFFFFF"/>
          <w14:textFill>
            <w14:solidFill>
              <w14:schemeClr w14:val="tx1"/>
            </w14:solidFill>
          </w14:textFill>
        </w:rPr>
        <w:t>702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张。全年销售社会福利彩票</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1412.54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万元，筹集社会福利彩票公益金</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452.09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万元，直接接收社会捐赠款</w:t>
      </w:r>
      <w:r>
        <w:rPr>
          <w:rFonts w:ascii="仿宋_GB2312" w:hAnsi="仿宋_GB2312" w:eastAsia="仿宋_GB2312" w:cs="仿宋_GB2312"/>
          <w:color w:val="000000" w:themeColor="text1"/>
          <w:sz w:val="32"/>
          <w:szCs w:val="32"/>
          <w:shd w:val="clear" w:color="auto" w:fill="FFFFFF"/>
          <w14:textFill>
            <w14:solidFill>
              <w14:schemeClr w14:val="tx1"/>
            </w14:solidFill>
          </w14:textFill>
        </w:rPr>
        <w:t>747.7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万元。全年抚恤、补助各类优抚对象</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2694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w:t>
      </w:r>
    </w:p>
    <w:p>
      <w:pPr>
        <w:tabs>
          <w:tab w:val="left" w:pos="741"/>
        </w:tabs>
        <w:spacing w:line="520" w:lineRule="exact"/>
        <w:ind w:firstLine="640" w:firstLineChars="200"/>
        <w:rPr>
          <w:rFonts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全年全市城镇保障性住房新开工</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1644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套，建设面积</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20.32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万平方米；城镇保障性住房建成</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125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套，建成面积</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1.66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万平方米。全年完成城镇老旧小区改造</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个。全年完成农村危房改造</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户。</w:t>
      </w:r>
    </w:p>
    <w:p>
      <w:pPr>
        <w:spacing w:line="520" w:lineRule="exact"/>
        <w:ind w:firstLine="672" w:firstLineChars="200"/>
        <w:jc w:val="left"/>
        <w:rPr>
          <w:rStyle w:val="9"/>
          <w:rFonts w:ascii="黑体" w:hAnsi="黑体" w:eastAsia="黑体" w:cs="黑体"/>
          <w:b w:val="0"/>
          <w:color w:val="000000" w:themeColor="text1"/>
          <w:spacing w:val="8"/>
          <w:sz w:val="32"/>
          <w:szCs w:val="32"/>
          <w14:textFill>
            <w14:solidFill>
              <w14:schemeClr w14:val="tx1"/>
            </w14:solidFill>
          </w14:textFill>
        </w:rPr>
      </w:pPr>
      <w:r>
        <w:rPr>
          <w:rStyle w:val="9"/>
          <w:rFonts w:hint="eastAsia" w:ascii="黑体" w:hAnsi="黑体" w:eastAsia="黑体" w:cs="黑体"/>
          <w:b w:val="0"/>
          <w:color w:val="000000" w:themeColor="text1"/>
          <w:spacing w:val="8"/>
          <w:sz w:val="32"/>
          <w:szCs w:val="32"/>
          <w14:textFill>
            <w14:solidFill>
              <w14:schemeClr w14:val="tx1"/>
            </w14:solidFill>
          </w14:textFill>
        </w:rPr>
        <w:t>十、科学技术和教育</w:t>
      </w:r>
    </w:p>
    <w:p>
      <w:pPr>
        <w:tabs>
          <w:tab w:val="left" w:pos="741"/>
        </w:tabs>
        <w:spacing w:line="52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科技创新能力不断增强。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全年全市共申请专利</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137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项，获得授权</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278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项，每万人发明专利拥有量0.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件。全年新增商标申请</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1281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件，比上年增长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43.12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%；商标有效注册</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4207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件，比上年增长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19.93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%。全年新登记市场主体1.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万户，比上年下降3</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5.96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%；年末市场主体总数达</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6.66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万户，比上年增长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14.87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tabs>
          <w:tab w:val="left" w:pos="741"/>
        </w:tabs>
        <w:spacing w:line="52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教育事业蓬勃发展。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年末普通高中</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所，专任教师0.0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12.5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%；招生0.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12.8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%；在校学生1.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%；毕业生0.3</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万人，下降</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%；高中毛入学率95%，与去年持平。中等职业教育学校</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所，招生0.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万人，下降</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%；在校学生0.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%。普通初中</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所，专任教师0.1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%；招生0.7</w:t>
      </w:r>
      <w:r>
        <w:rPr>
          <w:rFonts w:ascii="仿宋_GB2312" w:hAnsi="仿宋_GB2312" w:eastAsia="仿宋_GB2312" w:cs="仿宋_GB2312"/>
          <w:color w:val="000000" w:themeColor="text1"/>
          <w:sz w:val="32"/>
          <w:szCs w:val="32"/>
          <w:shd w:val="clear" w:color="auto" w:fill="FFFFFF"/>
          <w14:textFill>
            <w14:solidFill>
              <w14:schemeClr w14:val="tx1"/>
            </w14:solidFill>
          </w14:textFill>
        </w:rPr>
        <w:t>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万人，增长0.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%；在校学生2.2</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0.2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%；毕业生0.7</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%；初中毛入学率</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174.2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%，增长1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%。普通小学</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所，下降</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%；专任教师0.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11.8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%；招生0.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万人，增长1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%；在校学生4.4万人，下降</w:t>
      </w:r>
      <w:r>
        <w:rPr>
          <w:rFonts w:ascii="仿宋_GB2312" w:hAnsi="仿宋_GB2312" w:eastAsia="仿宋_GB2312" w:cs="仿宋_GB2312"/>
          <w:color w:val="000000" w:themeColor="text1"/>
          <w:sz w:val="32"/>
          <w:szCs w:val="32"/>
          <w:shd w:val="clear" w:color="auto" w:fill="FFFFFF"/>
          <w14:textFill>
            <w14:solidFill>
              <w14:schemeClr w14:val="tx1"/>
            </w14:solidFill>
          </w14:textFill>
        </w:rPr>
        <w:t>0.3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%；毕业生0.7</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万人，下降2</w:t>
      </w:r>
      <w:r>
        <w:rPr>
          <w:rFonts w:ascii="仿宋_GB2312" w:hAnsi="仿宋_GB2312" w:eastAsia="仿宋_GB2312" w:cs="仿宋_GB2312"/>
          <w:color w:val="000000" w:themeColor="text1"/>
          <w:sz w:val="32"/>
          <w:szCs w:val="32"/>
          <w:shd w:val="clear" w:color="auto" w:fill="FFFFFF"/>
          <w14:textFill>
            <w14:solidFill>
              <w14:schemeClr w14:val="tx1"/>
            </w14:solidFill>
          </w14:textFill>
        </w:rPr>
        <w:t>.7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%；小学净入学率100.0%，与上年持平。</w:t>
      </w:r>
    </w:p>
    <w:p>
      <w:pPr>
        <w:spacing w:line="520" w:lineRule="exact"/>
        <w:ind w:firstLine="672" w:firstLineChars="200"/>
        <w:jc w:val="left"/>
        <w:rPr>
          <w:rStyle w:val="9"/>
          <w:rFonts w:ascii="黑体" w:hAnsi="黑体" w:eastAsia="黑体" w:cs="黑体"/>
          <w:b w:val="0"/>
          <w:color w:val="000000" w:themeColor="text1"/>
          <w:spacing w:val="8"/>
          <w:sz w:val="32"/>
          <w:szCs w:val="32"/>
          <w14:textFill>
            <w14:solidFill>
              <w14:schemeClr w14:val="tx1"/>
            </w14:solidFill>
          </w14:textFill>
        </w:rPr>
      </w:pPr>
      <w:r>
        <w:rPr>
          <w:rStyle w:val="9"/>
          <w:rFonts w:hint="eastAsia" w:ascii="黑体" w:hAnsi="黑体" w:eastAsia="黑体" w:cs="黑体"/>
          <w:b w:val="0"/>
          <w:color w:val="000000" w:themeColor="text1"/>
          <w:spacing w:val="8"/>
          <w:sz w:val="32"/>
          <w:szCs w:val="32"/>
          <w14:textFill>
            <w14:solidFill>
              <w14:schemeClr w14:val="tx1"/>
            </w14:solidFill>
          </w14:textFill>
        </w:rPr>
        <w:t>十一、文化旅游、卫生健康和体育</w:t>
      </w:r>
    </w:p>
    <w:p>
      <w:pPr>
        <w:tabs>
          <w:tab w:val="left" w:pos="741"/>
        </w:tabs>
        <w:spacing w:line="52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公共文化服务水平不断提升。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年末全市共有各类艺术表演团体14个，文化艺术馆2个，公共图书馆</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个，博物馆2个。全市广播电视台1座，广播综合人口覆盖率和电视综合人口覆盖率分别达99.</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1%和99.</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%。有线电视用户</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4.56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万户。</w:t>
      </w:r>
    </w:p>
    <w:p>
      <w:pPr>
        <w:tabs>
          <w:tab w:val="left" w:pos="741"/>
        </w:tabs>
        <w:spacing w:line="52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持续推进文旅深度融合。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全年成功</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举办“邀你来过大年”</w:t>
      </w:r>
      <w:r>
        <w:rPr>
          <w:rFonts w:hint="eastAsia" w:ascii="仿宋_GB2312" w:hAnsi="仿宋_GB2312" w:eastAsia="仿宋_GB2312" w:cs="仿宋_GB2312"/>
          <w:color w:val="000000" w:themeColor="text1"/>
          <w:sz w:val="32"/>
          <w:szCs w:val="32"/>
          <w14:textFill>
            <w14:solidFill>
              <w14:schemeClr w14:val="tx1"/>
            </w14:solidFill>
          </w14:textFill>
        </w:rPr>
        <w:t>“全国风筝板冠军赛”</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庆祝</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红色娘子军成立90周年万人徒步活动”“中国旅游日系列活动”“520</w:t>
      </w:r>
      <w:r>
        <w:rPr>
          <w:rFonts w:hint="eastAsia" w:ascii="仿宋_GB2312" w:hAnsi="仿宋_GB2312" w:eastAsia="仿宋_GB2312" w:cs="仿宋_GB2312"/>
          <w:color w:val="000000" w:themeColor="text1"/>
          <w:sz w:val="32"/>
          <w:szCs w:val="32"/>
          <w14:textFill>
            <w14:solidFill>
              <w14:schemeClr w14:val="tx1"/>
            </w14:solidFill>
          </w14:textFill>
        </w:rPr>
        <w:t>婚庆旅游季”“庆祝建党100周年广场舞大赛”“</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博鳌端阳旅游文化节</w:t>
      </w:r>
      <w:r>
        <w:rPr>
          <w:rFonts w:hint="eastAsia" w:ascii="仿宋_GB2312" w:hAnsi="仿宋_GB2312" w:eastAsia="仿宋_GB2312" w:cs="仿宋_GB2312"/>
          <w:color w:val="000000" w:themeColor="text1"/>
          <w:sz w:val="32"/>
          <w:szCs w:val="32"/>
          <w14:textFill>
            <w14:solidFill>
              <w14:schemeClr w14:val="tx1"/>
            </w14:solidFill>
          </w14:textFill>
        </w:rPr>
        <w:t>”“潭门赶海节” “全民健身日”“</w:t>
      </w:r>
      <w:r>
        <w:rPr>
          <w:rFonts w:hint="eastAsia" w:ascii="仿宋_GB2312" w:hAnsi="仿宋_GB2312" w:eastAsia="仿宋_GB2312" w:cs="仿宋_GB2312"/>
          <w:color w:val="000000" w:themeColor="text1"/>
          <w:kern w:val="0"/>
          <w:sz w:val="32"/>
          <w:szCs w:val="32"/>
          <w14:textFill>
            <w14:solidFill>
              <w14:schemeClr w14:val="tx1"/>
            </w14:solidFill>
          </w14:textFill>
        </w:rPr>
        <w:t>篮球精英赛”</w:t>
      </w:r>
      <w:r>
        <w:rPr>
          <w:rFonts w:hint="eastAsia" w:ascii="仿宋_GB2312" w:hAnsi="仿宋_GB2312" w:eastAsia="仿宋_GB2312" w:cs="仿宋_GB2312"/>
          <w:color w:val="000000" w:themeColor="text1"/>
          <w:sz w:val="32"/>
          <w:szCs w:val="32"/>
          <w14:textFill>
            <w14:solidFill>
              <w14:schemeClr w14:val="tx1"/>
            </w14:solidFill>
          </w14:textFill>
        </w:rPr>
        <w:t>“海钓大赛”“全国滑水俱乐部巡回赛”“</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车辆模型公开赛</w:t>
      </w:r>
      <w:r>
        <w:rPr>
          <w:rFonts w:hint="eastAsia" w:ascii="仿宋_GB2312" w:hAnsi="仿宋_GB2312" w:eastAsia="仿宋_GB2312" w:cs="仿宋_GB2312"/>
          <w:color w:val="000000" w:themeColor="text1"/>
          <w:sz w:val="32"/>
          <w:szCs w:val="32"/>
          <w14:textFill>
            <w14:solidFill>
              <w14:schemeClr w14:val="tx1"/>
            </w14:solidFill>
          </w14:textFill>
        </w:rPr>
        <w:t>”“原创歌曲大赛”“欢乐节分会场系列活动”“官塘温泉消费季”等系列旅游文体活动，进一步释放消费潜力，擦亮琼海旅游文化体育新名片</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w:t>
      </w:r>
    </w:p>
    <w:p>
      <w:pPr>
        <w:tabs>
          <w:tab w:val="left" w:pos="741"/>
        </w:tabs>
        <w:spacing w:line="52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旅游业发展快速恢复。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强力打造旅游品牌。</w:t>
      </w:r>
      <w:r>
        <w:rPr>
          <w:rFonts w:hint="eastAsia" w:ascii="仿宋_GB2312" w:hAnsi="仿宋_GB2312" w:eastAsia="仿宋_GB2312" w:cs="仿宋_GB2312"/>
          <w:color w:val="000000" w:themeColor="text1"/>
          <w:sz w:val="32"/>
          <w:szCs w:val="32"/>
          <w14:textFill>
            <w14:solidFill>
              <w14:schemeClr w14:val="tx1"/>
            </w14:solidFill>
          </w14:textFill>
        </w:rPr>
        <w:t>龙寿洋乡村生态旅游区成功创建国家3A级旅游景区，博鳌蛇博园成功创建2A级旅游景区；潭门镇成功创建海南省特色旅游小镇；博鳌镇和博鳌留客村分别获评全国乡村旅游重点镇和重点村；博鳌镇路坡居室民宿获评省级金宿，潭门镇渔生乐余民宿和伴夏见云海民宿获评省级银宿，潭门无所归止民宿更是获评全国最高等级的甲级旅游民宿。目前，我市共有国家A级旅游景区10个，旅游度假区1个、椰级乡村点11个、全国乡村旅游重点镇1个、重点村4个、省级旅游小镇2个、全国甲级民宿1个、省级金银民宿6个。全年接待游客</w:t>
      </w:r>
      <w:r>
        <w:rPr>
          <w:rFonts w:ascii="仿宋_GB2312" w:hAnsi="仿宋_GB2312" w:eastAsia="仿宋_GB2312" w:cs="仿宋_GB2312"/>
          <w:color w:val="000000" w:themeColor="text1"/>
          <w:sz w:val="32"/>
          <w:szCs w:val="32"/>
          <w14:textFill>
            <w14:solidFill>
              <w14:schemeClr w14:val="tx1"/>
            </w14:solidFill>
          </w14:textFill>
        </w:rPr>
        <w:t>82</w:t>
      </w:r>
      <w:r>
        <w:rPr>
          <w:rFonts w:hint="default" w:ascii="仿宋_GB2312" w:hAnsi="仿宋_GB2312" w:eastAsia="仿宋_GB2312" w:cs="仿宋_GB2312"/>
          <w:color w:val="000000" w:themeColor="text1"/>
          <w:sz w:val="32"/>
          <w:szCs w:val="32"/>
          <w:lang w:val="en-US"/>
          <w14:textFill>
            <w14:solidFill>
              <w14:schemeClr w14:val="tx1"/>
            </w14:solidFill>
          </w14:textFill>
        </w:rPr>
        <w:t>0</w:t>
      </w:r>
      <w:r>
        <w:rPr>
          <w:rFonts w:ascii="仿宋_GB2312" w:hAnsi="仿宋_GB2312"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万人次，比上年增长9</w:t>
      </w:r>
      <w:r>
        <w:rPr>
          <w:rFonts w:ascii="仿宋_GB2312" w:hAnsi="仿宋_GB2312" w:eastAsia="仿宋_GB2312" w:cs="仿宋_GB2312"/>
          <w:color w:val="000000" w:themeColor="text1"/>
          <w:sz w:val="32"/>
          <w:szCs w:val="32"/>
          <w14:textFill>
            <w14:solidFill>
              <w14:schemeClr w14:val="tx1"/>
            </w14:solidFill>
          </w14:textFill>
        </w:rPr>
        <w:t>8.9</w:t>
      </w:r>
      <w:r>
        <w:rPr>
          <w:rFonts w:hint="eastAsia" w:ascii="仿宋_GB2312" w:hAnsi="仿宋_GB2312" w:eastAsia="仿宋_GB2312" w:cs="仿宋_GB2312"/>
          <w:color w:val="000000" w:themeColor="text1"/>
          <w:sz w:val="32"/>
          <w:szCs w:val="32"/>
          <w14:textFill>
            <w14:solidFill>
              <w14:schemeClr w14:val="tx1"/>
            </w14:solidFill>
          </w14:textFill>
        </w:rPr>
        <w:t>%。实现旅游总收入</w:t>
      </w:r>
      <w:r>
        <w:rPr>
          <w:rFonts w:ascii="仿宋_GB2312" w:hAnsi="仿宋_GB2312" w:eastAsia="仿宋_GB2312" w:cs="仿宋_GB2312"/>
          <w:color w:val="000000" w:themeColor="text1"/>
          <w:sz w:val="32"/>
          <w:szCs w:val="32"/>
          <w14:textFill>
            <w14:solidFill>
              <w14:schemeClr w14:val="tx1"/>
            </w14:solidFill>
          </w14:textFill>
        </w:rPr>
        <w:t>72.12</w:t>
      </w:r>
      <w:r>
        <w:rPr>
          <w:rFonts w:hint="eastAsia" w:ascii="仿宋_GB2312" w:hAnsi="仿宋_GB2312" w:eastAsia="仿宋_GB2312" w:cs="仿宋_GB2312"/>
          <w:color w:val="000000" w:themeColor="text1"/>
          <w:sz w:val="32"/>
          <w:szCs w:val="32"/>
          <w14:textFill>
            <w14:solidFill>
              <w14:schemeClr w14:val="tx1"/>
            </w14:solidFill>
          </w14:textFill>
        </w:rPr>
        <w:t>亿元，比上年增长8</w:t>
      </w:r>
      <w:r>
        <w:rPr>
          <w:rFonts w:ascii="仿宋_GB2312" w:hAnsi="仿宋_GB2312" w:eastAsia="仿宋_GB2312" w:cs="仿宋_GB2312"/>
          <w:color w:val="000000" w:themeColor="text1"/>
          <w:sz w:val="32"/>
          <w:szCs w:val="32"/>
          <w14:textFill>
            <w14:solidFill>
              <w14:schemeClr w14:val="tx1"/>
            </w14:solidFill>
          </w14:textFill>
        </w:rPr>
        <w:t>0.5</w:t>
      </w:r>
      <w:r>
        <w:rPr>
          <w:rFonts w:hint="eastAsia" w:ascii="仿宋_GB2312" w:hAnsi="仿宋_GB2312" w:eastAsia="仿宋_GB2312" w:cs="仿宋_GB2312"/>
          <w:color w:val="000000" w:themeColor="text1"/>
          <w:sz w:val="32"/>
          <w:szCs w:val="32"/>
          <w14:textFill>
            <w14:solidFill>
              <w14:schemeClr w14:val="tx1"/>
            </w14:solidFill>
          </w14:textFill>
        </w:rPr>
        <w:t>%。年末全市共有挂牌星级宾馆酒店</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家，其中五星级</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家，四星级1家，三星级</w:t>
      </w: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家。</w:t>
      </w:r>
    </w:p>
    <w:p>
      <w:pPr>
        <w:tabs>
          <w:tab w:val="left" w:pos="741"/>
        </w:tabs>
        <w:spacing w:line="52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文化事业蓬勃发展。</w:t>
      </w:r>
      <w:r>
        <w:rPr>
          <w:rFonts w:hint="eastAsia" w:ascii="仿宋_GB2312" w:hAnsi="仿宋_GB2312" w:eastAsia="仿宋_GB2312" w:cs="仿宋_GB2312"/>
          <w:sz w:val="32"/>
          <w:szCs w:val="32"/>
        </w:rPr>
        <w:t>组织举办琼海市第二届原创音乐大赛，激发原创音乐人的创造活力。</w:t>
      </w:r>
      <w:r>
        <w:rPr>
          <w:rFonts w:hint="eastAsia" w:ascii="仿宋_GB2312" w:hAnsi="仿宋_GB2312" w:eastAsia="仿宋_GB2312" w:cs="仿宋_GB2312"/>
          <w:bCs/>
          <w:sz w:val="32"/>
          <w:szCs w:val="32"/>
        </w:rPr>
        <w:t>新编大型古装琼剧《八府巡按》，结合</w:t>
      </w:r>
      <w:r>
        <w:rPr>
          <w:rFonts w:hint="eastAsia" w:ascii="仿宋_GB2312" w:hAnsi="仿宋_GB2312" w:eastAsia="仿宋_GB2312" w:cs="仿宋_GB2312"/>
          <w:sz w:val="32"/>
          <w:szCs w:val="32"/>
        </w:rPr>
        <w:t>乡村振兴故事编排小琼剧《情中缘》。</w:t>
      </w:r>
      <w:r>
        <w:rPr>
          <w:rFonts w:hint="eastAsia" w:ascii="仿宋_GB2312" w:hAnsi="仿宋_GB2312" w:eastAsia="仿宋_GB2312" w:cs="仿宋_GB2312"/>
          <w:bCs/>
          <w:sz w:val="32"/>
          <w:szCs w:val="32"/>
        </w:rPr>
        <w:t>选送的广场舞《绿水青山绣海南》和《“乡”遇海南共建自贸》获得第18届海南省东西南北中广场文艺汇演二等奖，选送的舞蹈《追梦海之南》获得三等奖。制作选送的《鲤鱼闹新春》非遗短视频，在参加全国“文化进万家--视频直播家乡年”活动中微博平台投票量位居全国第19位。组织市琼剧团、市候鸟艺术团、红色之声娘子军艺术团等文艺团体深入开展</w:t>
      </w:r>
      <w:r>
        <w:rPr>
          <w:rFonts w:hint="eastAsia" w:ascii="仿宋_GB2312" w:hAnsi="仿宋_GB2312" w:eastAsia="仿宋_GB2312" w:cs="仿宋_GB2312"/>
          <w:sz w:val="32"/>
          <w:szCs w:val="32"/>
        </w:rPr>
        <w:t>候鸟文艺人才元宵节专场演出、文旅公共功能融合试点文艺演出、喜迎建党百年华诞暨</w:t>
      </w:r>
      <w:r>
        <w:rPr>
          <w:rFonts w:hint="eastAsia" w:ascii="仿宋_GB2312" w:hAnsi="仿宋_GB2312" w:eastAsia="仿宋_GB2312" w:cs="仿宋_GB2312"/>
          <w:sz w:val="32"/>
          <w:szCs w:val="32"/>
          <w:lang w:eastAsia="zh-CN"/>
        </w:rPr>
        <w:t>庆祝</w:t>
      </w:r>
      <w:r>
        <w:rPr>
          <w:rFonts w:hint="eastAsia" w:ascii="仿宋_GB2312" w:hAnsi="仿宋_GB2312" w:eastAsia="仿宋_GB2312" w:cs="仿宋_GB2312"/>
          <w:sz w:val="32"/>
          <w:szCs w:val="32"/>
        </w:rPr>
        <w:t>红色娘子军成立90周年文艺汇演、庆祝建党100周年广场舞大赛等系列活动，</w:t>
      </w:r>
      <w:r>
        <w:rPr>
          <w:rFonts w:hint="eastAsia" w:ascii="仿宋_GB2312" w:hAnsi="仿宋_GB2312" w:eastAsia="仿宋_GB2312" w:cs="仿宋_GB2312"/>
          <w:kern w:val="0"/>
          <w:sz w:val="32"/>
          <w:szCs w:val="32"/>
          <w:shd w:val="clear" w:color="auto" w:fill="FFFFFF"/>
          <w:lang w:bidi="ar"/>
        </w:rPr>
        <w:t>组织周末文化广场、</w:t>
      </w:r>
      <w:r>
        <w:rPr>
          <w:rFonts w:hint="eastAsia" w:ascii="仿宋_GB2312" w:hAnsi="仿宋_GB2312" w:eastAsia="仿宋_GB2312" w:cs="仿宋_GB2312"/>
          <w:sz w:val="32"/>
          <w:szCs w:val="32"/>
        </w:rPr>
        <w:t>“琼剧下乡、进校园”惠民演出、</w:t>
      </w:r>
      <w:r>
        <w:rPr>
          <w:rFonts w:hint="eastAsia" w:ascii="仿宋_GB2312" w:hAnsi="仿宋_GB2312" w:eastAsia="仿宋_GB2312" w:cs="仿宋_GB2312"/>
          <w:bCs/>
          <w:sz w:val="32"/>
          <w:szCs w:val="32"/>
        </w:rPr>
        <w:t>阅读推广、读书交流、书画展等各类文化艺术活动260余场次，惠及群众近46万人次。</w:t>
      </w:r>
    </w:p>
    <w:p>
      <w:pPr>
        <w:tabs>
          <w:tab w:val="left" w:pos="741"/>
        </w:tabs>
        <w:spacing w:line="52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卫生健康事业稳步推进。</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年末全市共有医疗卫生机构27</w:t>
      </w:r>
      <w:r>
        <w:rPr>
          <w:rFonts w:ascii="仿宋_GB2312" w:hAnsi="仿宋_GB2312" w:eastAsia="仿宋_GB2312" w:cs="仿宋_GB2312"/>
          <w:color w:val="000000" w:themeColor="text1"/>
          <w:sz w:val="32"/>
          <w:szCs w:val="32"/>
          <w:shd w:val="clear" w:color="auto" w:fill="FFFFFF"/>
          <w14:textFill>
            <w14:solidFill>
              <w14:schemeClr w14:val="tx1"/>
            </w14:solidFill>
          </w14:textFill>
        </w:rPr>
        <w:t>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个，其中医院（卫生院）</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个，农村乡（镇）卫生院15个，社区卫生服务中心（站）</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个；疾病预防控制中心1个，妇幼保健院1个，专科疾病防治机构1个。年末卫生技术人员</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3431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w:t>
      </w:r>
      <w:bookmarkStart w:id="0" w:name="_GoBack"/>
      <w:bookmarkEnd w:id="0"/>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其中执业医师和执业助理医师</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1344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人，注册护士</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1645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人。医疗卫生机构床位</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2327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张，其中医院（卫生院）</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2141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张。全年总诊疗人次</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334.67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万人次，出院人数</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6.72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万人。年末累计报告新型冠状病毒肺炎确诊病例</w:t>
      </w:r>
      <w:r>
        <w:rPr>
          <w:rFonts w:ascii="仿宋_GB2312" w:hAnsi="仿宋_GB2312" w:eastAsia="仿宋_GB2312" w:cs="仿宋_GB2312"/>
          <w:color w:val="000000" w:themeColor="text1"/>
          <w:sz w:val="32"/>
          <w:szCs w:val="32"/>
          <w:shd w:val="clear" w:color="auto" w:fill="FFFFFF"/>
          <w14:textFill>
            <w14:solidFill>
              <w14:schemeClr w14:val="tx1"/>
            </w14:solidFill>
          </w14:textFill>
        </w:rPr>
        <w:t>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例。</w:t>
      </w:r>
    </w:p>
    <w:p>
      <w:pPr>
        <w:pStyle w:val="2"/>
        <w:spacing w:line="520" w:lineRule="exact"/>
        <w:ind w:firstLine="643"/>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体育事业体育产业协同发展。</w:t>
      </w:r>
      <w:r>
        <w:rPr>
          <w:rFonts w:hint="eastAsia" w:ascii="仿宋_GB2312" w:hAnsi="仿宋_GB2312" w:eastAsia="仿宋_GB2312" w:cs="仿宋_GB2312"/>
          <w:sz w:val="32"/>
          <w:szCs w:val="32"/>
        </w:rPr>
        <w:t>举办全国风筝板冠军赛、全国滑水俱乐部巡回赛、</w:t>
      </w:r>
      <w:r>
        <w:rPr>
          <w:rFonts w:hint="eastAsia" w:ascii="仿宋_GB2312" w:hAnsi="仿宋_GB2312" w:eastAsia="仿宋_GB2312" w:cs="仿宋_GB2312"/>
          <w:kern w:val="0"/>
          <w:sz w:val="32"/>
          <w:szCs w:val="32"/>
          <w:lang w:bidi="ar"/>
        </w:rPr>
        <w:t>琼海市全民运动会车辆模型公开赛、2021年广州龙格斗之王争霸赛、</w:t>
      </w:r>
      <w:r>
        <w:rPr>
          <w:rFonts w:hint="eastAsia" w:ascii="仿宋_GB2312" w:hAnsi="仿宋_GB2312" w:eastAsia="仿宋_GB2312" w:cs="仿宋_GB2312"/>
          <w:sz w:val="32"/>
          <w:szCs w:val="32"/>
        </w:rPr>
        <w:t>2021年琼海市直机关“先锋杯”男子足球邀请赛、海南省足球丙级联赛暨“星艺装饰”杯琼海市足球协会杯足球赛、“传承红色基因”2021年琼海市庆祝建党100周年篮球精英赛、羽毛球团体赛和乒乓球团体赛、琼海市</w:t>
      </w:r>
      <w:r>
        <w:rPr>
          <w:rFonts w:hint="eastAsia" w:ascii="仿宋_GB2312" w:hAnsi="仿宋_GB2312" w:eastAsia="仿宋_GB2312" w:cs="仿宋_GB2312"/>
          <w:sz w:val="32"/>
          <w:szCs w:val="32"/>
          <w:lang w:eastAsia="zh-CN"/>
        </w:rPr>
        <w:t>庆祝</w:t>
      </w:r>
      <w:r>
        <w:rPr>
          <w:rFonts w:hint="eastAsia" w:ascii="仿宋_GB2312" w:hAnsi="仿宋_GB2312" w:eastAsia="仿宋_GB2312" w:cs="仿宋_GB2312"/>
          <w:sz w:val="32"/>
          <w:szCs w:val="32"/>
        </w:rPr>
        <w:t>建党100周年</w:t>
      </w:r>
      <w:r>
        <w:rPr>
          <w:rFonts w:hint="eastAsia" w:ascii="仿宋_GB2312" w:hAnsi="仿宋_GB2312" w:eastAsia="仿宋_GB2312" w:cs="仿宋_GB2312"/>
          <w:sz w:val="32"/>
          <w:szCs w:val="32"/>
          <w:lang w:eastAsia="zh-CN"/>
        </w:rPr>
        <w:t>暨</w:t>
      </w:r>
      <w:r>
        <w:rPr>
          <w:rFonts w:hint="eastAsia" w:ascii="仿宋_GB2312" w:hAnsi="仿宋_GB2312" w:eastAsia="仿宋_GB2312" w:cs="仿宋_GB2312"/>
          <w:sz w:val="32"/>
          <w:szCs w:val="32"/>
        </w:rPr>
        <w:t>“五一”市直机关单位干部职工篮球邀请赛、第二十届“双拥杯”男子篮球比赛、琼海市青少年足球邀请赛、琼海市乒乓球公开赛、琼海市武术集体项目展演和健身健美展演、琼海市少年国际象棋公开赛等体育赛事活动100余场次，充分激发了我市广大群众的体育热情，提高群众体育活动参与度。</w:t>
      </w:r>
    </w:p>
    <w:p>
      <w:pPr>
        <w:spacing w:line="520" w:lineRule="exact"/>
        <w:ind w:firstLine="672" w:firstLineChars="200"/>
        <w:jc w:val="left"/>
        <w:rPr>
          <w:rStyle w:val="9"/>
          <w:rFonts w:ascii="黑体" w:hAnsi="黑体" w:eastAsia="黑体" w:cs="黑体"/>
          <w:b w:val="0"/>
          <w:color w:val="000000" w:themeColor="text1"/>
          <w:spacing w:val="8"/>
          <w:sz w:val="32"/>
          <w:szCs w:val="32"/>
          <w14:textFill>
            <w14:solidFill>
              <w14:schemeClr w14:val="tx1"/>
            </w14:solidFill>
          </w14:textFill>
        </w:rPr>
      </w:pPr>
      <w:r>
        <w:rPr>
          <w:rStyle w:val="9"/>
          <w:rFonts w:hint="eastAsia" w:ascii="黑体" w:hAnsi="黑体" w:eastAsia="黑体" w:cs="黑体"/>
          <w:b w:val="0"/>
          <w:color w:val="000000" w:themeColor="text1"/>
          <w:spacing w:val="8"/>
          <w:sz w:val="32"/>
          <w:szCs w:val="32"/>
          <w14:textFill>
            <w14:solidFill>
              <w14:schemeClr w14:val="tx1"/>
            </w14:solidFill>
          </w14:textFill>
        </w:rPr>
        <w:t>十二、资源、环境和应急管理</w:t>
      </w:r>
    </w:p>
    <w:p>
      <w:pPr>
        <w:tabs>
          <w:tab w:val="left" w:pos="741"/>
        </w:tabs>
        <w:spacing w:line="52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生态建设成效显著。</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全年新建文明生态村</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173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个，累计达到26</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w:t>
      </w:r>
      <w:r>
        <w:rPr>
          <w:rFonts w:hint="eastAsia" w:ascii="仿宋" w:hAnsi="仿宋" w:eastAsia="仿宋" w:cs="仿宋"/>
          <w:color w:val="000000" w:themeColor="text1"/>
          <w:sz w:val="32"/>
          <w:szCs w:val="32"/>
          <w:shd w:val="clear" w:color="auto" w:fill="FFFFFF"/>
          <w14:textFill>
            <w14:solidFill>
              <w14:schemeClr w14:val="tx1"/>
            </w14:solidFill>
          </w14:textFill>
        </w:rPr>
        <w:t>全年</w:t>
      </w:r>
      <w:r>
        <w:rPr>
          <w:rFonts w:hint="eastAsia" w:ascii="仿宋_GB2312" w:hAnsi="仿宋" w:eastAsia="仿宋_GB2312"/>
          <w:bCs/>
          <w:sz w:val="32"/>
          <w:szCs w:val="32"/>
        </w:rPr>
        <w:t>完成造林7670亩，植树30.5万株，新增红树林湿地97.1亩，均超额完成年度任务。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全年全市环境空气质量优良率</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99.4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%，其中PM2.5年均浓度为1</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微克/立方米，PM10年均浓度为</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微克/立方米。城镇内河（湖）水污染治理完成比例</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0%。近岸海域水质优良率100%。城市饮用水水源地水质达标率保持100%。全市现有城镇污水处理设施（已建成）</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个，年末城镇污水处理厂日处理能力3</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万立方米，城镇污水集中处理率</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110.3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%。现有农村生活污水处理设施覆盖率</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%。现有垃圾处理设施（已建成）1个，城市生活垃圾无害化处理率100%。</w:t>
      </w:r>
    </w:p>
    <w:p>
      <w:pPr>
        <w:tabs>
          <w:tab w:val="left" w:pos="741"/>
        </w:tabs>
        <w:spacing w:line="520" w:lineRule="exact"/>
        <w:ind w:firstLine="643" w:firstLineChars="200"/>
        <w:rPr>
          <w:rFonts w:ascii="仿宋_GB2312" w:hAnsi="仿宋_GB2312" w:eastAsia="仿宋_GB2312" w:cs="仿宋_GB2312"/>
          <w:color w:val="FF0000"/>
          <w:sz w:val="32"/>
          <w:szCs w:val="32"/>
          <w:shd w:val="clear" w:color="auto" w:fill="FFFFFF"/>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安全生产形势较好。</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全年全市发生生产安全事故</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起，死亡</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人，比上年分别增长</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200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%和</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275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%。其中，生产经营性道路交通事故发生</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起，死亡</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人；工矿商贸生产经营性安全事故</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起，死亡</w:t>
      </w:r>
      <w:r>
        <w:rPr>
          <w:rFonts w:ascii="仿宋_GB2312" w:hAnsi="仿宋_GB2312" w:eastAsia="仿宋_GB2312" w:cs="仿宋_GB2312"/>
          <w:color w:val="000000" w:themeColor="text1"/>
          <w:sz w:val="32"/>
          <w:szCs w:val="32"/>
          <w:shd w:val="clear" w:color="auto" w:fill="FFFFFF"/>
          <w14:textFill>
            <w14:solidFill>
              <w14:schemeClr w14:val="tx1"/>
            </w14:solidFill>
          </w14:textFill>
        </w:rPr>
        <w:t>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人。亿元地区生产总值生产安全事故死亡0.0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45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人，比上年增长0.0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人。道路交通万车死亡率</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1.67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人/万车，比上年减少</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1.17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人/万车。全年各类自然灾害造成直接经济损失</w:t>
      </w:r>
      <w:r>
        <w:rPr>
          <w:rFonts w:ascii="仿宋_GB2312" w:hAnsi="仿宋_GB2312" w:eastAsia="仿宋_GB2312" w:cs="仿宋_GB2312"/>
          <w:color w:val="000000" w:themeColor="text1"/>
          <w:sz w:val="32"/>
          <w:szCs w:val="32"/>
          <w:shd w:val="clear" w:color="auto" w:fill="FFFFFF"/>
          <w14:textFill>
            <w14:solidFill>
              <w14:schemeClr w14:val="tx1"/>
            </w14:solidFill>
          </w14:textFill>
        </w:rPr>
        <w:t>8616</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万元，投入救灾救济资金</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万元。全年全市发生火灾事故</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261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起，造成直接经济损失</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344.85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万元。</w:t>
      </w:r>
    </w:p>
    <w:p>
      <w:pPr>
        <w:pStyle w:val="2"/>
      </w:pPr>
    </w:p>
    <w:p>
      <w:pPr>
        <w:pStyle w:val="2"/>
      </w:pPr>
    </w:p>
    <w:p>
      <w:pPr>
        <w:pStyle w:val="2"/>
      </w:pPr>
    </w:p>
    <w:p>
      <w:pPr>
        <w:pStyle w:val="6"/>
        <w:widowControl/>
        <w:spacing w:before="16" w:beforeAutospacing="0" w:after="200" w:afterAutospacing="0" w:line="560" w:lineRule="exact"/>
        <w:jc w:val="center"/>
        <w:textAlignment w:val="baseline"/>
        <w:rPr>
          <w:rFonts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6"/>
        <w:widowControl/>
        <w:spacing w:before="16" w:beforeAutospacing="0" w:after="200" w:afterAutospacing="0" w:line="560" w:lineRule="exact"/>
        <w:jc w:val="center"/>
        <w:textAlignment w:val="baseline"/>
        <w:rPr>
          <w:rFonts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6"/>
        <w:widowControl/>
        <w:spacing w:before="16" w:beforeAutospacing="0" w:after="200" w:afterAutospacing="0" w:line="560" w:lineRule="exact"/>
        <w:jc w:val="center"/>
        <w:textAlignment w:val="baseline"/>
        <w:rPr>
          <w:rFonts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6"/>
        <w:widowControl/>
        <w:spacing w:before="16" w:beforeAutospacing="0" w:after="200" w:afterAutospacing="0" w:line="560" w:lineRule="exact"/>
        <w:jc w:val="center"/>
        <w:textAlignment w:val="baseline"/>
        <w:rPr>
          <w:rFonts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6"/>
        <w:widowControl/>
        <w:spacing w:before="16" w:beforeAutospacing="0" w:after="200" w:afterAutospacing="0" w:line="560" w:lineRule="exact"/>
        <w:jc w:val="center"/>
        <w:textAlignment w:val="baseline"/>
        <w:rPr>
          <w:rFonts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6"/>
        <w:widowControl/>
        <w:spacing w:before="16" w:beforeAutospacing="0" w:after="200" w:afterAutospacing="0" w:line="560" w:lineRule="exact"/>
        <w:jc w:val="center"/>
        <w:textAlignment w:val="baseline"/>
        <w:rPr>
          <w:rFonts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6"/>
        <w:widowControl/>
        <w:spacing w:before="16" w:beforeAutospacing="0" w:after="200" w:afterAutospacing="0" w:line="560" w:lineRule="exact"/>
        <w:jc w:val="center"/>
        <w:textAlignment w:val="baseline"/>
        <w:rPr>
          <w:rFonts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6"/>
        <w:widowControl/>
        <w:spacing w:before="16" w:beforeAutospacing="0" w:after="200" w:afterAutospacing="0" w:line="560" w:lineRule="exact"/>
        <w:jc w:val="center"/>
        <w:textAlignment w:val="baseline"/>
        <w:rPr>
          <w:rFonts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6"/>
        <w:widowControl/>
        <w:spacing w:before="16" w:beforeAutospacing="0" w:after="200" w:afterAutospacing="0" w:line="560" w:lineRule="exact"/>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6"/>
        <w:widowControl/>
        <w:spacing w:before="16" w:beforeAutospacing="0" w:after="200" w:afterAutospacing="0" w:line="560" w:lineRule="exact"/>
        <w:jc w:val="center"/>
        <w:textAlignment w:val="baseline"/>
        <w:rPr>
          <w:rFonts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r>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t>注  释</w:t>
      </w:r>
    </w:p>
    <w:p>
      <w:pPr>
        <w:pStyle w:val="6"/>
        <w:widowControl/>
        <w:shd w:val="clear" w:color="auto" w:fill="FFFFFF"/>
        <w:spacing w:beforeAutospacing="0" w:after="200" w:afterAutospacing="0" w:line="360" w:lineRule="atLeast"/>
        <w:ind w:firstLine="480" w:firstLineChars="200"/>
        <w:textAlignment w:val="baseline"/>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1.本公报部分数据为初步统计数，部分数据为预计数，最终核实数以《琼海统计年鉴-202</w:t>
      </w:r>
      <w:r>
        <w:rPr>
          <w:rFonts w:asciiTheme="minorEastAsia" w:hAnsiTheme="minorEastAsia" w:cstheme="minorEastAsia"/>
          <w:color w:val="000000" w:themeColor="text1"/>
          <w:shd w:val="clear" w:color="auto" w:fill="FFFFFF"/>
          <w14:textFill>
            <w14:solidFill>
              <w14:schemeClr w14:val="tx1"/>
            </w14:solidFill>
          </w14:textFill>
        </w:rPr>
        <w:t>2</w:t>
      </w:r>
      <w:r>
        <w:rPr>
          <w:rFonts w:hint="eastAsia" w:asciiTheme="minorEastAsia" w:hAnsiTheme="minorEastAsia" w:cstheme="minorEastAsia"/>
          <w:color w:val="000000" w:themeColor="text1"/>
          <w:shd w:val="clear" w:color="auto" w:fill="FFFFFF"/>
          <w14:textFill>
            <w14:solidFill>
              <w14:schemeClr w14:val="tx1"/>
            </w14:solidFill>
          </w14:textFill>
        </w:rPr>
        <w:t>》公布的数据为准；</w:t>
      </w:r>
    </w:p>
    <w:p>
      <w:pPr>
        <w:pStyle w:val="6"/>
        <w:widowControl/>
        <w:shd w:val="clear" w:color="auto" w:fill="FFFFFF"/>
        <w:spacing w:beforeAutospacing="0" w:after="200" w:afterAutospacing="0" w:line="360" w:lineRule="atLeast"/>
        <w:ind w:firstLine="480" w:firstLineChars="200"/>
        <w:textAlignment w:val="baseline"/>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2.地区生产总值和各产业增加值绝对数按现行价格计算，增长速度按不变价格计算。根据《国民经济行业分类》（GB/T4754-2017）对三次产业进行划分。</w:t>
      </w:r>
    </w:p>
    <w:p>
      <w:pPr>
        <w:pStyle w:val="6"/>
        <w:widowControl/>
        <w:shd w:val="clear" w:color="auto" w:fill="FFFFFF"/>
        <w:spacing w:beforeAutospacing="0" w:after="200" w:afterAutospacing="0" w:line="360" w:lineRule="atLeast"/>
        <w:ind w:firstLine="480" w:firstLineChars="200"/>
        <w:textAlignment w:val="baseline"/>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3.本公报中部分指标合计数与分项数有出入主要是由于四舍五入的原因，均未作机械调整。</w:t>
      </w: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16" w:afterAutospacing="0" w:line="560" w:lineRule="exact"/>
        <w:jc w:val="both"/>
        <w:textAlignment w:val="baseline"/>
        <w:rPr>
          <w:rFonts w:ascii="楷体" w:hAnsi="楷体" w:eastAsia="楷体" w:cs="楷体"/>
          <w:color w:val="0000FF"/>
          <w:sz w:val="30"/>
          <w:szCs w:val="30"/>
          <w:shd w:val="clear" w:color="auto" w:fill="FFFFFF"/>
        </w:rPr>
      </w:pPr>
    </w:p>
    <w:p>
      <w:pPr>
        <w:pStyle w:val="6"/>
        <w:widowControl/>
        <w:spacing w:before="16" w:beforeAutospacing="0" w:after="200" w:afterAutospacing="0" w:line="560" w:lineRule="exact"/>
        <w:jc w:val="center"/>
        <w:textAlignment w:val="baseline"/>
        <w:rPr>
          <w:rFonts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r>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t>资料来源</w:t>
      </w:r>
    </w:p>
    <w:p>
      <w:pPr>
        <w:pStyle w:val="6"/>
        <w:widowControl/>
        <w:shd w:val="clear" w:color="auto" w:fill="FFFFFF"/>
        <w:spacing w:beforeAutospacing="0" w:after="375" w:afterAutospacing="0" w:line="360" w:lineRule="atLeast"/>
        <w:ind w:firstLine="480" w:firstLineChars="200"/>
        <w:textAlignment w:val="baseline"/>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本公报中文明生态村数据来自市宣传部，巩固脱贫成果、乡村振兴数据来自市乡村振兴局，投资项目来自市发改委，财政数据来自市财政局，造林绿化面积数据来自市资规局，乐城医疗数据来自乐城管理局，货物、旅客运输和周转量数据来自市交运局，高新技术企业、新能源汽车、5G基站数据来自市科工信局，会议会展、对外经济数据来自市商务局，保障性住房、城镇老旧小区改造、农村危房改造数据来自市住建局，建成区绿化、城镇垃圾处理数据来自市综合执法局，城镇污水处理数据来自市水务局，社会救助数据来自市民政局，科技数据来自市市场监督管理局，教育数据来自市教育局，文化旅游体育等数据来自市旅文局，环境质量、农村污水数据来自市生态环境局，安全生产、救灾救济数据来自市应急局，卫生数据来自市卫健委，就业、失业保险数据来自市就业局，社会保险数据来自市社保服务中心，医疗保险、医疗救助数据来自市医疗保障局，优抚对象数据来自市退役军人事务局，金融机构存贷款、证券期货交易额、股票数据来自人行琼海支行，银行业、保险业数据来自琼海银监办，道路交通数据来自市交通管理大队，火灾数据来自市消防救援支队，其他数据来自市统计局。</w:t>
      </w:r>
    </w:p>
    <w:sectPr>
      <w:footerReference r:id="rId3" w:type="default"/>
      <w:pgSz w:w="11906" w:h="16838"/>
      <w:pgMar w:top="1440"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63"/>
    <w:rsid w:val="000109AC"/>
    <w:rsid w:val="00012147"/>
    <w:rsid w:val="000176DB"/>
    <w:rsid w:val="00040000"/>
    <w:rsid w:val="00051163"/>
    <w:rsid w:val="00053663"/>
    <w:rsid w:val="00057093"/>
    <w:rsid w:val="00060285"/>
    <w:rsid w:val="00071112"/>
    <w:rsid w:val="00074997"/>
    <w:rsid w:val="00095A91"/>
    <w:rsid w:val="0010153B"/>
    <w:rsid w:val="00113801"/>
    <w:rsid w:val="001150B4"/>
    <w:rsid w:val="00157A5A"/>
    <w:rsid w:val="00173507"/>
    <w:rsid w:val="00185822"/>
    <w:rsid w:val="00193BC2"/>
    <w:rsid w:val="00210A9D"/>
    <w:rsid w:val="00255B96"/>
    <w:rsid w:val="00267770"/>
    <w:rsid w:val="002868CA"/>
    <w:rsid w:val="00292038"/>
    <w:rsid w:val="002D6A63"/>
    <w:rsid w:val="002E1148"/>
    <w:rsid w:val="002F2BEB"/>
    <w:rsid w:val="00301F29"/>
    <w:rsid w:val="003027CE"/>
    <w:rsid w:val="00337AA2"/>
    <w:rsid w:val="00343153"/>
    <w:rsid w:val="003567A1"/>
    <w:rsid w:val="003711DB"/>
    <w:rsid w:val="00386A80"/>
    <w:rsid w:val="003938EF"/>
    <w:rsid w:val="003A1305"/>
    <w:rsid w:val="003A4F64"/>
    <w:rsid w:val="003A748C"/>
    <w:rsid w:val="003C580C"/>
    <w:rsid w:val="003D1D9B"/>
    <w:rsid w:val="003E04CA"/>
    <w:rsid w:val="003E287C"/>
    <w:rsid w:val="003F036D"/>
    <w:rsid w:val="00420452"/>
    <w:rsid w:val="00435310"/>
    <w:rsid w:val="0045145B"/>
    <w:rsid w:val="00451597"/>
    <w:rsid w:val="004559DD"/>
    <w:rsid w:val="004671DB"/>
    <w:rsid w:val="004A2FE1"/>
    <w:rsid w:val="004A6249"/>
    <w:rsid w:val="004B2861"/>
    <w:rsid w:val="004C21D6"/>
    <w:rsid w:val="004D11E8"/>
    <w:rsid w:val="004E045C"/>
    <w:rsid w:val="004F39C0"/>
    <w:rsid w:val="004F67F7"/>
    <w:rsid w:val="00522FCD"/>
    <w:rsid w:val="00536582"/>
    <w:rsid w:val="005856F5"/>
    <w:rsid w:val="00591FE1"/>
    <w:rsid w:val="005A1DBF"/>
    <w:rsid w:val="005B0B45"/>
    <w:rsid w:val="005C3826"/>
    <w:rsid w:val="005D4657"/>
    <w:rsid w:val="005E04D3"/>
    <w:rsid w:val="005E6BC2"/>
    <w:rsid w:val="005F1DD3"/>
    <w:rsid w:val="00634649"/>
    <w:rsid w:val="00635882"/>
    <w:rsid w:val="00640EB3"/>
    <w:rsid w:val="006416E0"/>
    <w:rsid w:val="00646DF1"/>
    <w:rsid w:val="006506D3"/>
    <w:rsid w:val="00662629"/>
    <w:rsid w:val="00676C12"/>
    <w:rsid w:val="00695FFD"/>
    <w:rsid w:val="006A183E"/>
    <w:rsid w:val="006C5EE8"/>
    <w:rsid w:val="006F57B6"/>
    <w:rsid w:val="00720826"/>
    <w:rsid w:val="00722A77"/>
    <w:rsid w:val="00731F21"/>
    <w:rsid w:val="00745643"/>
    <w:rsid w:val="00746C46"/>
    <w:rsid w:val="00773099"/>
    <w:rsid w:val="0079534D"/>
    <w:rsid w:val="00796E44"/>
    <w:rsid w:val="007E4301"/>
    <w:rsid w:val="007F3B72"/>
    <w:rsid w:val="0080620F"/>
    <w:rsid w:val="008359FD"/>
    <w:rsid w:val="0083604C"/>
    <w:rsid w:val="00840ED2"/>
    <w:rsid w:val="00844C6D"/>
    <w:rsid w:val="00862DAC"/>
    <w:rsid w:val="00885AC0"/>
    <w:rsid w:val="008873CD"/>
    <w:rsid w:val="008874F4"/>
    <w:rsid w:val="008A2E2C"/>
    <w:rsid w:val="008C432C"/>
    <w:rsid w:val="008F3D07"/>
    <w:rsid w:val="008F3F0A"/>
    <w:rsid w:val="008F42BF"/>
    <w:rsid w:val="00911C06"/>
    <w:rsid w:val="0092313C"/>
    <w:rsid w:val="009350BC"/>
    <w:rsid w:val="00942CD6"/>
    <w:rsid w:val="00944D19"/>
    <w:rsid w:val="0095216D"/>
    <w:rsid w:val="009743C0"/>
    <w:rsid w:val="009A50E9"/>
    <w:rsid w:val="009A5DC1"/>
    <w:rsid w:val="009B5DFE"/>
    <w:rsid w:val="009C3E78"/>
    <w:rsid w:val="009C47E3"/>
    <w:rsid w:val="009D5DFC"/>
    <w:rsid w:val="00A05926"/>
    <w:rsid w:val="00A53FFB"/>
    <w:rsid w:val="00A759EB"/>
    <w:rsid w:val="00A90CB2"/>
    <w:rsid w:val="00AB4378"/>
    <w:rsid w:val="00AC14E5"/>
    <w:rsid w:val="00AC38C2"/>
    <w:rsid w:val="00AD4D50"/>
    <w:rsid w:val="00AE25A6"/>
    <w:rsid w:val="00AF20F9"/>
    <w:rsid w:val="00B15AE4"/>
    <w:rsid w:val="00B44AA4"/>
    <w:rsid w:val="00B76A1C"/>
    <w:rsid w:val="00BB42AC"/>
    <w:rsid w:val="00BB49ED"/>
    <w:rsid w:val="00BC618E"/>
    <w:rsid w:val="00BD3215"/>
    <w:rsid w:val="00BE3F9A"/>
    <w:rsid w:val="00BF42C1"/>
    <w:rsid w:val="00C01347"/>
    <w:rsid w:val="00C12EAD"/>
    <w:rsid w:val="00C22A43"/>
    <w:rsid w:val="00C478D8"/>
    <w:rsid w:val="00C53BD9"/>
    <w:rsid w:val="00C5426B"/>
    <w:rsid w:val="00C55430"/>
    <w:rsid w:val="00C57855"/>
    <w:rsid w:val="00C60F8B"/>
    <w:rsid w:val="00C62778"/>
    <w:rsid w:val="00C630ED"/>
    <w:rsid w:val="00CA1247"/>
    <w:rsid w:val="00CE3753"/>
    <w:rsid w:val="00CE39C2"/>
    <w:rsid w:val="00D048EB"/>
    <w:rsid w:val="00D12E23"/>
    <w:rsid w:val="00D33D42"/>
    <w:rsid w:val="00D33F6A"/>
    <w:rsid w:val="00D40BD4"/>
    <w:rsid w:val="00D428B5"/>
    <w:rsid w:val="00D4712E"/>
    <w:rsid w:val="00D57F78"/>
    <w:rsid w:val="00D7691A"/>
    <w:rsid w:val="00D93449"/>
    <w:rsid w:val="00DA5928"/>
    <w:rsid w:val="00DE747F"/>
    <w:rsid w:val="00E24004"/>
    <w:rsid w:val="00E345A6"/>
    <w:rsid w:val="00E368C6"/>
    <w:rsid w:val="00E64049"/>
    <w:rsid w:val="00E859F5"/>
    <w:rsid w:val="00EB51F2"/>
    <w:rsid w:val="00EC6650"/>
    <w:rsid w:val="00EE78B5"/>
    <w:rsid w:val="00EF7CC4"/>
    <w:rsid w:val="00F11656"/>
    <w:rsid w:val="00F75005"/>
    <w:rsid w:val="00F804BA"/>
    <w:rsid w:val="00F841F0"/>
    <w:rsid w:val="00F94BBC"/>
    <w:rsid w:val="00F94E6A"/>
    <w:rsid w:val="00FA386E"/>
    <w:rsid w:val="00FF5C51"/>
    <w:rsid w:val="0153717C"/>
    <w:rsid w:val="01696D03"/>
    <w:rsid w:val="01FC6AF3"/>
    <w:rsid w:val="02D30A83"/>
    <w:rsid w:val="02E83254"/>
    <w:rsid w:val="03160B21"/>
    <w:rsid w:val="03461681"/>
    <w:rsid w:val="03FE7BCE"/>
    <w:rsid w:val="04B16216"/>
    <w:rsid w:val="04CA2BDC"/>
    <w:rsid w:val="056D7EDB"/>
    <w:rsid w:val="059E1546"/>
    <w:rsid w:val="05EC252A"/>
    <w:rsid w:val="0669417D"/>
    <w:rsid w:val="066D4513"/>
    <w:rsid w:val="0742222F"/>
    <w:rsid w:val="07671328"/>
    <w:rsid w:val="078C4F13"/>
    <w:rsid w:val="078F300F"/>
    <w:rsid w:val="07F328AE"/>
    <w:rsid w:val="08BD5113"/>
    <w:rsid w:val="08D720EE"/>
    <w:rsid w:val="09744EC8"/>
    <w:rsid w:val="09CF1BC0"/>
    <w:rsid w:val="09D01719"/>
    <w:rsid w:val="0A0F1415"/>
    <w:rsid w:val="0ACC6E41"/>
    <w:rsid w:val="0B104C38"/>
    <w:rsid w:val="0C5C5CF4"/>
    <w:rsid w:val="0C796D37"/>
    <w:rsid w:val="0CEF2C0F"/>
    <w:rsid w:val="0E3C0D52"/>
    <w:rsid w:val="0E9469EC"/>
    <w:rsid w:val="0FEA4360"/>
    <w:rsid w:val="10757085"/>
    <w:rsid w:val="118612F1"/>
    <w:rsid w:val="11964800"/>
    <w:rsid w:val="11D30074"/>
    <w:rsid w:val="132B29B3"/>
    <w:rsid w:val="135B1543"/>
    <w:rsid w:val="14337E9E"/>
    <w:rsid w:val="157B77AD"/>
    <w:rsid w:val="15BD4B01"/>
    <w:rsid w:val="15F32F2F"/>
    <w:rsid w:val="161866D6"/>
    <w:rsid w:val="16B343ED"/>
    <w:rsid w:val="17494E6E"/>
    <w:rsid w:val="17CE6BC6"/>
    <w:rsid w:val="18464363"/>
    <w:rsid w:val="1885028C"/>
    <w:rsid w:val="18C60F44"/>
    <w:rsid w:val="196374BC"/>
    <w:rsid w:val="198E0F54"/>
    <w:rsid w:val="19A97245"/>
    <w:rsid w:val="1A284625"/>
    <w:rsid w:val="1A782BD1"/>
    <w:rsid w:val="1A9818E4"/>
    <w:rsid w:val="1C4F0AEB"/>
    <w:rsid w:val="1CCF177F"/>
    <w:rsid w:val="1F224D22"/>
    <w:rsid w:val="1FE4013D"/>
    <w:rsid w:val="2000596A"/>
    <w:rsid w:val="2043643C"/>
    <w:rsid w:val="205954DC"/>
    <w:rsid w:val="20A14065"/>
    <w:rsid w:val="23372615"/>
    <w:rsid w:val="23A414B8"/>
    <w:rsid w:val="23BB708A"/>
    <w:rsid w:val="23EE2029"/>
    <w:rsid w:val="247D145B"/>
    <w:rsid w:val="257B78E8"/>
    <w:rsid w:val="25BA4171"/>
    <w:rsid w:val="26786A00"/>
    <w:rsid w:val="27D47A7E"/>
    <w:rsid w:val="288C38AC"/>
    <w:rsid w:val="29691044"/>
    <w:rsid w:val="299D5172"/>
    <w:rsid w:val="29F37D1B"/>
    <w:rsid w:val="2A2D22E1"/>
    <w:rsid w:val="2BCA0567"/>
    <w:rsid w:val="2C5C4F83"/>
    <w:rsid w:val="2C912247"/>
    <w:rsid w:val="2CBD7298"/>
    <w:rsid w:val="2D792EEB"/>
    <w:rsid w:val="2E6B49AB"/>
    <w:rsid w:val="2F076F75"/>
    <w:rsid w:val="305B07D6"/>
    <w:rsid w:val="307958F4"/>
    <w:rsid w:val="30865563"/>
    <w:rsid w:val="321F606A"/>
    <w:rsid w:val="328F69F2"/>
    <w:rsid w:val="32C87E4E"/>
    <w:rsid w:val="336930CF"/>
    <w:rsid w:val="33832011"/>
    <w:rsid w:val="33D53184"/>
    <w:rsid w:val="34CC64E1"/>
    <w:rsid w:val="34D72A4E"/>
    <w:rsid w:val="350C3DEF"/>
    <w:rsid w:val="35CA7D0F"/>
    <w:rsid w:val="363B355F"/>
    <w:rsid w:val="364739E8"/>
    <w:rsid w:val="369844CD"/>
    <w:rsid w:val="36E21366"/>
    <w:rsid w:val="37692CB3"/>
    <w:rsid w:val="3AD267E6"/>
    <w:rsid w:val="3AD84098"/>
    <w:rsid w:val="3B377147"/>
    <w:rsid w:val="3C535E5E"/>
    <w:rsid w:val="3CBE6309"/>
    <w:rsid w:val="3CF14EFA"/>
    <w:rsid w:val="3DB55EFD"/>
    <w:rsid w:val="3E3E52AA"/>
    <w:rsid w:val="3E7A22A6"/>
    <w:rsid w:val="3EB924F2"/>
    <w:rsid w:val="3ED00568"/>
    <w:rsid w:val="3F413317"/>
    <w:rsid w:val="407611E3"/>
    <w:rsid w:val="40C31CC2"/>
    <w:rsid w:val="40E126CF"/>
    <w:rsid w:val="41512C34"/>
    <w:rsid w:val="418878DA"/>
    <w:rsid w:val="41BB6F81"/>
    <w:rsid w:val="420F6469"/>
    <w:rsid w:val="42170C1B"/>
    <w:rsid w:val="42A15857"/>
    <w:rsid w:val="435A5FDB"/>
    <w:rsid w:val="435E4B8F"/>
    <w:rsid w:val="447A1697"/>
    <w:rsid w:val="44B2296B"/>
    <w:rsid w:val="44B51BB1"/>
    <w:rsid w:val="457F2A0F"/>
    <w:rsid w:val="46301337"/>
    <w:rsid w:val="46806EC2"/>
    <w:rsid w:val="469D5B8E"/>
    <w:rsid w:val="46A832CD"/>
    <w:rsid w:val="471807AD"/>
    <w:rsid w:val="47D80C81"/>
    <w:rsid w:val="483503B2"/>
    <w:rsid w:val="485C1842"/>
    <w:rsid w:val="48B20897"/>
    <w:rsid w:val="498B5FBA"/>
    <w:rsid w:val="49EC0814"/>
    <w:rsid w:val="4ABB7DC2"/>
    <w:rsid w:val="4B8D3E74"/>
    <w:rsid w:val="4BDB6507"/>
    <w:rsid w:val="4BEB57F7"/>
    <w:rsid w:val="4C0716A3"/>
    <w:rsid w:val="4D567C7E"/>
    <w:rsid w:val="4D744307"/>
    <w:rsid w:val="4D7A7388"/>
    <w:rsid w:val="4DC90B68"/>
    <w:rsid w:val="4DEF0378"/>
    <w:rsid w:val="4E845A93"/>
    <w:rsid w:val="4ED16403"/>
    <w:rsid w:val="4F6133B7"/>
    <w:rsid w:val="4F8157BD"/>
    <w:rsid w:val="519117B4"/>
    <w:rsid w:val="534B763C"/>
    <w:rsid w:val="537B1C37"/>
    <w:rsid w:val="53BF251B"/>
    <w:rsid w:val="54035676"/>
    <w:rsid w:val="544B1C82"/>
    <w:rsid w:val="55972E32"/>
    <w:rsid w:val="564D0B14"/>
    <w:rsid w:val="57BC55C5"/>
    <w:rsid w:val="58240F80"/>
    <w:rsid w:val="58AC65F4"/>
    <w:rsid w:val="59317DEF"/>
    <w:rsid w:val="593566E9"/>
    <w:rsid w:val="59443E40"/>
    <w:rsid w:val="59900A76"/>
    <w:rsid w:val="59FC4822"/>
    <w:rsid w:val="5A037804"/>
    <w:rsid w:val="5A2A3674"/>
    <w:rsid w:val="5A341FEC"/>
    <w:rsid w:val="5A533C21"/>
    <w:rsid w:val="5ACA6FAA"/>
    <w:rsid w:val="5AD17F87"/>
    <w:rsid w:val="5B283C3C"/>
    <w:rsid w:val="5B76387C"/>
    <w:rsid w:val="5BB128D2"/>
    <w:rsid w:val="5BB61B6F"/>
    <w:rsid w:val="5BE80F91"/>
    <w:rsid w:val="5BEA0E37"/>
    <w:rsid w:val="5BFD3E6D"/>
    <w:rsid w:val="5D246925"/>
    <w:rsid w:val="5DF867DD"/>
    <w:rsid w:val="5E086705"/>
    <w:rsid w:val="5E162CE7"/>
    <w:rsid w:val="5F491C4E"/>
    <w:rsid w:val="5F6D7E98"/>
    <w:rsid w:val="5FC64B86"/>
    <w:rsid w:val="601018BE"/>
    <w:rsid w:val="60302DE2"/>
    <w:rsid w:val="603E670B"/>
    <w:rsid w:val="60532435"/>
    <w:rsid w:val="60556F44"/>
    <w:rsid w:val="61243AF6"/>
    <w:rsid w:val="61A84B02"/>
    <w:rsid w:val="61A86268"/>
    <w:rsid w:val="61B66372"/>
    <w:rsid w:val="61D308A1"/>
    <w:rsid w:val="627D72D4"/>
    <w:rsid w:val="6291049F"/>
    <w:rsid w:val="640C0C27"/>
    <w:rsid w:val="641558A2"/>
    <w:rsid w:val="641902EB"/>
    <w:rsid w:val="64347F8C"/>
    <w:rsid w:val="644934EF"/>
    <w:rsid w:val="64571C4E"/>
    <w:rsid w:val="65A059FA"/>
    <w:rsid w:val="66580774"/>
    <w:rsid w:val="66E26DFB"/>
    <w:rsid w:val="67C61772"/>
    <w:rsid w:val="682E4E14"/>
    <w:rsid w:val="68D15451"/>
    <w:rsid w:val="68F85E61"/>
    <w:rsid w:val="69622F0D"/>
    <w:rsid w:val="69BF1287"/>
    <w:rsid w:val="69CD3DDA"/>
    <w:rsid w:val="69F34A25"/>
    <w:rsid w:val="69FB134C"/>
    <w:rsid w:val="6A253CDA"/>
    <w:rsid w:val="6A667BA0"/>
    <w:rsid w:val="6B473625"/>
    <w:rsid w:val="6BD407F6"/>
    <w:rsid w:val="6BF70C11"/>
    <w:rsid w:val="6C120DEE"/>
    <w:rsid w:val="6C8746A5"/>
    <w:rsid w:val="6D3764E7"/>
    <w:rsid w:val="6D6E13CA"/>
    <w:rsid w:val="6DE504F6"/>
    <w:rsid w:val="6E2A16E5"/>
    <w:rsid w:val="6E3F6517"/>
    <w:rsid w:val="6ED57F84"/>
    <w:rsid w:val="6EDE4900"/>
    <w:rsid w:val="6F6C3FBD"/>
    <w:rsid w:val="702A4277"/>
    <w:rsid w:val="70577AFD"/>
    <w:rsid w:val="70893414"/>
    <w:rsid w:val="70CF7B35"/>
    <w:rsid w:val="712D0DBA"/>
    <w:rsid w:val="72B51D66"/>
    <w:rsid w:val="73421894"/>
    <w:rsid w:val="741119B3"/>
    <w:rsid w:val="74685B08"/>
    <w:rsid w:val="749939C5"/>
    <w:rsid w:val="74F64203"/>
    <w:rsid w:val="753B20B0"/>
    <w:rsid w:val="755651A4"/>
    <w:rsid w:val="75754E27"/>
    <w:rsid w:val="75790F49"/>
    <w:rsid w:val="75C87998"/>
    <w:rsid w:val="761A5D64"/>
    <w:rsid w:val="76517F3F"/>
    <w:rsid w:val="767E6029"/>
    <w:rsid w:val="76C342FE"/>
    <w:rsid w:val="77AD302A"/>
    <w:rsid w:val="77AF6B4D"/>
    <w:rsid w:val="78420144"/>
    <w:rsid w:val="78615C19"/>
    <w:rsid w:val="79706C4A"/>
    <w:rsid w:val="79A261A1"/>
    <w:rsid w:val="79BA03BF"/>
    <w:rsid w:val="79D54E87"/>
    <w:rsid w:val="7AC72A44"/>
    <w:rsid w:val="7AFC1EDC"/>
    <w:rsid w:val="7B574B81"/>
    <w:rsid w:val="7BD00161"/>
    <w:rsid w:val="7C000104"/>
    <w:rsid w:val="7C0257F0"/>
    <w:rsid w:val="7C2041AC"/>
    <w:rsid w:val="7C5232F5"/>
    <w:rsid w:val="7CF35F0B"/>
    <w:rsid w:val="7D5954FA"/>
    <w:rsid w:val="7D69448E"/>
    <w:rsid w:val="7D7C0B1C"/>
    <w:rsid w:val="7D8E681D"/>
    <w:rsid w:val="7DB740E8"/>
    <w:rsid w:val="7DC9391A"/>
    <w:rsid w:val="7DD93C31"/>
    <w:rsid w:val="7EAB2C65"/>
    <w:rsid w:val="7EFF1EAB"/>
    <w:rsid w:val="7FEC2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海南化工城正文"/>
    <w:basedOn w:val="1"/>
    <w:qFormat/>
    <w:uiPriority w:val="0"/>
    <w:pPr>
      <w:spacing w:line="324" w:lineRule="auto"/>
      <w:ind w:firstLine="480" w:firstLineChars="200"/>
    </w:pPr>
    <w:rPr>
      <w:rFonts w:ascii="宋体" w:hAnsi="宋体" w:cs="宋体"/>
      <w:sz w:val="24"/>
      <w:szCs w:val="20"/>
    </w:rPr>
  </w:style>
  <w:style w:type="paragraph" w:styleId="3">
    <w:name w:val="Body Text"/>
    <w:basedOn w:val="1"/>
    <w:qFormat/>
    <w:uiPriority w:val="0"/>
    <w:pPr>
      <w:spacing w:after="120" w:line="360" w:lineRule="auto"/>
    </w:pPr>
    <w:rPr>
      <w:rFonts w:eastAsia="华文中宋"/>
      <w:sz w:val="3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22"/>
    <w:rPr>
      <w:b/>
    </w:rPr>
  </w:style>
  <w:style w:type="character" w:styleId="10">
    <w:name w:val="FollowedHyperlink"/>
    <w:basedOn w:val="8"/>
    <w:qFormat/>
    <w:uiPriority w:val="0"/>
    <w:rPr>
      <w:color w:val="434343"/>
      <w:u w:val="none"/>
    </w:rPr>
  </w:style>
  <w:style w:type="character" w:styleId="11">
    <w:name w:val="Emphasis"/>
    <w:basedOn w:val="8"/>
    <w:qFormat/>
    <w:uiPriority w:val="0"/>
  </w:style>
  <w:style w:type="character" w:styleId="12">
    <w:name w:val="Hyperlink"/>
    <w:basedOn w:val="8"/>
    <w:qFormat/>
    <w:uiPriority w:val="0"/>
    <w:rPr>
      <w:color w:val="434343"/>
      <w:u w:val="none"/>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xtb-fr-19"/>
    <w:basedOn w:val="8"/>
    <w:qFormat/>
    <w:uiPriority w:val="0"/>
  </w:style>
  <w:style w:type="character" w:customStyle="1" w:styleId="15">
    <w:name w:val="zx-span5"/>
    <w:basedOn w:val="8"/>
    <w:qFormat/>
    <w:uiPriority w:val="0"/>
  </w:style>
  <w:style w:type="character" w:customStyle="1" w:styleId="16">
    <w:name w:val="r-5-l-sp2"/>
    <w:basedOn w:val="8"/>
    <w:qFormat/>
    <w:uiPriority w:val="0"/>
  </w:style>
  <w:style w:type="character" w:customStyle="1" w:styleId="17">
    <w:name w:val="xtb-fr-08"/>
    <w:basedOn w:val="8"/>
    <w:qFormat/>
    <w:uiPriority w:val="0"/>
  </w:style>
  <w:style w:type="character" w:customStyle="1" w:styleId="18">
    <w:name w:val="zy-fr-bj6"/>
    <w:basedOn w:val="8"/>
    <w:qFormat/>
    <w:uiPriority w:val="0"/>
  </w:style>
  <w:style w:type="character" w:customStyle="1" w:styleId="19">
    <w:name w:val="zx-xuan4"/>
    <w:basedOn w:val="8"/>
    <w:qFormat/>
    <w:uiPriority w:val="0"/>
    <w:rPr>
      <w:shd w:val="clear" w:color="auto" w:fill="FFFFFF"/>
    </w:rPr>
  </w:style>
  <w:style w:type="character" w:customStyle="1" w:styleId="20">
    <w:name w:val="zx-xuan41"/>
    <w:basedOn w:val="8"/>
    <w:qFormat/>
    <w:uiPriority w:val="0"/>
    <w:rPr>
      <w:shd w:val="clear" w:color="auto" w:fill="FFFFFF"/>
    </w:rPr>
  </w:style>
  <w:style w:type="character" w:customStyle="1" w:styleId="21">
    <w:name w:val="xtb-fr-13"/>
    <w:basedOn w:val="8"/>
    <w:qFormat/>
    <w:uiPriority w:val="0"/>
  </w:style>
  <w:style w:type="character" w:customStyle="1" w:styleId="22">
    <w:name w:val="hover106"/>
    <w:basedOn w:val="8"/>
    <w:qFormat/>
    <w:uiPriority w:val="0"/>
    <w:rPr>
      <w:shd w:val="clear" w:color="auto" w:fill="A40000"/>
    </w:rPr>
  </w:style>
  <w:style w:type="character" w:customStyle="1" w:styleId="23">
    <w:name w:val="hover107"/>
    <w:basedOn w:val="8"/>
    <w:qFormat/>
    <w:uiPriority w:val="0"/>
    <w:rPr>
      <w:color w:val="CA1C1D"/>
    </w:rPr>
  </w:style>
  <w:style w:type="character" w:customStyle="1" w:styleId="24">
    <w:name w:val="bsfw-sp2"/>
    <w:basedOn w:val="8"/>
    <w:qFormat/>
    <w:uiPriority w:val="0"/>
  </w:style>
  <w:style w:type="character" w:customStyle="1" w:styleId="25">
    <w:name w:val="bsfw-sp21"/>
    <w:basedOn w:val="8"/>
    <w:qFormat/>
    <w:uiPriority w:val="0"/>
    <w:rPr>
      <w:color w:val="FFFFFF"/>
      <w:shd w:val="clear" w:color="auto" w:fill="CA1C1D"/>
    </w:rPr>
  </w:style>
  <w:style w:type="character" w:customStyle="1" w:styleId="26">
    <w:name w:val="bsfw-sp1"/>
    <w:basedOn w:val="8"/>
    <w:qFormat/>
    <w:uiPriority w:val="0"/>
  </w:style>
  <w:style w:type="character" w:customStyle="1" w:styleId="27">
    <w:name w:val="bsfw-sp11"/>
    <w:basedOn w:val="8"/>
    <w:qFormat/>
    <w:uiPriority w:val="0"/>
    <w:rPr>
      <w:color w:val="FFFFFF"/>
      <w:shd w:val="clear" w:color="auto" w:fill="CA1C1D"/>
    </w:rPr>
  </w:style>
  <w:style w:type="character" w:customStyle="1" w:styleId="28">
    <w:name w:val="bsfw-sp3"/>
    <w:basedOn w:val="8"/>
    <w:qFormat/>
    <w:uiPriority w:val="0"/>
  </w:style>
  <w:style w:type="character" w:customStyle="1" w:styleId="29">
    <w:name w:val="bsfw-sp31"/>
    <w:basedOn w:val="8"/>
    <w:qFormat/>
    <w:uiPriority w:val="0"/>
    <w:rPr>
      <w:color w:val="FFFFFF"/>
      <w:shd w:val="clear" w:color="auto" w:fill="CA1C1D"/>
    </w:rPr>
  </w:style>
  <w:style w:type="character" w:customStyle="1" w:styleId="30">
    <w:name w:val="zx-span3"/>
    <w:basedOn w:val="8"/>
    <w:qFormat/>
    <w:uiPriority w:val="0"/>
  </w:style>
  <w:style w:type="character" w:customStyle="1" w:styleId="31">
    <w:name w:val="zx-span2"/>
    <w:basedOn w:val="8"/>
    <w:qFormat/>
    <w:uiPriority w:val="0"/>
  </w:style>
  <w:style w:type="character" w:customStyle="1" w:styleId="32">
    <w:name w:val="zx-span21"/>
    <w:basedOn w:val="8"/>
    <w:qFormat/>
    <w:uiPriority w:val="0"/>
    <w:rPr>
      <w:color w:val="FFFFFF"/>
    </w:rPr>
  </w:style>
  <w:style w:type="character" w:customStyle="1" w:styleId="33">
    <w:name w:val="zy-fr-bj3"/>
    <w:basedOn w:val="8"/>
    <w:qFormat/>
    <w:uiPriority w:val="0"/>
  </w:style>
  <w:style w:type="character" w:customStyle="1" w:styleId="34">
    <w:name w:val="zy-fr-bj9"/>
    <w:basedOn w:val="8"/>
    <w:qFormat/>
    <w:uiPriority w:val="0"/>
  </w:style>
  <w:style w:type="character" w:customStyle="1" w:styleId="35">
    <w:name w:val="zy-fr-bj17"/>
    <w:basedOn w:val="8"/>
    <w:qFormat/>
    <w:uiPriority w:val="0"/>
  </w:style>
  <w:style w:type="character" w:customStyle="1" w:styleId="36">
    <w:name w:val="zy-gr-bj20"/>
    <w:basedOn w:val="8"/>
    <w:qFormat/>
    <w:uiPriority w:val="0"/>
  </w:style>
  <w:style w:type="character" w:customStyle="1" w:styleId="37">
    <w:name w:val="r-5-l-sp3"/>
    <w:basedOn w:val="8"/>
    <w:qFormat/>
    <w:uiPriority w:val="0"/>
  </w:style>
  <w:style w:type="character" w:customStyle="1" w:styleId="38">
    <w:name w:val="hdjl-x-l-x-sp3"/>
    <w:basedOn w:val="8"/>
    <w:qFormat/>
    <w:uiPriority w:val="0"/>
    <w:rPr>
      <w:color w:val="BFBFBF"/>
      <w:sz w:val="14"/>
      <w:szCs w:val="14"/>
    </w:rPr>
  </w:style>
  <w:style w:type="character" w:customStyle="1" w:styleId="39">
    <w:name w:val="zx-span4"/>
    <w:basedOn w:val="8"/>
    <w:qFormat/>
    <w:uiPriority w:val="0"/>
  </w:style>
  <w:style w:type="character" w:customStyle="1" w:styleId="40">
    <w:name w:val="zx-span41"/>
    <w:basedOn w:val="8"/>
    <w:qFormat/>
    <w:uiPriority w:val="0"/>
    <w:rPr>
      <w:color w:val="FFFFFF"/>
    </w:rPr>
  </w:style>
  <w:style w:type="character" w:customStyle="1" w:styleId="41">
    <w:name w:val="zy-gr-bj17"/>
    <w:basedOn w:val="8"/>
    <w:qFormat/>
    <w:uiPriority w:val="0"/>
  </w:style>
  <w:style w:type="character" w:customStyle="1" w:styleId="42">
    <w:name w:val="zx-span1"/>
    <w:basedOn w:val="8"/>
    <w:qFormat/>
    <w:uiPriority w:val="0"/>
  </w:style>
  <w:style w:type="character" w:customStyle="1" w:styleId="43">
    <w:name w:val="zx-span11"/>
    <w:basedOn w:val="8"/>
    <w:qFormat/>
    <w:uiPriority w:val="0"/>
    <w:rPr>
      <w:color w:val="FFFFFF"/>
    </w:rPr>
  </w:style>
  <w:style w:type="character" w:customStyle="1" w:styleId="44">
    <w:name w:val="zwfw-sp2"/>
    <w:basedOn w:val="8"/>
    <w:qFormat/>
    <w:uiPriority w:val="0"/>
  </w:style>
  <w:style w:type="character" w:customStyle="1" w:styleId="45">
    <w:name w:val="ndata"/>
    <w:basedOn w:val="8"/>
    <w:qFormat/>
    <w:uiPriority w:val="0"/>
    <w:rPr>
      <w:color w:val="AAAAAA"/>
    </w:rPr>
  </w:style>
  <w:style w:type="character" w:customStyle="1" w:styleId="46">
    <w:name w:val="zy-gr-bj21"/>
    <w:basedOn w:val="8"/>
    <w:qFormat/>
    <w:uiPriority w:val="0"/>
  </w:style>
  <w:style w:type="character" w:customStyle="1" w:styleId="47">
    <w:name w:val="zy-fr-bj30"/>
    <w:basedOn w:val="8"/>
    <w:qFormat/>
    <w:uiPriority w:val="0"/>
  </w:style>
  <w:style w:type="character" w:customStyle="1" w:styleId="48">
    <w:name w:val="r-5-l-sp1"/>
    <w:basedOn w:val="8"/>
    <w:qFormat/>
    <w:uiPriority w:val="0"/>
  </w:style>
  <w:style w:type="character" w:customStyle="1" w:styleId="49">
    <w:name w:val="xtb-gr-08"/>
    <w:basedOn w:val="8"/>
    <w:qFormat/>
    <w:uiPriority w:val="0"/>
  </w:style>
  <w:style w:type="character" w:customStyle="1" w:styleId="50">
    <w:name w:val="hdjl-x-l-m-sp4"/>
    <w:basedOn w:val="8"/>
    <w:qFormat/>
    <w:uiPriority w:val="0"/>
  </w:style>
  <w:style w:type="character" w:customStyle="1" w:styleId="51">
    <w:name w:val="zx-xuan15"/>
    <w:basedOn w:val="8"/>
    <w:qFormat/>
    <w:uiPriority w:val="0"/>
    <w:rPr>
      <w:color w:val="FFFFFF"/>
    </w:rPr>
  </w:style>
  <w:style w:type="character" w:customStyle="1" w:styleId="52">
    <w:name w:val="xtb-fr-16"/>
    <w:basedOn w:val="8"/>
    <w:qFormat/>
    <w:uiPriority w:val="0"/>
  </w:style>
  <w:style w:type="character" w:customStyle="1" w:styleId="53">
    <w:name w:val="zy-fr-bj28"/>
    <w:basedOn w:val="8"/>
    <w:qFormat/>
    <w:uiPriority w:val="0"/>
  </w:style>
  <w:style w:type="character" w:customStyle="1" w:styleId="54">
    <w:name w:val="hdjl-x-l-m-sp3"/>
    <w:basedOn w:val="8"/>
    <w:qFormat/>
    <w:uiPriority w:val="0"/>
  </w:style>
  <w:style w:type="character" w:customStyle="1" w:styleId="55">
    <w:name w:val="hdjl-x-l-x-sp1"/>
    <w:basedOn w:val="8"/>
    <w:qFormat/>
    <w:uiPriority w:val="0"/>
    <w:rPr>
      <w:color w:val="BFBFBF"/>
      <w:sz w:val="19"/>
      <w:szCs w:val="19"/>
    </w:rPr>
  </w:style>
  <w:style w:type="character" w:customStyle="1" w:styleId="56">
    <w:name w:val="xtb-fr-07"/>
    <w:basedOn w:val="8"/>
    <w:qFormat/>
    <w:uiPriority w:val="0"/>
  </w:style>
  <w:style w:type="character" w:customStyle="1" w:styleId="57">
    <w:name w:val="hdjl-x-l-m-sp1"/>
    <w:basedOn w:val="8"/>
    <w:qFormat/>
    <w:uiPriority w:val="0"/>
  </w:style>
  <w:style w:type="character" w:customStyle="1" w:styleId="58">
    <w:name w:val="hdjl-x-l-m-sp2"/>
    <w:basedOn w:val="8"/>
    <w:qFormat/>
    <w:uiPriority w:val="0"/>
  </w:style>
  <w:style w:type="character" w:customStyle="1" w:styleId="59">
    <w:name w:val="xtb-gr-02"/>
    <w:basedOn w:val="8"/>
    <w:qFormat/>
    <w:uiPriority w:val="0"/>
  </w:style>
  <w:style w:type="character" w:customStyle="1" w:styleId="60">
    <w:name w:val="xtb-fr-23"/>
    <w:basedOn w:val="8"/>
    <w:qFormat/>
    <w:uiPriority w:val="0"/>
  </w:style>
  <w:style w:type="character" w:customStyle="1" w:styleId="61">
    <w:name w:val="hdxdata"/>
    <w:basedOn w:val="8"/>
    <w:qFormat/>
    <w:uiPriority w:val="0"/>
  </w:style>
  <w:style w:type="character" w:customStyle="1" w:styleId="62">
    <w:name w:val="xtb-gr-18"/>
    <w:basedOn w:val="8"/>
    <w:qFormat/>
    <w:uiPriority w:val="0"/>
  </w:style>
  <w:style w:type="character" w:customStyle="1" w:styleId="63">
    <w:name w:val="xtb-gr-15"/>
    <w:basedOn w:val="8"/>
    <w:qFormat/>
    <w:uiPriority w:val="0"/>
  </w:style>
  <w:style w:type="character" w:customStyle="1" w:styleId="64">
    <w:name w:val="xtb-fr-10"/>
    <w:basedOn w:val="8"/>
    <w:qFormat/>
    <w:uiPriority w:val="0"/>
  </w:style>
  <w:style w:type="character" w:customStyle="1" w:styleId="65">
    <w:name w:val="xtb-fr-09"/>
    <w:basedOn w:val="8"/>
    <w:qFormat/>
    <w:uiPriority w:val="0"/>
  </w:style>
  <w:style w:type="character" w:customStyle="1" w:styleId="66">
    <w:name w:val="xtb-gr-01"/>
    <w:basedOn w:val="8"/>
    <w:qFormat/>
    <w:uiPriority w:val="0"/>
  </w:style>
  <w:style w:type="character" w:customStyle="1" w:styleId="67">
    <w:name w:val="xtb-gr-07"/>
    <w:basedOn w:val="8"/>
    <w:qFormat/>
    <w:uiPriority w:val="0"/>
  </w:style>
  <w:style w:type="character" w:customStyle="1" w:styleId="68">
    <w:name w:val="xtb-gr-03"/>
    <w:basedOn w:val="8"/>
    <w:qFormat/>
    <w:uiPriority w:val="0"/>
  </w:style>
  <w:style w:type="character" w:customStyle="1" w:styleId="69">
    <w:name w:val="xtb-gr-04"/>
    <w:basedOn w:val="8"/>
    <w:qFormat/>
    <w:uiPriority w:val="0"/>
  </w:style>
  <w:style w:type="character" w:customStyle="1" w:styleId="70">
    <w:name w:val="xtb-gr-05"/>
    <w:basedOn w:val="8"/>
    <w:qFormat/>
    <w:uiPriority w:val="0"/>
  </w:style>
  <w:style w:type="character" w:customStyle="1" w:styleId="71">
    <w:name w:val="xtb-gr-06"/>
    <w:basedOn w:val="8"/>
    <w:qFormat/>
    <w:uiPriority w:val="0"/>
  </w:style>
  <w:style w:type="character" w:customStyle="1" w:styleId="72">
    <w:name w:val="xtb-gr-09"/>
    <w:basedOn w:val="8"/>
    <w:qFormat/>
    <w:uiPriority w:val="0"/>
  </w:style>
  <w:style w:type="character" w:customStyle="1" w:styleId="73">
    <w:name w:val="xtb-fr-17"/>
    <w:basedOn w:val="8"/>
    <w:qFormat/>
    <w:uiPriority w:val="0"/>
  </w:style>
  <w:style w:type="character" w:customStyle="1" w:styleId="74">
    <w:name w:val="xtb-gr-10"/>
    <w:basedOn w:val="8"/>
    <w:qFormat/>
    <w:uiPriority w:val="0"/>
  </w:style>
  <w:style w:type="character" w:customStyle="1" w:styleId="75">
    <w:name w:val="xtb-gr-11"/>
    <w:basedOn w:val="8"/>
    <w:qFormat/>
    <w:uiPriority w:val="0"/>
  </w:style>
  <w:style w:type="character" w:customStyle="1" w:styleId="76">
    <w:name w:val="xtb-gr-12"/>
    <w:basedOn w:val="8"/>
    <w:qFormat/>
    <w:uiPriority w:val="0"/>
  </w:style>
  <w:style w:type="character" w:customStyle="1" w:styleId="77">
    <w:name w:val="xtb-gr-13"/>
    <w:basedOn w:val="8"/>
    <w:qFormat/>
    <w:uiPriority w:val="0"/>
  </w:style>
  <w:style w:type="character" w:customStyle="1" w:styleId="78">
    <w:name w:val="xtb-gr-14"/>
    <w:basedOn w:val="8"/>
    <w:qFormat/>
    <w:uiPriority w:val="0"/>
  </w:style>
  <w:style w:type="character" w:customStyle="1" w:styleId="79">
    <w:name w:val="xtb-gr-16"/>
    <w:basedOn w:val="8"/>
    <w:qFormat/>
    <w:uiPriority w:val="0"/>
  </w:style>
  <w:style w:type="character" w:customStyle="1" w:styleId="80">
    <w:name w:val="xtb-gr-17"/>
    <w:basedOn w:val="8"/>
    <w:qFormat/>
    <w:uiPriority w:val="0"/>
  </w:style>
  <w:style w:type="character" w:customStyle="1" w:styleId="81">
    <w:name w:val="xtb-gr-19"/>
    <w:basedOn w:val="8"/>
    <w:qFormat/>
    <w:uiPriority w:val="0"/>
  </w:style>
  <w:style w:type="character" w:customStyle="1" w:styleId="82">
    <w:name w:val="xtb-gr-20"/>
    <w:basedOn w:val="8"/>
    <w:qFormat/>
    <w:uiPriority w:val="0"/>
  </w:style>
  <w:style w:type="character" w:customStyle="1" w:styleId="83">
    <w:name w:val="xtb-fr-01"/>
    <w:basedOn w:val="8"/>
    <w:qFormat/>
    <w:uiPriority w:val="0"/>
  </w:style>
  <w:style w:type="character" w:customStyle="1" w:styleId="84">
    <w:name w:val="xtb-fr-02"/>
    <w:basedOn w:val="8"/>
    <w:qFormat/>
    <w:uiPriority w:val="0"/>
  </w:style>
  <w:style w:type="character" w:customStyle="1" w:styleId="85">
    <w:name w:val="xtb-fr-03"/>
    <w:basedOn w:val="8"/>
    <w:qFormat/>
    <w:uiPriority w:val="0"/>
  </w:style>
  <w:style w:type="character" w:customStyle="1" w:styleId="86">
    <w:name w:val="xtb-fr-04"/>
    <w:basedOn w:val="8"/>
    <w:qFormat/>
    <w:uiPriority w:val="0"/>
  </w:style>
  <w:style w:type="character" w:customStyle="1" w:styleId="87">
    <w:name w:val="xtb-fr-05"/>
    <w:basedOn w:val="8"/>
    <w:qFormat/>
    <w:uiPriority w:val="0"/>
  </w:style>
  <w:style w:type="character" w:customStyle="1" w:styleId="88">
    <w:name w:val="xtb-fr-06"/>
    <w:basedOn w:val="8"/>
    <w:qFormat/>
    <w:uiPriority w:val="0"/>
  </w:style>
  <w:style w:type="character" w:customStyle="1" w:styleId="89">
    <w:name w:val="xtb-fr-24"/>
    <w:basedOn w:val="8"/>
    <w:qFormat/>
    <w:uiPriority w:val="0"/>
  </w:style>
  <w:style w:type="character" w:customStyle="1" w:styleId="90">
    <w:name w:val="xtb-fr-15"/>
    <w:basedOn w:val="8"/>
    <w:qFormat/>
    <w:uiPriority w:val="0"/>
  </w:style>
  <w:style w:type="character" w:customStyle="1" w:styleId="91">
    <w:name w:val="xtb-fr-11"/>
    <w:basedOn w:val="8"/>
    <w:qFormat/>
    <w:uiPriority w:val="0"/>
  </w:style>
  <w:style w:type="character" w:customStyle="1" w:styleId="92">
    <w:name w:val="zy-fr-bj27"/>
    <w:basedOn w:val="8"/>
    <w:qFormat/>
    <w:uiPriority w:val="0"/>
  </w:style>
  <w:style w:type="character" w:customStyle="1" w:styleId="93">
    <w:name w:val="xtb-fr-12"/>
    <w:basedOn w:val="8"/>
    <w:qFormat/>
    <w:uiPriority w:val="0"/>
  </w:style>
  <w:style w:type="character" w:customStyle="1" w:styleId="94">
    <w:name w:val="xtb-fr-14"/>
    <w:basedOn w:val="8"/>
    <w:qFormat/>
    <w:uiPriority w:val="0"/>
  </w:style>
  <w:style w:type="character" w:customStyle="1" w:styleId="95">
    <w:name w:val="xtb-fr-18"/>
    <w:basedOn w:val="8"/>
    <w:qFormat/>
    <w:uiPriority w:val="0"/>
  </w:style>
  <w:style w:type="character" w:customStyle="1" w:styleId="96">
    <w:name w:val="xtb-fr-20"/>
    <w:basedOn w:val="8"/>
    <w:qFormat/>
    <w:uiPriority w:val="0"/>
  </w:style>
  <w:style w:type="character" w:customStyle="1" w:styleId="97">
    <w:name w:val="xtb-fr-21"/>
    <w:basedOn w:val="8"/>
    <w:qFormat/>
    <w:uiPriority w:val="0"/>
  </w:style>
  <w:style w:type="character" w:customStyle="1" w:styleId="98">
    <w:name w:val="xtb-fr-22"/>
    <w:basedOn w:val="8"/>
    <w:qFormat/>
    <w:uiPriority w:val="0"/>
  </w:style>
  <w:style w:type="character" w:customStyle="1" w:styleId="99">
    <w:name w:val="zy-gr-bj15"/>
    <w:basedOn w:val="8"/>
    <w:qFormat/>
    <w:uiPriority w:val="0"/>
  </w:style>
  <w:style w:type="character" w:customStyle="1" w:styleId="100">
    <w:name w:val="zy-gr-bj1"/>
    <w:basedOn w:val="8"/>
    <w:qFormat/>
    <w:uiPriority w:val="0"/>
  </w:style>
  <w:style w:type="character" w:customStyle="1" w:styleId="101">
    <w:name w:val="zy-gr-bj5"/>
    <w:basedOn w:val="8"/>
    <w:qFormat/>
    <w:uiPriority w:val="0"/>
  </w:style>
  <w:style w:type="character" w:customStyle="1" w:styleId="102">
    <w:name w:val="zy-gr-bj7"/>
    <w:basedOn w:val="8"/>
    <w:qFormat/>
    <w:uiPriority w:val="0"/>
  </w:style>
  <w:style w:type="character" w:customStyle="1" w:styleId="103">
    <w:name w:val="zy-gr-bj2"/>
    <w:basedOn w:val="8"/>
    <w:qFormat/>
    <w:uiPriority w:val="0"/>
  </w:style>
  <w:style w:type="character" w:customStyle="1" w:styleId="104">
    <w:name w:val="zy-fr-bj19"/>
    <w:basedOn w:val="8"/>
    <w:qFormat/>
    <w:uiPriority w:val="0"/>
  </w:style>
  <w:style w:type="character" w:customStyle="1" w:styleId="105">
    <w:name w:val="zy-gr-bj26"/>
    <w:basedOn w:val="8"/>
    <w:qFormat/>
    <w:uiPriority w:val="0"/>
  </w:style>
  <w:style w:type="character" w:customStyle="1" w:styleId="106">
    <w:name w:val="zy-fr-bj10"/>
    <w:basedOn w:val="8"/>
    <w:qFormat/>
    <w:uiPriority w:val="0"/>
  </w:style>
  <w:style w:type="character" w:customStyle="1" w:styleId="107">
    <w:name w:val="zy-gr-bj27"/>
    <w:basedOn w:val="8"/>
    <w:qFormat/>
    <w:uiPriority w:val="0"/>
  </w:style>
  <w:style w:type="character" w:customStyle="1" w:styleId="108">
    <w:name w:val="zy-gr-bj3"/>
    <w:basedOn w:val="8"/>
    <w:qFormat/>
    <w:uiPriority w:val="0"/>
  </w:style>
  <w:style w:type="character" w:customStyle="1" w:styleId="109">
    <w:name w:val="zy-gr-bj13"/>
    <w:basedOn w:val="8"/>
    <w:qFormat/>
    <w:uiPriority w:val="0"/>
  </w:style>
  <w:style w:type="character" w:customStyle="1" w:styleId="110">
    <w:name w:val="zy-fr-bj1"/>
    <w:basedOn w:val="8"/>
    <w:qFormat/>
    <w:uiPriority w:val="0"/>
  </w:style>
  <w:style w:type="character" w:customStyle="1" w:styleId="111">
    <w:name w:val="zy-gr-bj4"/>
    <w:basedOn w:val="8"/>
    <w:qFormat/>
    <w:uiPriority w:val="0"/>
  </w:style>
  <w:style w:type="character" w:customStyle="1" w:styleId="112">
    <w:name w:val="zy-gr-bj6"/>
    <w:basedOn w:val="8"/>
    <w:qFormat/>
    <w:uiPriority w:val="0"/>
  </w:style>
  <w:style w:type="character" w:customStyle="1" w:styleId="113">
    <w:name w:val="zy-gr-bj8"/>
    <w:basedOn w:val="8"/>
    <w:qFormat/>
    <w:uiPriority w:val="0"/>
  </w:style>
  <w:style w:type="character" w:customStyle="1" w:styleId="114">
    <w:name w:val="zy-gr-bj9"/>
    <w:basedOn w:val="8"/>
    <w:qFormat/>
    <w:uiPriority w:val="0"/>
  </w:style>
  <w:style w:type="character" w:customStyle="1" w:styleId="115">
    <w:name w:val="zy-gr-bj10"/>
    <w:basedOn w:val="8"/>
    <w:qFormat/>
    <w:uiPriority w:val="0"/>
  </w:style>
  <w:style w:type="character" w:customStyle="1" w:styleId="116">
    <w:name w:val="zy-gr-bj11"/>
    <w:basedOn w:val="8"/>
    <w:qFormat/>
    <w:uiPriority w:val="0"/>
  </w:style>
  <w:style w:type="character" w:customStyle="1" w:styleId="117">
    <w:name w:val="zy-gr-bj12"/>
    <w:basedOn w:val="8"/>
    <w:qFormat/>
    <w:uiPriority w:val="0"/>
  </w:style>
  <w:style w:type="character" w:customStyle="1" w:styleId="118">
    <w:name w:val="zy-gr-bj14"/>
    <w:basedOn w:val="8"/>
    <w:qFormat/>
    <w:uiPriority w:val="0"/>
  </w:style>
  <w:style w:type="character" w:customStyle="1" w:styleId="119">
    <w:name w:val="zy-gr-bj16"/>
    <w:basedOn w:val="8"/>
    <w:qFormat/>
    <w:uiPriority w:val="0"/>
  </w:style>
  <w:style w:type="character" w:customStyle="1" w:styleId="120">
    <w:name w:val="zy-fr-bj26"/>
    <w:basedOn w:val="8"/>
    <w:qFormat/>
    <w:uiPriority w:val="0"/>
  </w:style>
  <w:style w:type="character" w:customStyle="1" w:styleId="121">
    <w:name w:val="zy-gr-bj18"/>
    <w:basedOn w:val="8"/>
    <w:qFormat/>
    <w:uiPriority w:val="0"/>
  </w:style>
  <w:style w:type="character" w:customStyle="1" w:styleId="122">
    <w:name w:val="zy-fr-bj2"/>
    <w:basedOn w:val="8"/>
    <w:qFormat/>
    <w:uiPriority w:val="0"/>
  </w:style>
  <w:style w:type="character" w:customStyle="1" w:styleId="123">
    <w:name w:val="zy-gr-bj19"/>
    <w:basedOn w:val="8"/>
    <w:qFormat/>
    <w:uiPriority w:val="0"/>
  </w:style>
  <w:style w:type="character" w:customStyle="1" w:styleId="124">
    <w:name w:val="zy-gr-bj22"/>
    <w:basedOn w:val="8"/>
    <w:qFormat/>
    <w:uiPriority w:val="0"/>
  </w:style>
  <w:style w:type="character" w:customStyle="1" w:styleId="125">
    <w:name w:val="zy-gr-bj23"/>
    <w:basedOn w:val="8"/>
    <w:qFormat/>
    <w:uiPriority w:val="0"/>
  </w:style>
  <w:style w:type="character" w:customStyle="1" w:styleId="126">
    <w:name w:val="zy-gr-bj24"/>
    <w:basedOn w:val="8"/>
    <w:qFormat/>
    <w:uiPriority w:val="0"/>
  </w:style>
  <w:style w:type="character" w:customStyle="1" w:styleId="127">
    <w:name w:val="zy-fr-bj12"/>
    <w:basedOn w:val="8"/>
    <w:qFormat/>
    <w:uiPriority w:val="0"/>
  </w:style>
  <w:style w:type="character" w:customStyle="1" w:styleId="128">
    <w:name w:val="zy-gr-bj25"/>
    <w:basedOn w:val="8"/>
    <w:qFormat/>
    <w:uiPriority w:val="0"/>
  </w:style>
  <w:style w:type="character" w:customStyle="1" w:styleId="129">
    <w:name w:val="zy-fr-bj13"/>
    <w:basedOn w:val="8"/>
    <w:qFormat/>
    <w:uiPriority w:val="0"/>
  </w:style>
  <w:style w:type="character" w:customStyle="1" w:styleId="130">
    <w:name w:val="zy-fr-bj22"/>
    <w:basedOn w:val="8"/>
    <w:qFormat/>
    <w:uiPriority w:val="0"/>
  </w:style>
  <w:style w:type="character" w:customStyle="1" w:styleId="131">
    <w:name w:val="zy-fr-bj4"/>
    <w:basedOn w:val="8"/>
    <w:qFormat/>
    <w:uiPriority w:val="0"/>
  </w:style>
  <w:style w:type="character" w:customStyle="1" w:styleId="132">
    <w:name w:val="zy-fr-bj5"/>
    <w:basedOn w:val="8"/>
    <w:qFormat/>
    <w:uiPriority w:val="0"/>
  </w:style>
  <w:style w:type="character" w:customStyle="1" w:styleId="133">
    <w:name w:val="zy-fr-bj7"/>
    <w:basedOn w:val="8"/>
    <w:qFormat/>
    <w:uiPriority w:val="0"/>
  </w:style>
  <w:style w:type="character" w:customStyle="1" w:styleId="134">
    <w:name w:val="zy-fr-bj11"/>
    <w:basedOn w:val="8"/>
    <w:qFormat/>
    <w:uiPriority w:val="0"/>
  </w:style>
  <w:style w:type="character" w:customStyle="1" w:styleId="135">
    <w:name w:val="zy-fr-bj8"/>
    <w:basedOn w:val="8"/>
    <w:qFormat/>
    <w:uiPriority w:val="0"/>
  </w:style>
  <w:style w:type="character" w:customStyle="1" w:styleId="136">
    <w:name w:val="zy-fr-bj14"/>
    <w:basedOn w:val="8"/>
    <w:qFormat/>
    <w:uiPriority w:val="0"/>
  </w:style>
  <w:style w:type="character" w:customStyle="1" w:styleId="137">
    <w:name w:val="zy-fr-bj15"/>
    <w:basedOn w:val="8"/>
    <w:qFormat/>
    <w:uiPriority w:val="0"/>
  </w:style>
  <w:style w:type="character" w:customStyle="1" w:styleId="138">
    <w:name w:val="zy-fr-bj16"/>
    <w:basedOn w:val="8"/>
    <w:qFormat/>
    <w:uiPriority w:val="0"/>
  </w:style>
  <w:style w:type="character" w:customStyle="1" w:styleId="139">
    <w:name w:val="zy-fr-bj18"/>
    <w:basedOn w:val="8"/>
    <w:qFormat/>
    <w:uiPriority w:val="0"/>
  </w:style>
  <w:style w:type="character" w:customStyle="1" w:styleId="140">
    <w:name w:val="zy-fr-bj20"/>
    <w:basedOn w:val="8"/>
    <w:qFormat/>
    <w:uiPriority w:val="0"/>
  </w:style>
  <w:style w:type="character" w:customStyle="1" w:styleId="141">
    <w:name w:val="zy-fr-bj21"/>
    <w:basedOn w:val="8"/>
    <w:qFormat/>
    <w:uiPriority w:val="0"/>
  </w:style>
  <w:style w:type="character" w:customStyle="1" w:styleId="142">
    <w:name w:val="zy-fr-bj23"/>
    <w:basedOn w:val="8"/>
    <w:qFormat/>
    <w:uiPriority w:val="0"/>
  </w:style>
  <w:style w:type="character" w:customStyle="1" w:styleId="143">
    <w:name w:val="zy-fr-bj24"/>
    <w:basedOn w:val="8"/>
    <w:qFormat/>
    <w:uiPriority w:val="0"/>
  </w:style>
  <w:style w:type="character" w:customStyle="1" w:styleId="144">
    <w:name w:val="zy-fr-bj25"/>
    <w:basedOn w:val="8"/>
    <w:qFormat/>
    <w:uiPriority w:val="0"/>
  </w:style>
  <w:style w:type="character" w:customStyle="1" w:styleId="145">
    <w:name w:val="zy-fr-bj29"/>
    <w:basedOn w:val="8"/>
    <w:qFormat/>
    <w:uiPriority w:val="0"/>
  </w:style>
  <w:style w:type="character" w:customStyle="1" w:styleId="146">
    <w:name w:val="zx-span31"/>
    <w:basedOn w:val="8"/>
    <w:qFormat/>
    <w:uiPriority w:val="0"/>
    <w:rPr>
      <w:color w:val="FFFFFF"/>
    </w:rPr>
  </w:style>
  <w:style w:type="character" w:customStyle="1" w:styleId="147">
    <w:name w:val="zx-span51"/>
    <w:basedOn w:val="8"/>
    <w:qFormat/>
    <w:uiPriority w:val="0"/>
    <w:rPr>
      <w:color w:val="FFFFFF"/>
    </w:rPr>
  </w:style>
  <w:style w:type="character" w:customStyle="1" w:styleId="148">
    <w:name w:val="cur"/>
    <w:basedOn w:val="8"/>
    <w:qFormat/>
    <w:uiPriority w:val="0"/>
    <w:rPr>
      <w:shd w:val="clear" w:color="auto" w:fill="0168B7"/>
    </w:rPr>
  </w:style>
  <w:style w:type="character" w:customStyle="1" w:styleId="149">
    <w:name w:val="hover75"/>
    <w:basedOn w:val="8"/>
    <w:qFormat/>
    <w:uiPriority w:val="0"/>
  </w:style>
  <w:style w:type="character" w:customStyle="1" w:styleId="150">
    <w:name w:val="zx-xuan7"/>
    <w:basedOn w:val="8"/>
    <w:qFormat/>
    <w:uiPriority w:val="0"/>
    <w:rPr>
      <w:color w:val="FFFFFF"/>
    </w:rPr>
  </w:style>
  <w:style w:type="character" w:customStyle="1" w:styleId="151">
    <w:name w:val="r-6-l-sp3"/>
    <w:basedOn w:val="8"/>
    <w:qFormat/>
    <w:uiPriority w:val="0"/>
  </w:style>
  <w:style w:type="character" w:customStyle="1" w:styleId="152">
    <w:name w:val="r-6-l-sp1"/>
    <w:basedOn w:val="8"/>
    <w:qFormat/>
    <w:uiPriority w:val="0"/>
  </w:style>
  <w:style w:type="character" w:customStyle="1" w:styleId="153">
    <w:name w:val="r-6-l-sp2"/>
    <w:basedOn w:val="8"/>
    <w:qFormat/>
    <w:uiPriority w:val="0"/>
  </w:style>
  <w:style w:type="character" w:customStyle="1" w:styleId="154">
    <w:name w:val="hover"/>
    <w:basedOn w:val="8"/>
    <w:qFormat/>
    <w:uiPriority w:val="0"/>
    <w:rPr>
      <w:shd w:val="clear" w:color="auto" w:fill="A40000"/>
    </w:rPr>
  </w:style>
  <w:style w:type="character" w:customStyle="1" w:styleId="155">
    <w:name w:val="hover1"/>
    <w:basedOn w:val="8"/>
    <w:qFormat/>
    <w:uiPriority w:val="0"/>
    <w:rPr>
      <w:color w:val="CA1C1D"/>
    </w:rPr>
  </w:style>
  <w:style w:type="character" w:customStyle="1" w:styleId="156">
    <w:name w:val="font41"/>
    <w:basedOn w:val="8"/>
    <w:qFormat/>
    <w:uiPriority w:val="0"/>
    <w:rPr>
      <w:rFonts w:hint="eastAsia" w:ascii="宋体" w:hAnsi="宋体" w:eastAsia="宋体" w:cs="宋体"/>
      <w:color w:val="000000"/>
      <w:sz w:val="22"/>
      <w:szCs w:val="22"/>
      <w:u w:val="none"/>
    </w:rPr>
  </w:style>
  <w:style w:type="character" w:customStyle="1" w:styleId="157">
    <w:name w:val="font11"/>
    <w:qFormat/>
    <w:uiPriority w:val="0"/>
    <w:rPr>
      <w:rFonts w:hint="eastAsia" w:ascii="宋体" w:hAnsi="宋体" w:eastAsia="宋体" w:cs="宋体"/>
      <w:color w:val="000000"/>
      <w:sz w:val="24"/>
      <w:szCs w:val="24"/>
      <w:u w:val="none"/>
    </w:rPr>
  </w:style>
  <w:style w:type="paragraph" w:customStyle="1" w:styleId="158">
    <w:name w:val="Char Char Char Char"/>
    <w:basedOn w:val="1"/>
    <w:qFormat/>
    <w:uiPriority w:val="0"/>
    <w:rPr>
      <w:rFonts w:ascii="Times New Roman" w:hAnsi="Times New Roman" w:eastAsia="宋体" w:cs="Times New Roman"/>
      <w:sz w:val="24"/>
    </w:rPr>
  </w:style>
  <w:style w:type="paragraph" w:customStyle="1" w:styleId="159">
    <w:name w:val="正文-公1"/>
    <w:qFormat/>
    <w:uiPriority w:val="0"/>
    <w:pPr>
      <w:widowControl w:val="0"/>
      <w:ind w:firstLine="200" w:firstLineChars="200"/>
      <w:jc w:val="both"/>
    </w:pPr>
    <w:rPr>
      <w:rFonts w:ascii="Calibri" w:hAnsi="Calibri" w:eastAsia="宋体" w:cs="Calibri"/>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lang="zh-CN" altLang="en-US">
                <a:solidFill>
                  <a:schemeClr val="tx1"/>
                </a:solidFill>
                <a:latin typeface="黑体" panose="02010609060101010101" charset="-122"/>
                <a:ea typeface="黑体" panose="02010609060101010101" charset="-122"/>
                <a:cs typeface="黑体" panose="02010609060101010101" charset="-122"/>
              </a:rPr>
              <a:t>图</a:t>
            </a:r>
            <a:r>
              <a:rPr lang="en-US" altLang="zh-CN">
                <a:solidFill>
                  <a:schemeClr val="tx1"/>
                </a:solidFill>
                <a:latin typeface="黑体" panose="02010609060101010101" charset="-122"/>
                <a:ea typeface="黑体" panose="02010609060101010101" charset="-122"/>
                <a:cs typeface="黑体" panose="02010609060101010101" charset="-122"/>
              </a:rPr>
              <a:t>1  2017-2021</a:t>
            </a:r>
            <a:r>
              <a:rPr lang="zh-CN" altLang="en-US">
                <a:solidFill>
                  <a:schemeClr val="tx1"/>
                </a:solidFill>
                <a:latin typeface="黑体" panose="02010609060101010101" charset="-122"/>
                <a:ea typeface="黑体" panose="02010609060101010101" charset="-122"/>
                <a:cs typeface="黑体" panose="02010609060101010101" charset="-122"/>
              </a:rPr>
              <a:t>年全市地区生产总值及其增长速度</a:t>
            </a:r>
            <a:endParaRPr lang="zh-CN" altLang="en-US">
              <a:solidFill>
                <a:schemeClr val="tx1"/>
              </a:solidFill>
              <a:latin typeface="黑体" panose="02010609060101010101" charset="-122"/>
              <a:ea typeface="黑体" panose="02010609060101010101" charset="-122"/>
              <a:cs typeface="黑体" panose="02010609060101010101" charset="-122"/>
            </a:endParaRPr>
          </a:p>
        </c:rich>
      </c:tx>
      <c:layout>
        <c:manualLayout>
          <c:xMode val="edge"/>
          <c:yMode val="edge"/>
          <c:x val="0.138882311153209"/>
          <c:y val="0.0240144086451871"/>
        </c:manualLayout>
      </c:layout>
      <c:overlay val="0"/>
      <c:spPr>
        <a:noFill/>
        <a:ln>
          <a:noFill/>
        </a:ln>
        <a:effectLst/>
      </c:spPr>
    </c:title>
    <c:autoTitleDeleted val="0"/>
    <c:plotArea>
      <c:layout>
        <c:manualLayout>
          <c:layoutTarget val="inner"/>
          <c:xMode val="edge"/>
          <c:yMode val="edge"/>
          <c:x val="0.119654274212645"/>
          <c:y val="0.187712627576546"/>
          <c:w val="0.819891072697135"/>
          <c:h val="0.729517710626376"/>
        </c:manualLayout>
      </c:layout>
      <c:barChart>
        <c:barDir val="col"/>
        <c:grouping val="clustered"/>
        <c:varyColors val="0"/>
        <c:ser>
          <c:idx val="1"/>
          <c:order val="0"/>
          <c:tx>
            <c:strRef>
              <c:f>Sheet1!$B$1</c:f>
              <c:strCache>
                <c:ptCount val="1"/>
                <c:pt idx="0">
                  <c:v>地区生产总值</c:v>
                </c:pt>
              </c:strCache>
            </c:strRef>
          </c:tx>
          <c:spPr>
            <a:solidFill>
              <a:schemeClr val="accent2"/>
            </a:solidFill>
            <a:ln>
              <a:noFill/>
            </a:ln>
            <a:effectLst/>
          </c:spPr>
          <c:invertIfNegative val="0"/>
          <c:dLbls>
            <c:dLbl>
              <c:idx val="0"/>
              <c:layout>
                <c:manualLayout>
                  <c:x val="0.00376884422110553"/>
                  <c:y val="-0.079516539440203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2423629</a:t>
                    </a:r>
                    <a:endParaRPr lang="en-US" altLang="zh-CN"/>
                  </a:p>
                </c:rich>
              </c:tx>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65326633165829"/>
                  <c:y val="-0.076335877862595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2605268</a:t>
                    </a:r>
                    <a:endParaRPr lang="en-US" altLang="zh-CN"/>
                  </a:p>
                </c:rich>
              </c:tx>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65326633165829"/>
                  <c:y val="-0.060432569974554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2832967</a:t>
                    </a:r>
                    <a:endParaRPr lang="en-US" altLang="zh-CN"/>
                  </a:p>
                </c:rich>
              </c:tx>
              <c:dLblPos val="in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76884422110553"/>
                  <c:y val="-0.069974554707379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2920957</a:t>
                    </a:r>
                    <a:endParaRPr lang="en-US" altLang="zh-CN"/>
                  </a:p>
                </c:rich>
              </c:tx>
              <c:dLblPos val="in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0251256281407"/>
                  <c:y val="0.01524613812586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3378745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2017年</c:v>
                </c:pt>
                <c:pt idx="1">
                  <c:v>2018年</c:v>
                </c:pt>
                <c:pt idx="2">
                  <c:v>2019年</c:v>
                </c:pt>
                <c:pt idx="3">
                  <c:v>2020年</c:v>
                </c:pt>
                <c:pt idx="4">
                  <c:v>2021年</c:v>
                </c:pt>
              </c:strCache>
            </c:strRef>
          </c:cat>
          <c:val>
            <c:numRef>
              <c:f>Sheet1!$B$2:$B$6</c:f>
              <c:numCache>
                <c:formatCode>General</c:formatCode>
                <c:ptCount val="5"/>
                <c:pt idx="0">
                  <c:v>2423629</c:v>
                </c:pt>
                <c:pt idx="1">
                  <c:v>2605268</c:v>
                </c:pt>
                <c:pt idx="2">
                  <c:v>2832967</c:v>
                </c:pt>
                <c:pt idx="3">
                  <c:v>2920957</c:v>
                </c:pt>
                <c:pt idx="4">
                  <c:v>3378745</c:v>
                </c:pt>
              </c:numCache>
            </c:numRef>
          </c:val>
        </c:ser>
        <c:dLbls>
          <c:showLegendKey val="0"/>
          <c:showVal val="1"/>
          <c:showCatName val="0"/>
          <c:showSerName val="0"/>
          <c:showPercent val="0"/>
          <c:showBubbleSize val="0"/>
        </c:dLbls>
        <c:gapWidth val="219"/>
        <c:overlap val="-27"/>
        <c:axId val="751926800"/>
        <c:axId val="490875712"/>
      </c:barChart>
      <c:lineChart>
        <c:grouping val="standard"/>
        <c:varyColors val="0"/>
        <c:ser>
          <c:idx val="2"/>
          <c:order val="1"/>
          <c:tx>
            <c:strRef>
              <c:f>Sheet1!$C$1</c:f>
              <c:strCache>
                <c:ptCount val="1"/>
                <c:pt idx="0">
                  <c:v>比上年增长</c:v>
                </c:pt>
              </c:strCache>
            </c:strRef>
          </c:tx>
          <c:spPr>
            <a:ln w="19050" cap="rnd" cmpd="sng">
              <a:solidFill>
                <a:srgbClr val="0070C0"/>
              </a:solidFill>
              <a:prstDash val="solid"/>
              <a:round/>
            </a:ln>
            <a:effectLst/>
          </c:spPr>
          <c:marker>
            <c:symbol val="none"/>
          </c:marker>
          <c:dLbls>
            <c:dLbl>
              <c:idx val="0"/>
              <c:layout>
                <c:manualLayout>
                  <c:x val="-0.0358040201005025"/>
                  <c:y val="-0.047709923664122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7.5</a:t>
                    </a:r>
                    <a:endParaRPr lang="en-US" altLang="zh-CN"/>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58040201005025"/>
                  <c:y val="-0.041348600508905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3.8</a:t>
                    </a:r>
                    <a:endParaRPr lang="en-US" altLang="zh-CN"/>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08291457286432"/>
                  <c:y val="-0.054071246819338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5.1</a:t>
                    </a:r>
                    <a:endParaRPr lang="en-US" altLang="zh-CN"/>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58040201005025"/>
                  <c:y val="-0.041348600508905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3.0</a:t>
                    </a:r>
                    <a:endParaRPr lang="en-US" altLang="zh-CN"/>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76884422110553"/>
                  <c:y val="-0.050890585241730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t>9.6</a:t>
                    </a:r>
                    <a:endParaRPr lang="en-US" altLang="zh-CN"/>
                  </a:p>
                </c:rich>
              </c:tx>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2017年</c:v>
                </c:pt>
                <c:pt idx="1">
                  <c:v>2018年</c:v>
                </c:pt>
                <c:pt idx="2">
                  <c:v>2019年</c:v>
                </c:pt>
                <c:pt idx="3">
                  <c:v>2020年</c:v>
                </c:pt>
                <c:pt idx="4">
                  <c:v>2021年</c:v>
                </c:pt>
              </c:strCache>
            </c:strRef>
          </c:cat>
          <c:val>
            <c:numRef>
              <c:f>Sheet1!$C$2:$C$6</c:f>
              <c:numCache>
                <c:formatCode>General</c:formatCode>
                <c:ptCount val="5"/>
                <c:pt idx="0">
                  <c:v>7.5</c:v>
                </c:pt>
                <c:pt idx="1">
                  <c:v>3.8</c:v>
                </c:pt>
                <c:pt idx="2">
                  <c:v>5.1</c:v>
                </c:pt>
                <c:pt idx="3" c:formatCode="0.0_ ">
                  <c:v>3</c:v>
                </c:pt>
                <c:pt idx="4" c:formatCode="0.0_ ">
                  <c:v>9.6</c:v>
                </c:pt>
              </c:numCache>
            </c:numRef>
          </c:val>
          <c:smooth val="0"/>
        </c:ser>
        <c:dLbls>
          <c:showLegendKey val="0"/>
          <c:showVal val="1"/>
          <c:showCatName val="0"/>
          <c:showSerName val="0"/>
          <c:showPercent val="0"/>
          <c:showBubbleSize val="0"/>
        </c:dLbls>
        <c:marker val="0"/>
        <c:smooth val="0"/>
        <c:axId val="876542384"/>
        <c:axId val="36226132"/>
      </c:lineChart>
      <c:catAx>
        <c:axId val="751926800"/>
        <c:scaling>
          <c:orientation val="minMax"/>
        </c:scaling>
        <c:delete val="0"/>
        <c:axPos val="b"/>
        <c:numFmt formatCode="General" sourceLinked="0"/>
        <c:majorTickMark val="in"/>
        <c:minorTickMark val="none"/>
        <c:tickLblPos val="nextTo"/>
        <c:spPr>
          <a:noFill/>
          <a:ln w="9525" cap="flat" cmpd="sng" algn="ctr">
            <a:solidFill>
              <a:schemeClr val="tx1">
                <a:lumMod val="50000"/>
                <a:lumOff val="50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90875712"/>
        <c:crosses val="autoZero"/>
        <c:auto val="1"/>
        <c:lblAlgn val="ctr"/>
        <c:lblOffset val="100"/>
        <c:noMultiLvlLbl val="0"/>
      </c:catAx>
      <c:valAx>
        <c:axId val="490875712"/>
        <c:scaling>
          <c:orientation val="minMax"/>
        </c:scaling>
        <c:delete val="0"/>
        <c:axPos val="l"/>
        <c:majorGridlines>
          <c:spPr>
            <a:ln w="9525" cap="flat" cmpd="sng" algn="ctr">
              <a:noFill/>
              <a:round/>
            </a:ln>
            <a:effectLst/>
          </c:spPr>
        </c:majorGridlines>
        <c:title>
          <c:tx>
            <c:rich>
              <a:bodyPr rot="0" spcFirstLastPara="0" vertOverflow="ellipsis" vert="horz" wrap="square" anchor="ctr" anchorCtr="1"/>
              <a:lstStyle/>
              <a:p>
                <a:pPr defTabSz="914400">
                  <a:defRPr lang="zh-CN" sz="900" b="0" i="0" u="none" strike="noStrike" kern="120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rPr lang="zh-CN" altLang="en-US" sz="900" b="0">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万元</a:t>
                </a:r>
                <a:endParaRPr lang="zh-CN" altLang="en-US" sz="900" b="0">
                  <a:solidFill>
                    <a:schemeClr val="tx1"/>
                  </a:solidFill>
                  <a:latin typeface="宋体" panose="02010600030101010101" charset="-122"/>
                  <a:ea typeface="宋体" panose="02010600030101010101" charset="-122"/>
                  <a:cs typeface="宋体" panose="02010600030101010101" charset="-122"/>
                  <a:sym typeface="宋体" panose="02010600030101010101" charset="-122"/>
                </a:endParaRPr>
              </a:p>
            </c:rich>
          </c:tx>
          <c:layout>
            <c:manualLayout>
              <c:xMode val="edge"/>
              <c:yMode val="edge"/>
              <c:x val="0.0389186719191369"/>
              <c:y val="0.108703746827543"/>
            </c:manualLayout>
          </c:layout>
          <c:overlay val="0"/>
          <c:spPr>
            <a:noFill/>
            <a:ln>
              <a:noFill/>
            </a:ln>
            <a:effectLst/>
          </c:spPr>
        </c:title>
        <c:numFmt formatCode="General" sourceLinked="1"/>
        <c:majorTickMark val="in"/>
        <c:minorTickMark val="none"/>
        <c:tickLblPos val="nextTo"/>
        <c:spPr>
          <a:noFill/>
          <a:ln>
            <a:solidFill>
              <a:schemeClr val="tx1">
                <a:lumMod val="50000"/>
                <a:lumOff val="50000"/>
              </a:schemeClr>
            </a:solidFill>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51926800"/>
        <c:crosses val="autoZero"/>
        <c:crossBetween val="between"/>
      </c:valAx>
      <c:catAx>
        <c:axId val="876542384"/>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226132"/>
        <c:crosses val="autoZero"/>
        <c:auto val="1"/>
        <c:lblAlgn val="ctr"/>
        <c:lblOffset val="100"/>
        <c:noMultiLvlLbl val="0"/>
      </c:catAx>
      <c:valAx>
        <c:axId val="36226132"/>
        <c:scaling>
          <c:orientation val="minMax"/>
          <c:max val="15"/>
          <c:min val="1"/>
        </c:scaling>
        <c:delete val="0"/>
        <c:axPos val="r"/>
        <c:title>
          <c:tx>
            <c:rich>
              <a:bodyPr rot="0" spcFirstLastPara="0" vertOverflow="ellipsis" vert="horz" wrap="square" anchor="ctr" anchorCtr="1"/>
              <a:lstStyle/>
              <a:p>
                <a:pPr defTabSz="914400">
                  <a:defRPr lang="zh-CN" sz="900" b="0" i="0" u="none" strike="noStrike" kern="1200" baseline="0">
                    <a:solidFill>
                      <a:schemeClr val="tx1"/>
                    </a:solidFill>
                    <a:latin typeface="+mn-ea"/>
                    <a:ea typeface="+mn-ea"/>
                    <a:cs typeface="+mn-ea"/>
                    <a:sym typeface="+mn-ea"/>
                  </a:defRPr>
                </a:pPr>
                <a:r>
                  <a:rPr lang="en-US" altLang="zh-CN" sz="900" b="0">
                    <a:solidFill>
                      <a:schemeClr val="tx1"/>
                    </a:solidFill>
                    <a:latin typeface="+mn-ea"/>
                    <a:ea typeface="+mn-ea"/>
                    <a:cs typeface="+mn-ea"/>
                    <a:sym typeface="+mn-ea"/>
                  </a:rPr>
                  <a:t>%</a:t>
                </a:r>
                <a:endParaRPr lang="en-US" altLang="zh-CN" sz="900" b="0">
                  <a:solidFill>
                    <a:schemeClr val="tx1"/>
                  </a:solidFill>
                  <a:latin typeface="+mn-ea"/>
                  <a:ea typeface="+mn-ea"/>
                  <a:cs typeface="+mn-ea"/>
                  <a:sym typeface="+mn-ea"/>
                </a:endParaRPr>
              </a:p>
            </c:rich>
          </c:tx>
          <c:layout>
            <c:manualLayout>
              <c:xMode val="edge"/>
              <c:yMode val="edge"/>
              <c:x val="0.960020814279084"/>
              <c:y val="0.107753009939216"/>
            </c:manualLayout>
          </c:layout>
          <c:overlay val="0"/>
          <c:spPr>
            <a:noFill/>
            <a:ln>
              <a:noFill/>
            </a:ln>
            <a:effectLst/>
          </c:spPr>
        </c:title>
        <c:numFmt formatCode="#,##0.0_);[Red]\(#,##0.0\)" sourceLinked="0"/>
        <c:majorTickMark val="in"/>
        <c:minorTickMark val="none"/>
        <c:tickLblPos val="nextTo"/>
        <c:spPr>
          <a:noFill/>
          <a:ln>
            <a:solidFill>
              <a:schemeClr val="tx1">
                <a:lumMod val="50000"/>
                <a:lumOff val="50000"/>
              </a:schemeClr>
            </a:solidFill>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76542384"/>
        <c:crosses val="max"/>
        <c:crossBetween val="between"/>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manualLayout>
          <c:xMode val="edge"/>
          <c:yMode val="edge"/>
          <c:x val="0.306846733668342"/>
          <c:y val="0.11492790500424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3175" cap="rnd"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0"/>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300">
                <a:solidFill>
                  <a:schemeClr val="tx1"/>
                </a:solidFill>
                <a:uFillTx/>
                <a:latin typeface="黑体" panose="02010609060101010101" charset="-122"/>
                <a:ea typeface="黑体" panose="02010609060101010101" charset="-122"/>
                <a:cs typeface="黑体" panose="02010609060101010101" charset="-122"/>
              </a:rPr>
              <a:t>图</a:t>
            </a:r>
            <a:r>
              <a:rPr lang="en-US" altLang="zh-CN" sz="1300">
                <a:solidFill>
                  <a:schemeClr val="tx1"/>
                </a:solidFill>
                <a:uFillTx/>
                <a:latin typeface="黑体" panose="02010609060101010101" charset="-122"/>
                <a:ea typeface="黑体" panose="02010609060101010101" charset="-122"/>
                <a:cs typeface="黑体" panose="02010609060101010101" charset="-122"/>
              </a:rPr>
              <a:t>2 2017-2021</a:t>
            </a:r>
            <a:r>
              <a:rPr lang="zh-CN" altLang="en-US" sz="1300">
                <a:solidFill>
                  <a:schemeClr val="tx1"/>
                </a:solidFill>
                <a:uFillTx/>
                <a:latin typeface="黑体" panose="02010609060101010101" charset="-122"/>
                <a:ea typeface="黑体" panose="02010609060101010101" charset="-122"/>
                <a:cs typeface="黑体" panose="02010609060101010101" charset="-122"/>
              </a:rPr>
              <a:t>年全市三次产业增加值占地区生产总值比重</a:t>
            </a:r>
            <a:endParaRPr lang="zh-CN" altLang="en-US" sz="1300">
              <a:solidFill>
                <a:schemeClr val="tx1"/>
              </a:solidFill>
              <a:uFillTx/>
              <a:latin typeface="黑体" panose="02010609060101010101" charset="-122"/>
              <a:ea typeface="黑体" panose="02010609060101010101" charset="-122"/>
              <a:cs typeface="黑体" panose="02010609060101010101" charset="-122"/>
            </a:endParaRPr>
          </a:p>
        </c:rich>
      </c:tx>
      <c:layout>
        <c:manualLayout>
          <c:xMode val="edge"/>
          <c:yMode val="edge"/>
          <c:x val="0.137391922302499"/>
          <c:y val="0.00657174151150055"/>
        </c:manualLayout>
      </c:layout>
      <c:overlay val="0"/>
      <c:spPr>
        <a:noFill/>
        <a:ln>
          <a:noFill/>
        </a:ln>
        <a:effectLst/>
      </c:spPr>
    </c:title>
    <c:autoTitleDeleted val="0"/>
    <c:plotArea>
      <c:layout>
        <c:manualLayout>
          <c:layoutTarget val="inner"/>
          <c:xMode val="edge"/>
          <c:yMode val="edge"/>
          <c:x val="0.0840459552291839"/>
          <c:y val="0.213143483023001"/>
          <c:w val="0.829491886770105"/>
          <c:h val="0.587820372398686"/>
        </c:manualLayout>
      </c:layout>
      <c:barChart>
        <c:barDir val="col"/>
        <c:grouping val="percentStacked"/>
        <c:varyColors val="0"/>
        <c:ser>
          <c:idx val="0"/>
          <c:order val="0"/>
          <c:tx>
            <c:strRef>
              <c:f>Sheet1!$B$1</c:f>
              <c:strCache>
                <c:ptCount val="1"/>
                <c:pt idx="0">
                  <c:v>第一产业</c:v>
                </c:pt>
              </c:strCache>
            </c:strRef>
          </c:tx>
          <c:spPr>
            <a:solidFill>
              <a:srgbClr val="6E87E7"/>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2017年</c:v>
                </c:pt>
                <c:pt idx="1">
                  <c:v>2018年</c:v>
                </c:pt>
                <c:pt idx="2">
                  <c:v>2019年</c:v>
                </c:pt>
                <c:pt idx="3">
                  <c:v>2020年</c:v>
                </c:pt>
                <c:pt idx="4">
                  <c:v>2021年</c:v>
                </c:pt>
              </c:strCache>
            </c:strRef>
          </c:cat>
          <c:val>
            <c:numRef>
              <c:f>Sheet1!$B$2:$B$6</c:f>
              <c:numCache>
                <c:formatCode>General</c:formatCode>
                <c:ptCount val="5"/>
                <c:pt idx="0">
                  <c:v>33.1</c:v>
                </c:pt>
                <c:pt idx="1">
                  <c:v>31.3</c:v>
                </c:pt>
                <c:pt idx="2">
                  <c:v>32.2</c:v>
                </c:pt>
                <c:pt idx="3">
                  <c:v>32.4</c:v>
                </c:pt>
                <c:pt idx="4">
                  <c:v>33</c:v>
                </c:pt>
              </c:numCache>
            </c:numRef>
          </c:val>
        </c:ser>
        <c:ser>
          <c:idx val="1"/>
          <c:order val="1"/>
          <c:tx>
            <c:strRef>
              <c:f>Sheet1!$C$1</c:f>
              <c:strCache>
                <c:ptCount val="1"/>
                <c:pt idx="0">
                  <c:v>第二产业</c:v>
                </c:pt>
              </c:strCache>
            </c:strRef>
          </c:tx>
          <c:spPr>
            <a:solidFill>
              <a:srgbClr val="DE641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2017年</c:v>
                </c:pt>
                <c:pt idx="1">
                  <c:v>2018年</c:v>
                </c:pt>
                <c:pt idx="2">
                  <c:v>2019年</c:v>
                </c:pt>
                <c:pt idx="3">
                  <c:v>2020年</c:v>
                </c:pt>
                <c:pt idx="4">
                  <c:v>2021年</c:v>
                </c:pt>
              </c:strCache>
            </c:strRef>
          </c:cat>
          <c:val>
            <c:numRef>
              <c:f>Sheet1!$C$2:$C$6</c:f>
              <c:numCache>
                <c:formatCode>General</c:formatCode>
                <c:ptCount val="5"/>
                <c:pt idx="0">
                  <c:v>13.5</c:v>
                </c:pt>
                <c:pt idx="1">
                  <c:v>12.9</c:v>
                </c:pt>
                <c:pt idx="2">
                  <c:v>12.7</c:v>
                </c:pt>
                <c:pt idx="3">
                  <c:v>13.8</c:v>
                </c:pt>
                <c:pt idx="4">
                  <c:v>13.1</c:v>
                </c:pt>
              </c:numCache>
            </c:numRef>
          </c:val>
        </c:ser>
        <c:ser>
          <c:idx val="2"/>
          <c:order val="2"/>
          <c:tx>
            <c:strRef>
              <c:f>Sheet1!$D$1</c:f>
              <c:strCache>
                <c:ptCount val="1"/>
                <c:pt idx="0">
                  <c:v>第三产业</c:v>
                </c:pt>
              </c:strCache>
            </c:strRef>
          </c:tx>
          <c:spPr>
            <a:solidFill>
              <a:srgbClr val="FFFF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2017年</c:v>
                </c:pt>
                <c:pt idx="1">
                  <c:v>2018年</c:v>
                </c:pt>
                <c:pt idx="2">
                  <c:v>2019年</c:v>
                </c:pt>
                <c:pt idx="3">
                  <c:v>2020年</c:v>
                </c:pt>
                <c:pt idx="4">
                  <c:v>2021年</c:v>
                </c:pt>
              </c:strCache>
            </c:strRef>
          </c:cat>
          <c:val>
            <c:numRef>
              <c:f>Sheet1!$D$2:$D$6</c:f>
              <c:numCache>
                <c:formatCode>0.0_ </c:formatCode>
                <c:ptCount val="5"/>
                <c:pt idx="0">
                  <c:v>53.4</c:v>
                </c:pt>
                <c:pt idx="1" c:formatCode="General">
                  <c:v>55.8</c:v>
                </c:pt>
                <c:pt idx="2" c:formatCode="General">
                  <c:v>55.1</c:v>
                </c:pt>
                <c:pt idx="3" c:formatCode="General">
                  <c:v>53.8</c:v>
                </c:pt>
                <c:pt idx="4" c:formatCode="General">
                  <c:v>53.9</c:v>
                </c:pt>
              </c:numCache>
            </c:numRef>
          </c:val>
        </c:ser>
        <c:dLbls>
          <c:showLegendKey val="0"/>
          <c:showVal val="1"/>
          <c:showCatName val="0"/>
          <c:showSerName val="0"/>
          <c:showPercent val="0"/>
          <c:showBubbleSize val="0"/>
        </c:dLbls>
        <c:gapWidth val="150"/>
        <c:overlap val="100"/>
        <c:axId val="137288930"/>
        <c:axId val="66421714"/>
      </c:barChart>
      <c:catAx>
        <c:axId val="137288930"/>
        <c:scaling>
          <c:orientation val="minMax"/>
        </c:scaling>
        <c:delete val="0"/>
        <c:axPos val="b"/>
        <c:numFmt formatCode="General" sourceLinked="0"/>
        <c:majorTickMark val="in"/>
        <c:minorTickMark val="none"/>
        <c:tickLblPos val="nextTo"/>
        <c:spPr>
          <a:noFill/>
          <a:ln w="9525" cap="flat" cmpd="sng" algn="ctr">
            <a:solidFill>
              <a:schemeClr val="tx1">
                <a:lumMod val="50000"/>
                <a:lumOff val="50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6421714"/>
        <c:crosses val="autoZero"/>
        <c:auto val="1"/>
        <c:lblAlgn val="ctr"/>
        <c:lblOffset val="100"/>
        <c:noMultiLvlLbl val="0"/>
      </c:catAx>
      <c:valAx>
        <c:axId val="66421714"/>
        <c:scaling>
          <c:orientation val="minMax"/>
        </c:scaling>
        <c:delete val="0"/>
        <c:axPos val="l"/>
        <c:majorGridlines>
          <c:spPr>
            <a:ln w="9525" cap="flat" cmpd="sng" algn="ctr">
              <a:noFill/>
              <a:round/>
            </a:ln>
            <a:effectLst/>
          </c:spPr>
        </c:majorGridlines>
        <c:numFmt formatCode="0%" sourceLinked="1"/>
        <c:majorTickMark val="in"/>
        <c:minorTickMark val="none"/>
        <c:tickLblPos val="nextTo"/>
        <c:spPr>
          <a:noFill/>
          <a:ln>
            <a:solidFill>
              <a:schemeClr val="tx1">
                <a:lumMod val="50000"/>
                <a:lumOff val="50000"/>
              </a:schemeClr>
            </a:solidFill>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37288930"/>
        <c:crosses val="autoZero"/>
        <c:crossBetween val="between"/>
      </c:valAx>
      <c:spPr>
        <a:solidFill>
          <a:schemeClr val="bg1"/>
        </a:solid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ea"/>
                <a:ea typeface="+mn-ea"/>
                <a:cs typeface="+mn-ea"/>
                <a:sym typeface="+mn-ea"/>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ea"/>
                <a:ea typeface="+mn-ea"/>
                <a:cs typeface="+mn-ea"/>
                <a:sym typeface="+mn-ea"/>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ea"/>
                <a:ea typeface="+mn-ea"/>
                <a:cs typeface="+mn-ea"/>
                <a:sym typeface="+mn-ea"/>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ea"/>
              <a:ea typeface="+mn-ea"/>
              <a:cs typeface="+mn-ea"/>
              <a:sym typeface="+mn-ea"/>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lang="zh-CN" altLang="en-US" sz="1400">
                <a:solidFill>
                  <a:schemeClr val="tx1"/>
                </a:solidFill>
                <a:latin typeface="黑体" panose="02010609060101010101" charset="-122"/>
                <a:ea typeface="黑体" panose="02010609060101010101" charset="-122"/>
                <a:cs typeface="黑体" panose="02010609060101010101" charset="-122"/>
              </a:rPr>
              <a:t>图</a:t>
            </a:r>
            <a:r>
              <a:rPr lang="en-US" altLang="zh-CN" sz="1400">
                <a:solidFill>
                  <a:schemeClr val="tx1"/>
                </a:solidFill>
                <a:latin typeface="黑体" panose="02010609060101010101" charset="-122"/>
                <a:ea typeface="黑体" panose="02010609060101010101" charset="-122"/>
                <a:cs typeface="黑体" panose="02010609060101010101" charset="-122"/>
              </a:rPr>
              <a:t>3  2017-2021</a:t>
            </a:r>
            <a:r>
              <a:rPr lang="zh-CN" altLang="en-US" sz="1400">
                <a:solidFill>
                  <a:schemeClr val="tx1"/>
                </a:solidFill>
                <a:latin typeface="黑体" panose="02010609060101010101" charset="-122"/>
                <a:ea typeface="黑体" panose="02010609060101010101" charset="-122"/>
                <a:cs typeface="黑体" panose="02010609060101010101" charset="-122"/>
              </a:rPr>
              <a:t>年全市社会消费品零售总额</a:t>
            </a:r>
            <a:endParaRPr lang="zh-CN" altLang="en-US" sz="1400">
              <a:solidFill>
                <a:schemeClr val="tx1"/>
              </a:solidFill>
              <a:latin typeface="黑体" panose="02010609060101010101" charset="-122"/>
              <a:ea typeface="黑体" panose="02010609060101010101" charset="-122"/>
              <a:cs typeface="黑体" panose="02010609060101010101" charset="-122"/>
            </a:endParaRPr>
          </a:p>
        </c:rich>
      </c:tx>
      <c:layout/>
      <c:overlay val="0"/>
      <c:spPr>
        <a:noFill/>
        <a:ln>
          <a:noFill/>
        </a:ln>
        <a:effectLst/>
      </c:spPr>
    </c:title>
    <c:autoTitleDeleted val="0"/>
    <c:plotArea>
      <c:layout>
        <c:manualLayout>
          <c:layoutTarget val="inner"/>
          <c:xMode val="edge"/>
          <c:yMode val="edge"/>
          <c:x val="0.16762819444357"/>
          <c:y val="0.176045736434109"/>
          <c:w val="0.71185"/>
          <c:h val="0.728233333333333"/>
        </c:manualLayout>
      </c:layout>
      <c:barChart>
        <c:barDir val="col"/>
        <c:grouping val="clustered"/>
        <c:varyColors val="0"/>
        <c:ser>
          <c:idx val="1"/>
          <c:order val="0"/>
          <c:tx>
            <c:strRef>
              <c:f>Sheet1!$B$1</c:f>
              <c:strCache>
                <c:ptCount val="1"/>
                <c:pt idx="0">
                  <c:v>社会消费品零售总额</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2017年</c:v>
                </c:pt>
                <c:pt idx="1">
                  <c:v>2018年</c:v>
                </c:pt>
                <c:pt idx="2">
                  <c:v>2019年</c:v>
                </c:pt>
                <c:pt idx="3">
                  <c:v>2020年</c:v>
                </c:pt>
                <c:pt idx="4">
                  <c:v>2021年</c:v>
                </c:pt>
              </c:strCache>
            </c:strRef>
          </c:cat>
          <c:val>
            <c:numRef>
              <c:f>Sheet1!$B$2:$B$6</c:f>
              <c:numCache>
                <c:formatCode>General</c:formatCode>
                <c:ptCount val="5"/>
                <c:pt idx="0">
                  <c:v>970024</c:v>
                </c:pt>
                <c:pt idx="1">
                  <c:v>1041895</c:v>
                </c:pt>
                <c:pt idx="2">
                  <c:v>1098095</c:v>
                </c:pt>
                <c:pt idx="3">
                  <c:v>1080047</c:v>
                </c:pt>
                <c:pt idx="4">
                  <c:v>1286890</c:v>
                </c:pt>
              </c:numCache>
            </c:numRef>
          </c:val>
        </c:ser>
        <c:dLbls>
          <c:showLegendKey val="0"/>
          <c:showVal val="1"/>
          <c:showCatName val="0"/>
          <c:showSerName val="0"/>
          <c:showPercent val="0"/>
          <c:showBubbleSize val="0"/>
        </c:dLbls>
        <c:gapWidth val="219"/>
        <c:overlap val="-27"/>
        <c:axId val="751926800"/>
        <c:axId val="490875712"/>
      </c:barChart>
      <c:catAx>
        <c:axId val="751926800"/>
        <c:scaling>
          <c:orientation val="minMax"/>
        </c:scaling>
        <c:delete val="0"/>
        <c:axPos val="b"/>
        <c:numFmt formatCode="General" sourceLinked="0"/>
        <c:majorTickMark val="in"/>
        <c:minorTickMark val="none"/>
        <c:tickLblPos val="nextTo"/>
        <c:spPr>
          <a:noFill/>
          <a:ln w="9525" cap="flat" cmpd="sng" algn="ctr">
            <a:solidFill>
              <a:schemeClr val="tx1">
                <a:lumMod val="50000"/>
                <a:lumOff val="50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90875712"/>
        <c:crosses val="autoZero"/>
        <c:auto val="1"/>
        <c:lblAlgn val="ctr"/>
        <c:lblOffset val="100"/>
        <c:noMultiLvlLbl val="0"/>
      </c:catAx>
      <c:valAx>
        <c:axId val="490875712"/>
        <c:scaling>
          <c:orientation val="minMax"/>
        </c:scaling>
        <c:delete val="0"/>
        <c:axPos val="l"/>
        <c:majorGridlines>
          <c:spPr>
            <a:ln w="9525" cap="flat" cmpd="sng" algn="ctr">
              <a:noFill/>
              <a:round/>
            </a:ln>
            <a:effectLst/>
          </c:spPr>
        </c:majorGridlines>
        <c:title>
          <c:tx>
            <c:rich>
              <a:bodyPr rot="0" spcFirstLastPara="0" vertOverflow="ellipsis" vert="horz" wrap="square" anchor="ctr" anchorCtr="1"/>
              <a:lstStyle/>
              <a:p>
                <a:pPr defTabSz="914400">
                  <a:defRPr lang="zh-CN" sz="900" b="1" i="0" u="none" strike="noStrike" kern="120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rPr lang="zh-CN" altLang="en-US" sz="900" b="1">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万元</a:t>
                </a:r>
                <a:endParaRPr lang="zh-CN" altLang="en-US" sz="900" b="1">
                  <a:solidFill>
                    <a:schemeClr val="tx1"/>
                  </a:solidFill>
                  <a:latin typeface="宋体" panose="02010600030101010101" charset="-122"/>
                  <a:ea typeface="宋体" panose="02010600030101010101" charset="-122"/>
                  <a:cs typeface="宋体" panose="02010600030101010101" charset="-122"/>
                  <a:sym typeface="宋体" panose="02010600030101010101" charset="-122"/>
                </a:endParaRPr>
              </a:p>
            </c:rich>
          </c:tx>
          <c:layout>
            <c:manualLayout>
              <c:xMode val="edge"/>
              <c:yMode val="edge"/>
              <c:x val="0.0821282632159029"/>
              <c:y val="0.106465321319807"/>
            </c:manualLayout>
          </c:layout>
          <c:overlay val="0"/>
          <c:spPr>
            <a:noFill/>
            <a:ln>
              <a:noFill/>
            </a:ln>
            <a:effectLst/>
          </c:spPr>
        </c:title>
        <c:numFmt formatCode="General" sourceLinked="1"/>
        <c:majorTickMark val="in"/>
        <c:minorTickMark val="none"/>
        <c:tickLblPos val="nextTo"/>
        <c:spPr>
          <a:noFill/>
          <a:ln>
            <a:solidFill>
              <a:schemeClr val="tx1">
                <a:lumMod val="50000"/>
                <a:lumOff val="50000"/>
              </a:schemeClr>
            </a:solidFill>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51926800"/>
        <c:crosses val="autoZero"/>
        <c:crossBetween val="between"/>
      </c:valAx>
      <c:spPr>
        <a:noFill/>
        <a:ln>
          <a:noFill/>
        </a:ln>
        <a:effectLst/>
      </c:spPr>
    </c:plotArea>
    <c:plotVisOnly val="1"/>
    <c:dispBlanksAs val="gap"/>
    <c:showDLblsOverMax val="0"/>
  </c:chart>
  <c:spPr>
    <a:solidFill>
      <a:schemeClr val="bg1"/>
    </a:solidFill>
    <a:ln w="3175" cap="rnd"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lang="zh-CN" altLang="en-US">
                <a:solidFill>
                  <a:schemeClr val="tx1"/>
                </a:solidFill>
                <a:latin typeface="黑体" panose="02010609060101010101" charset="-122"/>
                <a:ea typeface="黑体" panose="02010609060101010101" charset="-122"/>
                <a:cs typeface="黑体" panose="02010609060101010101" charset="-122"/>
              </a:rPr>
              <a:t>图</a:t>
            </a:r>
            <a:r>
              <a:rPr lang="en-US" altLang="zh-CN">
                <a:solidFill>
                  <a:schemeClr val="tx1"/>
                </a:solidFill>
                <a:latin typeface="黑体" panose="02010609060101010101" charset="-122"/>
                <a:ea typeface="黑体" panose="02010609060101010101" charset="-122"/>
                <a:cs typeface="黑体" panose="02010609060101010101" charset="-122"/>
              </a:rPr>
              <a:t>5  2017-2021</a:t>
            </a:r>
            <a:r>
              <a:rPr lang="zh-CN" altLang="en-US">
                <a:solidFill>
                  <a:schemeClr val="tx1"/>
                </a:solidFill>
                <a:latin typeface="黑体" panose="02010609060101010101" charset="-122"/>
                <a:ea typeface="黑体" panose="02010609060101010101" charset="-122"/>
                <a:cs typeface="黑体" panose="02010609060101010101" charset="-122"/>
              </a:rPr>
              <a:t>年全市居民人均可支配收入及其增速</a:t>
            </a:r>
            <a:endParaRPr lang="zh-CN" altLang="en-US">
              <a:solidFill>
                <a:schemeClr val="tx1"/>
              </a:solidFill>
              <a:latin typeface="黑体" panose="02010609060101010101" charset="-122"/>
              <a:ea typeface="黑体" panose="02010609060101010101" charset="-122"/>
              <a:cs typeface="黑体" panose="02010609060101010101" charset="-122"/>
            </a:endParaRPr>
          </a:p>
        </c:rich>
      </c:tx>
      <c:layout>
        <c:manualLayout>
          <c:xMode val="edge"/>
          <c:yMode val="edge"/>
          <c:x val="0.138882311153209"/>
          <c:y val="0.0240144086451871"/>
        </c:manualLayout>
      </c:layout>
      <c:overlay val="0"/>
      <c:spPr>
        <a:noFill/>
        <a:ln>
          <a:noFill/>
        </a:ln>
        <a:effectLst/>
      </c:spPr>
    </c:title>
    <c:autoTitleDeleted val="0"/>
    <c:plotArea>
      <c:layout>
        <c:manualLayout>
          <c:layoutTarget val="inner"/>
          <c:xMode val="edge"/>
          <c:yMode val="edge"/>
          <c:x val="0.119654274212645"/>
          <c:y val="0.187712627576546"/>
          <c:w val="0.819891072697135"/>
          <c:h val="0.729517710626376"/>
        </c:manualLayout>
      </c:layout>
      <c:barChart>
        <c:barDir val="col"/>
        <c:grouping val="clustered"/>
        <c:varyColors val="0"/>
        <c:ser>
          <c:idx val="1"/>
          <c:order val="0"/>
          <c:tx>
            <c:strRef>
              <c:f>Sheet1!$B$1</c:f>
              <c:strCache>
                <c:ptCount val="1"/>
                <c:pt idx="0">
                  <c:v>全市居民人均可支配收入</c:v>
                </c:pt>
              </c:strCache>
            </c:strRef>
          </c:tx>
          <c:spPr>
            <a:solidFill>
              <a:srgbClr val="FE204F"/>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2017年</c:v>
                </c:pt>
                <c:pt idx="1">
                  <c:v>2018年</c:v>
                </c:pt>
                <c:pt idx="2">
                  <c:v>2019年</c:v>
                </c:pt>
                <c:pt idx="3">
                  <c:v>2020年</c:v>
                </c:pt>
                <c:pt idx="4">
                  <c:v>2021年</c:v>
                </c:pt>
              </c:strCache>
            </c:strRef>
          </c:cat>
          <c:val>
            <c:numRef>
              <c:f>Sheet1!$B$2:$B$6</c:f>
              <c:numCache>
                <c:formatCode>General</c:formatCode>
                <c:ptCount val="5"/>
                <c:pt idx="0">
                  <c:v>21373</c:v>
                </c:pt>
                <c:pt idx="1">
                  <c:v>23325</c:v>
                </c:pt>
                <c:pt idx="2">
                  <c:v>25302</c:v>
                </c:pt>
                <c:pt idx="3">
                  <c:v>26745</c:v>
                </c:pt>
                <c:pt idx="4">
                  <c:v>29241</c:v>
                </c:pt>
              </c:numCache>
            </c:numRef>
          </c:val>
        </c:ser>
        <c:dLbls>
          <c:showLegendKey val="0"/>
          <c:showVal val="1"/>
          <c:showCatName val="0"/>
          <c:showSerName val="0"/>
          <c:showPercent val="0"/>
          <c:showBubbleSize val="0"/>
        </c:dLbls>
        <c:gapWidth val="219"/>
        <c:overlap val="-27"/>
        <c:axId val="751926800"/>
        <c:axId val="490875712"/>
      </c:barChart>
      <c:lineChart>
        <c:grouping val="standard"/>
        <c:varyColors val="0"/>
        <c:ser>
          <c:idx val="2"/>
          <c:order val="1"/>
          <c:tx>
            <c:strRef>
              <c:f>Sheet1!$C$1</c:f>
              <c:strCache>
                <c:ptCount val="1"/>
                <c:pt idx="0">
                  <c:v>比上年增长</c:v>
                </c:pt>
              </c:strCache>
            </c:strRef>
          </c:tx>
          <c:spPr>
            <a:ln w="25400" cap="rnd" cmpd="sng">
              <a:solidFill>
                <a:srgbClr val="03C4D5"/>
              </a:solidFill>
              <a:prstDash val="solid"/>
              <a:round/>
            </a:ln>
            <a:effectLst/>
          </c:spPr>
          <c:marker>
            <c:symbol val="none"/>
          </c:marker>
          <c:dLbls>
            <c:dLbl>
              <c:idx val="0"/>
              <c:layout>
                <c:manualLayout>
                  <c:x val="-0.0266398295050912"/>
                  <c:y val="0.051030618371022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19677954061094"/>
                  <c:y val="0.051030618371022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84158181387639"/>
                  <c:y val="0.048028817290374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55197726734549"/>
                  <c:y val="0.063037822693616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55197726734549"/>
                  <c:y val="0.06003602161296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2017年</c:v>
                </c:pt>
                <c:pt idx="1">
                  <c:v>2018年</c:v>
                </c:pt>
                <c:pt idx="2">
                  <c:v>2019年</c:v>
                </c:pt>
                <c:pt idx="3">
                  <c:v>2020年</c:v>
                </c:pt>
                <c:pt idx="4">
                  <c:v>2021年</c:v>
                </c:pt>
              </c:strCache>
            </c:strRef>
          </c:cat>
          <c:val>
            <c:numRef>
              <c:f>Sheet1!$C$2:$C$6</c:f>
              <c:numCache>
                <c:formatCode>0.0_ </c:formatCode>
                <c:ptCount val="5"/>
                <c:pt idx="0">
                  <c:v>9.1</c:v>
                </c:pt>
                <c:pt idx="1" c:formatCode="General">
                  <c:v>9.1</c:v>
                </c:pt>
                <c:pt idx="2" c:formatCode="General">
                  <c:v>8.5</c:v>
                </c:pt>
                <c:pt idx="3" c:formatCode="General">
                  <c:v>5.7</c:v>
                </c:pt>
                <c:pt idx="4">
                  <c:v>9.3</c:v>
                </c:pt>
              </c:numCache>
            </c:numRef>
          </c:val>
          <c:smooth val="0"/>
        </c:ser>
        <c:dLbls>
          <c:showLegendKey val="0"/>
          <c:showVal val="1"/>
          <c:showCatName val="0"/>
          <c:showSerName val="0"/>
          <c:showPercent val="0"/>
          <c:showBubbleSize val="0"/>
        </c:dLbls>
        <c:marker val="0"/>
        <c:smooth val="0"/>
        <c:axId val="876542384"/>
        <c:axId val="36226132"/>
      </c:lineChart>
      <c:catAx>
        <c:axId val="751926800"/>
        <c:scaling>
          <c:orientation val="minMax"/>
        </c:scaling>
        <c:delete val="0"/>
        <c:axPos val="b"/>
        <c:numFmt formatCode="General" sourceLinked="0"/>
        <c:majorTickMark val="in"/>
        <c:minorTickMark val="none"/>
        <c:tickLblPos val="nextTo"/>
        <c:spPr>
          <a:noFill/>
          <a:ln w="9525" cap="flat" cmpd="sng" algn="ctr">
            <a:solidFill>
              <a:schemeClr val="tx1">
                <a:lumMod val="50000"/>
                <a:lumOff val="50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90875712"/>
        <c:crosses val="autoZero"/>
        <c:auto val="1"/>
        <c:lblAlgn val="ctr"/>
        <c:lblOffset val="100"/>
        <c:noMultiLvlLbl val="0"/>
      </c:catAx>
      <c:valAx>
        <c:axId val="490875712"/>
        <c:scaling>
          <c:orientation val="minMax"/>
        </c:scaling>
        <c:delete val="0"/>
        <c:axPos val="l"/>
        <c:majorGridlines>
          <c:spPr>
            <a:ln w="9525" cap="flat" cmpd="sng" algn="ctr">
              <a:noFill/>
              <a:round/>
            </a:ln>
            <a:effectLst/>
          </c:spPr>
        </c:majorGridlines>
        <c:title>
          <c:tx>
            <c:rich>
              <a:bodyPr rot="0" spcFirstLastPara="0" vertOverflow="ellipsis" vert="horz" wrap="square" anchor="ctr" anchorCtr="1"/>
              <a:lstStyle/>
              <a:p>
                <a:pPr defTabSz="914400">
                  <a:defRPr lang="zh-CN" sz="900" b="0" i="0" u="none" strike="noStrike" kern="120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rPr lang="zh-CN" altLang="en-US" sz="900" b="0">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元</a:t>
                </a:r>
                <a:endParaRPr lang="zh-CN" altLang="en-US" sz="900" b="0">
                  <a:solidFill>
                    <a:schemeClr val="tx1"/>
                  </a:solidFill>
                  <a:latin typeface="宋体" panose="02010600030101010101" charset="-122"/>
                  <a:ea typeface="宋体" panose="02010600030101010101" charset="-122"/>
                  <a:cs typeface="宋体" panose="02010600030101010101" charset="-122"/>
                  <a:sym typeface="宋体" panose="02010600030101010101" charset="-122"/>
                </a:endParaRPr>
              </a:p>
            </c:rich>
          </c:tx>
          <c:layout>
            <c:manualLayout>
              <c:xMode val="edge"/>
              <c:yMode val="edge"/>
              <c:x val="0.0636641135483105"/>
              <c:y val="0.106302305963023"/>
            </c:manualLayout>
          </c:layout>
          <c:overlay val="0"/>
          <c:spPr>
            <a:noFill/>
            <a:ln>
              <a:noFill/>
            </a:ln>
            <a:effectLst/>
          </c:spPr>
        </c:title>
        <c:numFmt formatCode="General" sourceLinked="1"/>
        <c:majorTickMark val="in"/>
        <c:minorTickMark val="none"/>
        <c:tickLblPos val="nextTo"/>
        <c:spPr>
          <a:noFill/>
          <a:ln>
            <a:solidFill>
              <a:schemeClr val="tx1">
                <a:lumMod val="50000"/>
                <a:lumOff val="50000"/>
              </a:schemeClr>
            </a:solidFill>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51926800"/>
        <c:crosses val="autoZero"/>
        <c:crossBetween val="between"/>
      </c:valAx>
      <c:catAx>
        <c:axId val="876542384"/>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226132"/>
        <c:crosses val="autoZero"/>
        <c:auto val="1"/>
        <c:lblAlgn val="ctr"/>
        <c:lblOffset val="100"/>
        <c:noMultiLvlLbl val="0"/>
      </c:catAx>
      <c:valAx>
        <c:axId val="36226132"/>
        <c:scaling>
          <c:orientation val="minMax"/>
          <c:max val="15"/>
          <c:min val="1"/>
        </c:scaling>
        <c:delete val="0"/>
        <c:axPos val="r"/>
        <c:title>
          <c:tx>
            <c:rich>
              <a:bodyPr rot="0" spcFirstLastPara="0" vertOverflow="ellipsis" vert="horz" wrap="square" anchor="ctr" anchorCtr="1"/>
              <a:lstStyle/>
              <a:p>
                <a:pPr defTabSz="914400">
                  <a:defRPr lang="zh-CN" sz="900" b="0" i="0" u="none" strike="noStrike" kern="1200" baseline="0">
                    <a:solidFill>
                      <a:schemeClr val="tx1"/>
                    </a:solidFill>
                    <a:latin typeface="+mn-ea"/>
                    <a:ea typeface="+mn-ea"/>
                    <a:cs typeface="+mn-ea"/>
                    <a:sym typeface="+mn-ea"/>
                  </a:defRPr>
                </a:pPr>
                <a:r>
                  <a:rPr lang="en-US" altLang="zh-CN" sz="900" b="0">
                    <a:solidFill>
                      <a:schemeClr val="tx1"/>
                    </a:solidFill>
                    <a:latin typeface="+mn-ea"/>
                    <a:ea typeface="+mn-ea"/>
                    <a:cs typeface="+mn-ea"/>
                    <a:sym typeface="+mn-ea"/>
                  </a:rPr>
                  <a:t>%</a:t>
                </a:r>
                <a:endParaRPr lang="en-US" altLang="zh-CN" sz="900" b="0">
                  <a:solidFill>
                    <a:schemeClr val="tx1"/>
                  </a:solidFill>
                  <a:latin typeface="+mn-ea"/>
                  <a:ea typeface="+mn-ea"/>
                  <a:cs typeface="+mn-ea"/>
                  <a:sym typeface="+mn-ea"/>
                </a:endParaRPr>
              </a:p>
            </c:rich>
          </c:tx>
          <c:layout>
            <c:manualLayout>
              <c:xMode val="edge"/>
              <c:yMode val="edge"/>
              <c:x val="0.958008027160922"/>
              <c:y val="0.0975468862650114"/>
            </c:manualLayout>
          </c:layout>
          <c:overlay val="0"/>
          <c:spPr>
            <a:noFill/>
            <a:ln>
              <a:noFill/>
            </a:ln>
            <a:effectLst/>
          </c:spPr>
        </c:title>
        <c:numFmt formatCode="#,##0.0_);[Red]\(#,##0.0\)" sourceLinked="0"/>
        <c:majorTickMark val="in"/>
        <c:minorTickMark val="none"/>
        <c:tickLblPos val="nextTo"/>
        <c:spPr>
          <a:noFill/>
          <a:ln>
            <a:solidFill>
              <a:schemeClr val="tx1">
                <a:lumMod val="50000"/>
                <a:lumOff val="50000"/>
              </a:schemeClr>
            </a:solidFill>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76542384"/>
        <c:crosses val="max"/>
        <c:crossBetween val="between"/>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3175" cap="rnd"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A1202-8949-45FE-A9D9-6908115B103D}">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1444</Words>
  <Characters>8237</Characters>
  <Lines>68</Lines>
  <Paragraphs>19</Paragraphs>
  <TotalTime>352</TotalTime>
  <ScaleCrop>false</ScaleCrop>
  <LinksUpToDate>false</LinksUpToDate>
  <CharactersWithSpaces>9662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未定义</cp:lastModifiedBy>
  <cp:lastPrinted>2022-03-29T09:12:00Z</cp:lastPrinted>
  <dcterms:modified xsi:type="dcterms:W3CDTF">2022-04-15T07:55:46Z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6B41F159AF654D148525EE90119BF596</vt:lpwstr>
  </property>
</Properties>
</file>