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年琼海市国民经济和社会发展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统计公报</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ab/>
      </w:r>
    </w:p>
    <w:p>
      <w:pPr>
        <w:keepNext w:val="0"/>
        <w:keepLines w:val="0"/>
        <w:pageBreakBefore w:val="0"/>
        <w:widowControl w:val="0"/>
        <w:tabs>
          <w:tab w:val="left" w:pos="2916"/>
        </w:tabs>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琼海市统计局</w:t>
      </w:r>
    </w:p>
    <w:p>
      <w:pPr>
        <w:keepNext w:val="0"/>
        <w:keepLines w:val="0"/>
        <w:pageBreakBefore w:val="0"/>
        <w:widowControl w:val="0"/>
        <w:tabs>
          <w:tab w:val="left" w:pos="2916"/>
        </w:tabs>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202</w:t>
      </w:r>
      <w:r>
        <w:rPr>
          <w:rFonts w:hint="eastAsia" w:ascii="楷体_GB2312" w:hAnsi="楷体_GB2312" w:eastAsia="楷体_GB2312" w:cs="楷体_GB2312"/>
          <w:color w:val="000000" w:themeColor="text1"/>
          <w:sz w:val="28"/>
          <w:szCs w:val="28"/>
          <w:lang w:val="en-US" w:eastAsia="zh-CN"/>
          <w14:textFill>
            <w14:solidFill>
              <w14:schemeClr w14:val="tx1"/>
            </w14:solidFill>
          </w14:textFill>
        </w:rPr>
        <w:t>3</w:t>
      </w:r>
      <w:r>
        <w:rPr>
          <w:rFonts w:hint="eastAsia" w:ascii="楷体_GB2312" w:hAnsi="楷体_GB2312" w:eastAsia="楷体_GB2312" w:cs="楷体_GB2312"/>
          <w:color w:val="000000" w:themeColor="text1"/>
          <w:sz w:val="28"/>
          <w:szCs w:val="28"/>
          <w14:textFill>
            <w14:solidFill>
              <w14:schemeClr w14:val="tx1"/>
            </w14:solidFill>
          </w14:textFill>
        </w:rPr>
        <w:t>年</w:t>
      </w:r>
      <w:r>
        <w:rPr>
          <w:rFonts w:hint="eastAsia" w:ascii="楷体_GB2312" w:hAnsi="楷体_GB2312" w:eastAsia="楷体_GB2312" w:cs="楷体_GB2312"/>
          <w:color w:val="000000" w:themeColor="text1"/>
          <w:sz w:val="28"/>
          <w:szCs w:val="28"/>
          <w:lang w:val="en-US" w:eastAsia="zh-CN"/>
          <w14:textFill>
            <w14:solidFill>
              <w14:schemeClr w14:val="tx1"/>
            </w14:solidFill>
          </w14:textFill>
        </w:rPr>
        <w:t>4</w:t>
      </w:r>
      <w:r>
        <w:rPr>
          <w:rFonts w:hint="eastAsia" w:ascii="楷体_GB2312" w:hAnsi="楷体_GB2312" w:eastAsia="楷体_GB2312" w:cs="楷体_GB2312"/>
          <w:color w:val="000000" w:themeColor="text1"/>
          <w:sz w:val="28"/>
          <w:szCs w:val="28"/>
          <w14:textFill>
            <w14:solidFill>
              <w14:schemeClr w14:val="tx1"/>
            </w14:solidFill>
          </w14:textFill>
        </w:rPr>
        <w:t>月</w:t>
      </w:r>
    </w:p>
    <w:p>
      <w:pPr>
        <w:pStyle w:val="18"/>
        <w:keepNext w:val="0"/>
        <w:keepLines w:val="0"/>
        <w:pageBreakBefore w:val="0"/>
        <w:widowControl w:val="0"/>
        <w:kinsoku/>
        <w:wordWrap/>
        <w:overflowPunct/>
        <w:topLinePunct w:val="0"/>
        <w:bidi w:val="0"/>
        <w:snapToGrid/>
        <w:spacing w:line="560" w:lineRule="exact"/>
        <w:textAlignment w:val="auto"/>
        <w:rPr>
          <w:color w:val="0000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2022年，面对复杂多变的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经济</w:t>
      </w:r>
      <w:r>
        <w:rPr>
          <w:rFonts w:hint="eastAsia" w:ascii="仿宋_GB2312" w:hAnsi="仿宋_GB2312" w:eastAsia="仿宋_GB2312" w:cs="仿宋_GB2312"/>
          <w:color w:val="000000" w:themeColor="text1"/>
          <w:sz w:val="32"/>
          <w:szCs w:val="32"/>
          <w14:textFill>
            <w14:solidFill>
              <w14:schemeClr w14:val="tx1"/>
            </w14:solidFill>
          </w14:textFill>
        </w:rPr>
        <w:t>环境和“0331”、“0801”两轮疫情冲击，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在市委、市政府的坚强领导下，</w:t>
      </w:r>
      <w:r>
        <w:rPr>
          <w:rFonts w:hint="eastAsia" w:ascii="仿宋_GB2312" w:hAnsi="仿宋_GB2312" w:eastAsia="仿宋_GB2312" w:cs="仿宋_GB2312"/>
          <w:color w:val="000000" w:themeColor="text1"/>
          <w:sz w:val="32"/>
          <w:szCs w:val="32"/>
          <w14:textFill>
            <w14:solidFill>
              <w14:schemeClr w14:val="tx1"/>
            </w14:solidFill>
          </w14:textFill>
        </w:rPr>
        <w:t>认真贯彻落实中央、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省委省政府决策部署，</w:t>
      </w:r>
      <w:r>
        <w:rPr>
          <w:rFonts w:hint="eastAsia" w:ascii="仿宋_GB2312" w:hAnsi="仿宋_GB2312" w:eastAsia="仿宋_GB2312" w:cs="仿宋_GB2312"/>
          <w:color w:val="000000" w:themeColor="text1"/>
          <w:sz w:val="32"/>
          <w:szCs w:val="32"/>
          <w14:textFill>
            <w14:solidFill>
              <w14:schemeClr w14:val="tx1"/>
            </w14:solidFill>
          </w14:textFill>
        </w:rPr>
        <w:t>科学统筹疫情防控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和经济社会发展</w:t>
      </w:r>
      <w:r>
        <w:rPr>
          <w:rFonts w:hint="eastAsia" w:ascii="仿宋_GB2312" w:hAnsi="仿宋_GB2312" w:eastAsia="仿宋_GB2312" w:cs="仿宋_GB2312"/>
          <w:color w:val="000000" w:themeColor="text1"/>
          <w:sz w:val="32"/>
          <w:szCs w:val="32"/>
          <w14:textFill>
            <w14:solidFill>
              <w14:schemeClr w14:val="tx1"/>
            </w14:solidFill>
          </w14:textFill>
        </w:rPr>
        <w:t>，推出经济恢复提振32条等超常规举措，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加快</w:t>
      </w:r>
      <w:r>
        <w:rPr>
          <w:rFonts w:hint="eastAsia" w:ascii="仿宋_GB2312" w:hAnsi="仿宋_GB2312" w:eastAsia="仿宋_GB2312" w:cs="仿宋_GB2312"/>
          <w:color w:val="000000" w:themeColor="text1"/>
          <w:sz w:val="32"/>
          <w:szCs w:val="32"/>
          <w14:textFill>
            <w14:solidFill>
              <w14:schemeClr w14:val="tx1"/>
            </w14:solidFill>
          </w14:textFill>
        </w:rPr>
        <w:t>提振市场预期和信心，全年经济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顶压持续恢复，高质量发展取得积极成效</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一、综合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经海南省统计局统一核算，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2022年全</w:t>
      </w:r>
      <w:r>
        <w:rPr>
          <w:rFonts w:hint="eastAsia" w:ascii="仿宋_GB2312" w:hAnsi="仿宋_GB2312" w:eastAsia="仿宋_GB2312" w:cs="仿宋_GB2312"/>
          <w:color w:val="000000" w:themeColor="text1"/>
          <w:sz w:val="32"/>
          <w:szCs w:val="32"/>
          <w14:textFill>
            <w14:solidFill>
              <w14:schemeClr w14:val="tx1"/>
            </w14:solidFill>
          </w14:textFill>
        </w:rPr>
        <w:t>市地区生产总值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356.9</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按不变价格计算，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比上年</w:t>
      </w:r>
      <w:r>
        <w:rPr>
          <w:rFonts w:hint="eastAsia" w:ascii="仿宋_GB2312" w:hAnsi="仿宋_GB2312" w:eastAsia="仿宋_GB2312" w:cs="仿宋_GB2312"/>
          <w:color w:val="000000" w:themeColor="text1"/>
          <w:sz w:val="32"/>
          <w:szCs w:val="32"/>
          <w14:textFill>
            <w14:solidFill>
              <w14:schemeClr w14:val="tx1"/>
            </w14:solidFill>
          </w14:textFill>
        </w:rPr>
        <w:t>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0.3</w:t>
      </w:r>
      <w:r>
        <w:rPr>
          <w:rFonts w:hint="eastAsia" w:ascii="仿宋_GB2312" w:hAnsi="仿宋_GB2312" w:eastAsia="仿宋_GB2312" w:cs="仿宋_GB2312"/>
          <w:color w:val="000000" w:themeColor="text1"/>
          <w:sz w:val="32"/>
          <w:szCs w:val="32"/>
          <w14:textFill>
            <w14:solidFill>
              <w14:schemeClr w14:val="tx1"/>
            </w14:solidFill>
          </w14:textFill>
        </w:rPr>
        <w:t>%。其中，第一产业增加值125.7亿元，增长3.6%；第二产业增加值46.6亿元，增长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.6%；第三产业增加值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184.7</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下降1.6</w:t>
      </w:r>
      <w:r>
        <w:rPr>
          <w:rFonts w:hint="eastAsia" w:ascii="仿宋_GB2312" w:hAnsi="仿宋_GB2312" w:eastAsia="仿宋_GB2312" w:cs="仿宋_GB2312"/>
          <w:color w:val="000000" w:themeColor="text1"/>
          <w:sz w:val="32"/>
          <w:szCs w:val="32"/>
          <w14:textFill>
            <w14:solidFill>
              <w14:schemeClr w14:val="tx1"/>
            </w14:solidFill>
          </w14:textFill>
        </w:rPr>
        <w:t>%。三次产业结构调整为35.2:13:51.8。全年人均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地区</w:t>
      </w:r>
      <w:r>
        <w:rPr>
          <w:rFonts w:hint="eastAsia" w:ascii="仿宋_GB2312" w:hAnsi="仿宋_GB2312" w:eastAsia="仿宋_GB2312" w:cs="仿宋_GB2312"/>
          <w:color w:val="000000" w:themeColor="text1"/>
          <w:sz w:val="32"/>
          <w:szCs w:val="32"/>
          <w14:textFill>
            <w14:solidFill>
              <w14:schemeClr w14:val="tx1"/>
            </w14:solidFill>
          </w14:textFill>
        </w:rPr>
        <w:t>生产总值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66681</w:t>
      </w:r>
      <w:r>
        <w:rPr>
          <w:rFonts w:hint="eastAsia" w:ascii="仿宋_GB2312" w:hAnsi="仿宋_GB2312" w:eastAsia="仿宋_GB2312" w:cs="仿宋_GB2312"/>
          <w:color w:val="000000" w:themeColor="text1"/>
          <w:sz w:val="32"/>
          <w:szCs w:val="32"/>
          <w14:textFill>
            <w14:solidFill>
              <w14:schemeClr w14:val="tx1"/>
            </w14:solidFill>
          </w14:textFill>
        </w:rPr>
        <w:t>元，</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按不变价格计算，</w:t>
      </w:r>
      <w:r>
        <w:rPr>
          <w:rFonts w:hint="eastAsia" w:ascii="仿宋_GB2312" w:hAnsi="仿宋_GB2312" w:eastAsia="仿宋_GB2312" w:cs="仿宋_GB2312"/>
          <w:color w:val="000000" w:themeColor="text1"/>
          <w:sz w:val="32"/>
          <w:szCs w:val="32"/>
          <w14:textFill>
            <w14:solidFill>
              <w14:schemeClr w14:val="tx1"/>
            </w14:solidFill>
          </w14:textFill>
        </w:rPr>
        <w:t>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下降0.5</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rPr>
          <w:rFonts w:hint="eastAsia"/>
        </w:rPr>
      </w:pPr>
      <w:r>
        <w:rPr>
          <w:rFonts w:hint="eastAsia" w:ascii="仿宋_GB2312" w:hAnsi="仿宋_GB2312" w:eastAsia="仿宋_GB2312" w:cs="仿宋_GB2312"/>
          <w:color w:val="000000"/>
          <w:sz w:val="32"/>
          <w:szCs w:val="32"/>
        </w:rPr>
        <w:pict>
          <v:shape id="Object 2" o:spid="_x0000_s1026" o:spt="75" type="#_x0000_t75" style="position:absolute;left:0pt;margin-left:4.65pt;margin-top:36.35pt;height:228.7pt;width:419.9pt;mso-wrap-distance-left:9pt;mso-wrap-distance-right:9pt;z-index:-251652096;mso-width-relative:page;mso-height-relative:page;" o:ole="t" filled="f" o:preferrelative="t" stroked="f" coordsize="21600,21600" wrapcoords="21592 -2 0 0 0 21600 21592 21602 8 21602 21600 21600 21600 0 8 -2 21592 -2">
            <v:path/>
            <v:fill on="f" focussize="0,0"/>
            <v:stroke on="f"/>
            <v:imagedata r:id="rId6" o:title=""/>
            <o:lock v:ext="edit" aspectratio="f"/>
            <w10:wrap type="tight"/>
          </v:shape>
          <o:OLEObject Type="Embed" ProgID="Excel.Sheet.8" ShapeID="Object 2" DrawAspect="Content" ObjectID="_1468075725" r:id="rId5">
            <o:LockedField>false</o:LockedField>
          </o:OLEObject>
        </w:pict>
      </w:r>
    </w:p>
    <w:p>
      <w:pPr>
        <w:pStyle w:val="17"/>
        <w:spacing w:line="520" w:lineRule="exact"/>
        <w:ind w:firstLine="0" w:firstLineChars="0"/>
        <w:rPr>
          <w:rFonts w:ascii="仿宋" w:hAnsi="仿宋" w:eastAsia="仿宋" w:cs="仿宋"/>
          <w:color w:val="0000FF"/>
          <w:sz w:val="32"/>
          <w:szCs w:val="32"/>
        </w:rPr>
      </w:pPr>
      <w:r>
        <w:rPr>
          <w:rFonts w:hint="eastAsia" w:ascii="仿宋" w:hAnsi="仿宋" w:eastAsia="仿宋" w:cs="仿宋"/>
          <w:color w:val="0000FF"/>
          <w:sz w:val="32"/>
          <w:szCs w:val="32"/>
        </w:rPr>
        <w:drawing>
          <wp:anchor distT="0" distB="0" distL="114300" distR="114300" simplePos="0" relativeHeight="251659264" behindDoc="1" locked="0" layoutInCell="1" allowOverlap="1">
            <wp:simplePos x="0" y="0"/>
            <wp:positionH relativeFrom="column">
              <wp:posOffset>-77470</wp:posOffset>
            </wp:positionH>
            <wp:positionV relativeFrom="paragraph">
              <wp:posOffset>110490</wp:posOffset>
            </wp:positionV>
            <wp:extent cx="5466080" cy="3153410"/>
            <wp:effectExtent l="0" t="0" r="1270" b="8890"/>
            <wp:wrapTight wrapText="bothSides">
              <wp:wrapPolygon>
                <wp:start x="0" y="0"/>
                <wp:lineTo x="0" y="21530"/>
                <wp:lineTo x="21530" y="21530"/>
                <wp:lineTo x="21530"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末全市常住人口53.6万人,比上年末增加0.14万人，其中城镇常住人口27.18万人，城镇化率为50.71%。全年出生率为7.23‰，死亡率为7.21‰，自然增长率为0.02‰。从年龄结构看，0-14岁人口9.46万人，15-64岁人口35.9万人，65岁及以上人口</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8.24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城镇新增就业6158人，完成年度计划的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102.6</w:t>
      </w:r>
      <w:r>
        <w:rPr>
          <w:rFonts w:hint="eastAsia" w:ascii="仿宋_GB2312" w:hAnsi="仿宋_GB2312" w:eastAsia="仿宋_GB2312" w:cs="仿宋_GB2312"/>
          <w:color w:val="000000" w:themeColor="text1"/>
          <w:sz w:val="32"/>
          <w:szCs w:val="32"/>
          <w14:textFill>
            <w14:solidFill>
              <w14:schemeClr w14:val="tx1"/>
            </w14:solidFill>
          </w14:textFill>
        </w:rPr>
        <w:t>%。农村劳动力转移就业4718人，完成年度计划的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109.7</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全年居民消费价格比上年上涨2.3%。其中，交通和通信价格上涨6.2%，涨幅为居民消费八大类之首；其次是食品烟酒、教育文化和娱乐，价格分别上涨2.5%、2.4%。</w:t>
      </w:r>
    </w:p>
    <w:tbl>
      <w:tblPr>
        <w:tblStyle w:val="11"/>
        <w:tblW w:w="7960" w:type="dxa"/>
        <w:jc w:val="center"/>
        <w:shd w:val="clear" w:color="auto" w:fill="auto"/>
        <w:tblLayout w:type="fixed"/>
        <w:tblCellMar>
          <w:top w:w="0" w:type="dxa"/>
          <w:left w:w="0" w:type="dxa"/>
          <w:bottom w:w="0" w:type="dxa"/>
          <w:right w:w="0" w:type="dxa"/>
        </w:tblCellMar>
      </w:tblPr>
      <w:tblGrid>
        <w:gridCol w:w="3772"/>
        <w:gridCol w:w="4188"/>
      </w:tblGrid>
      <w:tr>
        <w:tblPrEx>
          <w:tblCellMar>
            <w:top w:w="0" w:type="dxa"/>
            <w:left w:w="0" w:type="dxa"/>
            <w:bottom w:w="0" w:type="dxa"/>
            <w:right w:w="0" w:type="dxa"/>
          </w:tblCellMar>
        </w:tblPrEx>
        <w:trPr>
          <w:trHeight w:val="795" w:hRule="atLeast"/>
          <w:jc w:val="center"/>
        </w:trPr>
        <w:tc>
          <w:tcPr>
            <w:tcW w:w="7960" w:type="dxa"/>
            <w:gridSpan w:val="2"/>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黑体" w:hAnsi="黑体" w:eastAsia="黑体" w:cs="黑体"/>
                <w:b w:val="0"/>
                <w:bCs/>
                <w:i w:val="0"/>
                <w:color w:val="000000"/>
                <w:kern w:val="0"/>
                <w:sz w:val="30"/>
                <w:szCs w:val="30"/>
                <w:u w:val="none"/>
                <w:lang w:val="en-US" w:eastAsia="zh-CN" w:bidi="ar"/>
              </w:rPr>
              <w:t>表1  2022年居民消费价格比上年涨跌幅度</w:t>
            </w:r>
          </w:p>
        </w:tc>
      </w:tr>
      <w:tr>
        <w:tblPrEx>
          <w:shd w:val="clear" w:color="auto" w:fill="auto"/>
          <w:tblCellMar>
            <w:top w:w="0" w:type="dxa"/>
            <w:left w:w="0" w:type="dxa"/>
            <w:bottom w:w="0" w:type="dxa"/>
            <w:right w:w="0" w:type="dxa"/>
          </w:tblCellMar>
        </w:tblPrEx>
        <w:trPr>
          <w:trHeight w:val="359" w:hRule="atLeast"/>
          <w:jc w:val="center"/>
        </w:trPr>
        <w:tc>
          <w:tcPr>
            <w:tcW w:w="3772" w:type="dxa"/>
            <w:vMerge w:val="restart"/>
            <w:tcBorders>
              <w:top w:val="single" w:color="000000" w:sz="12"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指标</w:t>
            </w:r>
          </w:p>
        </w:tc>
        <w:tc>
          <w:tcPr>
            <w:tcW w:w="4188" w:type="dxa"/>
            <w:vMerge w:val="restart"/>
            <w:tcBorders>
              <w:top w:val="single" w:color="000000"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比上年涨跌幅度（%）</w:t>
            </w:r>
          </w:p>
        </w:tc>
      </w:tr>
      <w:tr>
        <w:tblPrEx>
          <w:shd w:val="clear" w:color="auto" w:fill="auto"/>
          <w:tblCellMar>
            <w:top w:w="0" w:type="dxa"/>
            <w:left w:w="0" w:type="dxa"/>
            <w:bottom w:w="0" w:type="dxa"/>
            <w:right w:w="0" w:type="dxa"/>
          </w:tblCellMar>
        </w:tblPrEx>
        <w:trPr>
          <w:trHeight w:val="312" w:hRule="atLeast"/>
          <w:jc w:val="center"/>
        </w:trPr>
        <w:tc>
          <w:tcPr>
            <w:tcW w:w="3772" w:type="dxa"/>
            <w:vMerge w:val="continue"/>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8"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4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居民消费价格</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2.3</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其中：食品烟酒</w:t>
            </w:r>
          </w:p>
        </w:tc>
        <w:tc>
          <w:tcPr>
            <w:tcW w:w="4188"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衣着</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指标</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比上年涨跌幅度（%）</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居住</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1.3</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生活用品及服务</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0.5</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交通和通信</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6.2</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教育文化和娱乐</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2.4</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医疗保健</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-0.1</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472" w:hRule="atLeast"/>
          <w:jc w:val="center"/>
        </w:trPr>
        <w:tc>
          <w:tcPr>
            <w:tcW w:w="3772" w:type="dxa"/>
            <w:tcBorders>
              <w:top w:val="nil"/>
              <w:left w:val="nil"/>
              <w:bottom w:val="single" w:color="000000" w:sz="12"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其他用品和服务</w:t>
            </w:r>
          </w:p>
        </w:tc>
        <w:tc>
          <w:tcPr>
            <w:tcW w:w="4188" w:type="dxa"/>
            <w:tcBorders>
              <w:top w:val="nil"/>
              <w:left w:val="single" w:color="000000" w:sz="4" w:space="0"/>
              <w:bottom w:val="single" w:color="000000" w:sz="12"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kern w:val="0"/>
                <w:sz w:val="24"/>
                <w:szCs w:val="24"/>
                <w:u w:val="none"/>
                <w:lang w:val="en-US" w:eastAsia="zh-CN" w:bidi="ar"/>
              </w:rPr>
              <w:t>1.7</w:t>
            </w:r>
          </w:p>
        </w:tc>
      </w:tr>
    </w:tbl>
    <w:p>
      <w:pPr>
        <w:tabs>
          <w:tab w:val="left" w:pos="726"/>
        </w:tabs>
        <w:spacing w:line="520" w:lineRule="exact"/>
        <w:rPr>
          <w:rFonts w:hint="eastAsia" w:ascii="仿宋_GB2312" w:hAnsi="仿宋_GB2312" w:eastAsia="仿宋_GB2312" w:cs="仿宋_GB2312"/>
          <w:b/>
          <w:bCs/>
          <w:color w:val="0000FF"/>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 w:hAnsi="仿宋" w:eastAsia="仿宋" w:cs="仿宋"/>
          <w:color w:val="0000FF"/>
          <w:sz w:val="32"/>
          <w:szCs w:val="32"/>
        </w:rPr>
        <w:drawing>
          <wp:anchor distT="0" distB="0" distL="114300" distR="114300" simplePos="0" relativeHeight="251663360" behindDoc="1" locked="0" layoutInCell="1" allowOverlap="1">
            <wp:simplePos x="0" y="0"/>
            <wp:positionH relativeFrom="column">
              <wp:posOffset>135255</wp:posOffset>
            </wp:positionH>
            <wp:positionV relativeFrom="paragraph">
              <wp:posOffset>186055</wp:posOffset>
            </wp:positionV>
            <wp:extent cx="5601970" cy="3070860"/>
            <wp:effectExtent l="0" t="0" r="17780" b="34290"/>
            <wp:wrapTight wrapText="bothSides">
              <wp:wrapPolygon>
                <wp:start x="0" y="0"/>
                <wp:lineTo x="0" y="21439"/>
                <wp:lineTo x="21522" y="21439"/>
                <wp:lineTo x="21522" y="0"/>
                <wp:lineTo x="0"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全年新认定高新技术企业7家，比上年增长16.6%。</w:t>
      </w:r>
      <w:r>
        <w:rPr>
          <w:rFonts w:hint="eastAsia" w:ascii="仿宋_GB2312" w:hAnsi="仿宋_GB2312" w:eastAsia="仿宋_GB2312" w:cs="仿宋_GB2312"/>
          <w:color w:val="000000" w:themeColor="text1"/>
          <w:sz w:val="32"/>
          <w:szCs w:val="32"/>
          <w14:textFill>
            <w14:solidFill>
              <w14:schemeClr w14:val="tx1"/>
            </w14:solidFill>
          </w14:textFill>
        </w:rPr>
        <w:t>从事科技活动人员501人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全年高技术产业投资占比2.0%。全年推广新能源汽车3029辆，比上年增长88.1%。</w:t>
      </w:r>
      <w:r>
        <w:rPr>
          <w:rFonts w:hint="eastAsia" w:ascii="仿宋_GB2312" w:hAnsi="仿宋_GB2312" w:eastAsia="仿宋_GB2312" w:cs="仿宋_GB2312"/>
          <w:color w:val="000000" w:themeColor="text1"/>
          <w:sz w:val="32"/>
          <w:szCs w:val="32"/>
          <w14:textFill>
            <w14:solidFill>
              <w14:schemeClr w14:val="tx1"/>
            </w14:solidFill>
          </w14:textFill>
        </w:rPr>
        <w:t>建设5G通信基站305个。依托博鳌亚洲论坛品牌效应，全年举办各类会议会展活动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228</w:t>
      </w:r>
      <w:r>
        <w:rPr>
          <w:rFonts w:hint="eastAsia" w:ascii="仿宋_GB2312" w:hAnsi="仿宋_GB2312" w:eastAsia="仿宋_GB2312" w:cs="仿宋_GB2312"/>
          <w:color w:val="000000" w:themeColor="text1"/>
          <w:sz w:val="32"/>
          <w:szCs w:val="32"/>
          <w14:textFill>
            <w14:solidFill>
              <w14:schemeClr w14:val="tx1"/>
            </w14:solidFill>
          </w14:textFill>
        </w:rPr>
        <w:t>场，会议收入约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0.93</w:t>
      </w:r>
      <w:r>
        <w:rPr>
          <w:rFonts w:hint="eastAsia" w:ascii="仿宋_GB2312" w:hAnsi="仿宋_GB2312" w:eastAsia="仿宋_GB2312" w:cs="仿宋_GB2312"/>
          <w:color w:val="000000" w:themeColor="text1"/>
          <w:sz w:val="32"/>
          <w:szCs w:val="32"/>
          <w14:textFill>
            <w14:solidFill>
              <w14:schemeClr w14:val="tx1"/>
            </w14:solidFill>
          </w14:textFill>
        </w:rPr>
        <w:t>亿元，其中，千人以上会议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全年乐城先行区医疗机构接待医疗旅游人数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18.93</w:t>
      </w:r>
      <w:r>
        <w:rPr>
          <w:rFonts w:hint="eastAsia" w:ascii="仿宋_GB2312" w:hAnsi="仿宋_GB2312" w:eastAsia="仿宋_GB2312" w:cs="仿宋_GB2312"/>
          <w:color w:val="000000" w:themeColor="text1"/>
          <w:sz w:val="32"/>
          <w:szCs w:val="32"/>
          <w14:textFill>
            <w14:solidFill>
              <w14:schemeClr w14:val="tx1"/>
            </w14:solidFill>
          </w14:textFill>
        </w:rPr>
        <w:t>万人次，比上年增长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48.7</w:t>
      </w:r>
      <w:r>
        <w:rPr>
          <w:rFonts w:hint="eastAsia" w:ascii="仿宋_GB2312" w:hAnsi="仿宋_GB2312" w:eastAsia="仿宋_GB2312" w:cs="仿宋_GB2312"/>
          <w:color w:val="000000" w:themeColor="text1"/>
          <w:sz w:val="32"/>
          <w:szCs w:val="32"/>
          <w14:textFill>
            <w14:solidFill>
              <w14:schemeClr w14:val="tx1"/>
            </w14:solidFill>
          </w14:textFill>
        </w:rPr>
        <w:t>%；营业收入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28.02</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25.5</w:t>
      </w:r>
      <w:r>
        <w:rPr>
          <w:rFonts w:hint="eastAsia" w:ascii="仿宋_GB2312" w:hAnsi="仿宋_GB2312" w:eastAsia="仿宋_GB2312" w:cs="仿宋_GB2312"/>
          <w:color w:val="000000" w:themeColor="text1"/>
          <w:sz w:val="32"/>
          <w:szCs w:val="32"/>
          <w14:textFill>
            <w14:solidFill>
              <w14:schemeClr w14:val="tx1"/>
            </w14:solidFill>
          </w14:textFill>
        </w:rPr>
        <w:t>%。全年新登记市场主体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1.34万</w:t>
      </w:r>
      <w:r>
        <w:rPr>
          <w:rFonts w:hint="eastAsia" w:ascii="仿宋_GB2312" w:hAnsi="仿宋_GB2312" w:eastAsia="仿宋_GB2312" w:cs="仿宋_GB2312"/>
          <w:color w:val="000000" w:themeColor="text1"/>
          <w:sz w:val="32"/>
          <w:szCs w:val="32"/>
          <w14:textFill>
            <w14:solidFill>
              <w14:schemeClr w14:val="tx1"/>
            </w14:solidFill>
          </w14:textFill>
        </w:rPr>
        <w:t>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巩固拓展脱贫攻坚成果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通过干部摸排、部门筛查预警、农户自主申请等渠道反馈的预警信息，常态化防返贫动态监测。</w:t>
      </w:r>
      <w:r>
        <w:rPr>
          <w:rFonts w:hint="eastAsia" w:ascii="仿宋_GB2312" w:hAnsi="仿宋_GB2312" w:eastAsia="仿宋_GB2312" w:cs="仿宋_GB2312"/>
          <w:color w:val="000000" w:themeColor="text1"/>
          <w:sz w:val="32"/>
          <w:szCs w:val="32"/>
          <w14:textFill>
            <w14:solidFill>
              <w14:schemeClr w14:val="tx1"/>
            </w14:solidFill>
          </w14:textFill>
        </w:rPr>
        <w:t>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防止返贫累计监测对象586户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2132人，其中已消除风险406户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1555人，无新增返贫致贫农户。</w:t>
      </w:r>
    </w:p>
    <w:p>
      <w:pPr>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二、农林牧渔业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全年全市农林牧渔业增加值</w:t>
      </w:r>
      <w:r>
        <w:rPr>
          <w:rFonts w:hint="default" w:ascii="仿宋_GB2312" w:hAnsi="仿宋_GB2312" w:eastAsia="仿宋_GB2312" w:cs="仿宋_GB2312"/>
          <w:color w:val="000000" w:themeColor="text1"/>
          <w:sz w:val="32"/>
          <w:szCs w:val="32"/>
          <w:lang w:eastAsia="zh-CN"/>
          <w14:textFill>
            <w14:solidFill>
              <w14:schemeClr w14:val="tx1"/>
            </w14:solidFill>
          </w14:textFill>
        </w:rPr>
        <w:t>133.6</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.0%。其中，热带特色高效农业增加值增长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年末农业机械总动力32.6万千瓦，比上年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0.2%。农用大中型拖拉机375台，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1.6%；农用运输车2925辆，减少58辆。全年农用化肥施用量（折纯）4.6万吨，下降3.2%。现有农田水利有效灌溉面积18.6万亩。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全年全市农林牧渔及服务业总产值</w:t>
      </w:r>
      <w:r>
        <w:rPr>
          <w:rFonts w:hint="default" w:ascii="仿宋_GB2312" w:hAnsi="仿宋_GB2312" w:eastAsia="仿宋_GB2312" w:cs="仿宋_GB2312"/>
          <w:color w:val="000000" w:themeColor="text1"/>
          <w:sz w:val="32"/>
          <w:szCs w:val="32"/>
          <w:lang w:eastAsia="zh-CN"/>
          <w14:textFill>
            <w14:solidFill>
              <w14:schemeClr w14:val="tx1"/>
            </w14:solidFill>
          </w14:textFill>
        </w:rPr>
        <w:t>210.</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%。从内部行业看，种植业产值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123.0</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%。粮食播种面积27.8万亩，增长0.4%；产量10.0万吨，下降2.9%。蔬菜（含果用瓜）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收获</w:t>
      </w:r>
      <w:r>
        <w:rPr>
          <w:rFonts w:hint="eastAsia" w:ascii="仿宋_GB2312" w:hAnsi="仿宋_GB2312" w:eastAsia="仿宋_GB2312" w:cs="仿宋_GB2312"/>
          <w:color w:val="000000" w:themeColor="text1"/>
          <w:sz w:val="32"/>
          <w:szCs w:val="32"/>
          <w14:textFill>
            <w14:solidFill>
              <w14:schemeClr w14:val="tx1"/>
            </w14:solidFill>
          </w14:textFill>
        </w:rPr>
        <w:t>面积23.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万亩，增长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%；产量5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0.4</w:t>
      </w:r>
      <w:r>
        <w:rPr>
          <w:rFonts w:hint="eastAsia" w:ascii="仿宋_GB2312" w:hAnsi="仿宋_GB2312" w:eastAsia="仿宋_GB2312" w:cs="仿宋_GB2312"/>
          <w:color w:val="000000" w:themeColor="text1"/>
          <w:sz w:val="32"/>
          <w:szCs w:val="32"/>
          <w14:textFill>
            <w14:solidFill>
              <w14:schemeClr w14:val="tx1"/>
            </w14:solidFill>
          </w14:textFill>
        </w:rPr>
        <w:t>%。水果收获面积12.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万亩，增长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%；产量27.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0.6</w:t>
      </w:r>
      <w:r>
        <w:rPr>
          <w:rFonts w:hint="eastAsia" w:ascii="仿宋_GB2312" w:hAnsi="仿宋_GB2312" w:eastAsia="仿宋_GB2312" w:cs="仿宋_GB2312"/>
          <w:color w:val="000000" w:themeColor="text1"/>
          <w:sz w:val="32"/>
          <w:szCs w:val="32"/>
          <w14:textFill>
            <w14:solidFill>
              <w14:schemeClr w14:val="tx1"/>
            </w14:solidFill>
          </w14:textFill>
        </w:rPr>
        <w:t>%。林业产值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13.6</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.8%。橡胶产量2.9万吨，增长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w:t>
      </w:r>
      <w:r>
        <w:rPr>
          <w:rFonts w:hint="eastAsia" w:ascii="仿宋_GB2312" w:hAnsi="仿宋_GB2312" w:eastAsia="仿宋_GB2312" w:cs="仿宋_GB2312"/>
          <w:color w:val="000000" w:themeColor="text1"/>
          <w:sz w:val="32"/>
          <w:szCs w:val="32"/>
          <w14:textFill>
            <w14:solidFill>
              <w14:schemeClr w14:val="tx1"/>
            </w14:solidFill>
          </w14:textFill>
        </w:rPr>
        <w:t>%。牧业产值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34.2</w:t>
      </w:r>
      <w:r>
        <w:rPr>
          <w:rFonts w:hint="eastAsia" w:ascii="仿宋_GB2312" w:hAnsi="仿宋_GB2312" w:eastAsia="仿宋_GB2312" w:cs="仿宋_GB2312"/>
          <w:color w:val="000000" w:themeColor="text1"/>
          <w:sz w:val="32"/>
          <w:szCs w:val="32"/>
          <w14:textFill>
            <w14:solidFill>
              <w14:schemeClr w14:val="tx1"/>
            </w14:solidFill>
          </w14:textFill>
        </w:rPr>
        <w:t>亿元，下降0.3%。生猪年末存栏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w:t>
      </w:r>
      <w:r>
        <w:rPr>
          <w:rFonts w:hint="eastAsia" w:ascii="仿宋_GB2312" w:hAnsi="仿宋_GB2312" w:eastAsia="仿宋_GB2312" w:cs="仿宋_GB2312"/>
          <w:color w:val="000000" w:themeColor="text1"/>
          <w:sz w:val="32"/>
          <w:szCs w:val="32"/>
          <w14:textFill>
            <w14:solidFill>
              <w14:schemeClr w14:val="tx1"/>
            </w14:solidFill>
          </w14:textFill>
        </w:rPr>
        <w:t>万头，增长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年内出栏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41.6</w:t>
      </w:r>
      <w:r>
        <w:rPr>
          <w:rFonts w:hint="eastAsia" w:ascii="仿宋_GB2312" w:hAnsi="仿宋_GB2312" w:eastAsia="仿宋_GB2312" w:cs="仿宋_GB2312"/>
          <w:color w:val="000000" w:themeColor="text1"/>
          <w:sz w:val="32"/>
          <w:szCs w:val="32"/>
          <w14:textFill>
            <w14:solidFill>
              <w14:schemeClr w14:val="tx1"/>
            </w14:solidFill>
          </w14:textFill>
        </w:rPr>
        <w:t>万头，增长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%。猪肉量3.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万吨，增长3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%。禽类肉量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w:t>
      </w:r>
      <w:r>
        <w:rPr>
          <w:rFonts w:hint="eastAsia" w:ascii="仿宋_GB2312" w:hAnsi="仿宋_GB2312" w:eastAsia="仿宋_GB2312" w:cs="仿宋_GB2312"/>
          <w:color w:val="000000" w:themeColor="text1"/>
          <w:sz w:val="32"/>
          <w:szCs w:val="32"/>
          <w14:textFill>
            <w14:solidFill>
              <w14:schemeClr w14:val="tx1"/>
            </w14:solidFill>
          </w14:textFill>
        </w:rPr>
        <w:t>万吨，下降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w:t>
      </w:r>
      <w:r>
        <w:rPr>
          <w:rFonts w:hint="eastAsia" w:ascii="仿宋_GB2312" w:hAnsi="仿宋_GB2312" w:eastAsia="仿宋_GB2312" w:cs="仿宋_GB2312"/>
          <w:color w:val="000000" w:themeColor="text1"/>
          <w:sz w:val="32"/>
          <w:szCs w:val="32"/>
          <w14:textFill>
            <w14:solidFill>
              <w14:schemeClr w14:val="tx1"/>
            </w14:solidFill>
          </w14:textFill>
        </w:rPr>
        <w:t>%。渔业产值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25.3</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w:t>
      </w:r>
      <w:r>
        <w:rPr>
          <w:rFonts w:hint="eastAsia" w:ascii="仿宋_GB2312" w:hAnsi="仿宋_GB2312" w:eastAsia="仿宋_GB2312" w:cs="仿宋_GB2312"/>
          <w:color w:val="000000" w:themeColor="text1"/>
          <w:sz w:val="32"/>
          <w:szCs w:val="32"/>
          <w14:textFill>
            <w14:solidFill>
              <w14:schemeClr w14:val="tx1"/>
            </w14:solidFill>
          </w14:textFill>
        </w:rPr>
        <w:t>%。水产品总产量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10.7</w:t>
      </w:r>
      <w:r>
        <w:rPr>
          <w:rFonts w:hint="eastAsia" w:ascii="仿宋_GB2312" w:hAnsi="仿宋_GB2312" w:eastAsia="仿宋_GB2312" w:cs="仿宋_GB2312"/>
          <w:color w:val="000000" w:themeColor="text1"/>
          <w:sz w:val="32"/>
          <w:szCs w:val="32"/>
          <w14:textFill>
            <w14:solidFill>
              <w14:schemeClr w14:val="tx1"/>
            </w14:solidFill>
          </w14:textFill>
        </w:rPr>
        <w:t>万吨，增长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23.2</w:t>
      </w:r>
      <w:r>
        <w:rPr>
          <w:rFonts w:hint="eastAsia" w:ascii="仿宋_GB2312" w:hAnsi="仿宋_GB2312" w:eastAsia="仿宋_GB2312" w:cs="仿宋_GB2312"/>
          <w:color w:val="000000" w:themeColor="text1"/>
          <w:sz w:val="32"/>
          <w:szCs w:val="32"/>
          <w14:textFill>
            <w14:solidFill>
              <w14:schemeClr w14:val="tx1"/>
            </w14:solidFill>
          </w14:textFill>
        </w:rPr>
        <w:t>%。农林牧渔专业及辅助性活动产值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14.5</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10.4</w:t>
      </w:r>
      <w:r>
        <w:rPr>
          <w:rFonts w:hint="eastAsia" w:ascii="仿宋_GB2312" w:hAnsi="仿宋_GB2312" w:eastAsia="仿宋_GB2312" w:cs="仿宋_GB2312"/>
          <w:color w:val="000000" w:themeColor="text1"/>
          <w:sz w:val="32"/>
          <w:szCs w:val="32"/>
          <w14:textFill>
            <w14:solidFill>
              <w14:schemeClr w14:val="tx1"/>
            </w14:solidFill>
          </w14:textFill>
        </w:rPr>
        <w:t>%。</w:t>
      </w:r>
    </w:p>
    <w:p>
      <w:pPr>
        <w:tabs>
          <w:tab w:val="left" w:pos="951"/>
        </w:tabs>
        <w:bidi w:val="0"/>
        <w:jc w:val="left"/>
        <w:rPr>
          <w:rFonts w:hint="eastAsia" w:eastAsiaTheme="minorEastAsia"/>
          <w:lang w:eastAsia="zh-CN"/>
        </w:rPr>
      </w:pPr>
    </w:p>
    <w:tbl>
      <w:tblPr>
        <w:tblStyle w:val="11"/>
        <w:tblpPr w:leftFromText="180" w:rightFromText="180" w:vertAnchor="text" w:horzAnchor="page" w:tblpXSpec="center" w:tblpY="74"/>
        <w:tblOverlap w:val="never"/>
        <w:tblW w:w="8380" w:type="dxa"/>
        <w:jc w:val="center"/>
        <w:tblLayout w:type="fixed"/>
        <w:tblCellMar>
          <w:top w:w="0" w:type="dxa"/>
          <w:left w:w="0" w:type="dxa"/>
          <w:bottom w:w="0" w:type="dxa"/>
          <w:right w:w="0" w:type="dxa"/>
        </w:tblCellMar>
      </w:tblPr>
      <w:tblGrid>
        <w:gridCol w:w="3540"/>
        <w:gridCol w:w="1267"/>
        <w:gridCol w:w="1220"/>
        <w:gridCol w:w="2353"/>
      </w:tblGrid>
      <w:tr>
        <w:tblPrEx>
          <w:tblCellMar>
            <w:top w:w="0" w:type="dxa"/>
            <w:left w:w="0" w:type="dxa"/>
            <w:bottom w:w="0" w:type="dxa"/>
            <w:right w:w="0" w:type="dxa"/>
          </w:tblCellMar>
        </w:tblPrEx>
        <w:trPr>
          <w:trHeight w:val="90" w:hRule="atLeast"/>
          <w:jc w:val="center"/>
        </w:trPr>
        <w:tc>
          <w:tcPr>
            <w:tcW w:w="8380"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黑体" w:hAnsi="黑体" w:eastAsia="黑体" w:cs="黑体"/>
                <w:color w:val="auto"/>
                <w:kern w:val="0"/>
                <w:sz w:val="30"/>
                <w:szCs w:val="30"/>
                <w:lang w:bidi="ar"/>
              </w:rPr>
              <w:t>表2  202</w:t>
            </w:r>
            <w:r>
              <w:rPr>
                <w:rFonts w:hint="eastAsia" w:ascii="黑体" w:hAnsi="黑体" w:eastAsia="黑体" w:cs="黑体"/>
                <w:color w:val="auto"/>
                <w:kern w:val="0"/>
                <w:sz w:val="30"/>
                <w:szCs w:val="30"/>
                <w:lang w:val="en-US" w:eastAsia="zh-CN" w:bidi="ar"/>
              </w:rPr>
              <w:t>2</w:t>
            </w:r>
            <w:r>
              <w:rPr>
                <w:rFonts w:hint="eastAsia" w:ascii="黑体" w:hAnsi="黑体" w:eastAsia="黑体" w:cs="黑体"/>
                <w:color w:val="auto"/>
                <w:kern w:val="0"/>
                <w:sz w:val="30"/>
                <w:szCs w:val="30"/>
                <w:lang w:bidi="ar"/>
              </w:rPr>
              <w:t>年农林牧渔业主要产品产量及其增长速度</w:t>
            </w:r>
          </w:p>
        </w:tc>
      </w:tr>
      <w:tr>
        <w:tblPrEx>
          <w:tblCellMar>
            <w:top w:w="0" w:type="dxa"/>
            <w:left w:w="0" w:type="dxa"/>
            <w:bottom w:w="0" w:type="dxa"/>
            <w:right w:w="0" w:type="dxa"/>
          </w:tblCellMar>
        </w:tblPrEx>
        <w:trPr>
          <w:trHeight w:val="90" w:hRule="atLeast"/>
          <w:jc w:val="center"/>
        </w:trPr>
        <w:tc>
          <w:tcPr>
            <w:tcW w:w="3540"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auto"/>
                <w:sz w:val="24"/>
              </w:rPr>
            </w:pPr>
            <w:r>
              <w:rPr>
                <w:rFonts w:hint="eastAsia" w:ascii="宋体" w:hAnsi="宋体" w:eastAsia="宋体" w:cs="宋体"/>
                <w:b/>
                <w:color w:val="auto"/>
                <w:kern w:val="0"/>
                <w:sz w:val="24"/>
                <w:lang w:bidi="ar"/>
              </w:rPr>
              <w:t>产品名称</w:t>
            </w:r>
          </w:p>
        </w:tc>
        <w:tc>
          <w:tcPr>
            <w:tcW w:w="1267"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auto"/>
                <w:sz w:val="24"/>
              </w:rPr>
            </w:pPr>
            <w:r>
              <w:rPr>
                <w:rFonts w:hint="eastAsia" w:ascii="宋体" w:hAnsi="宋体" w:eastAsia="宋体" w:cs="宋体"/>
                <w:b/>
                <w:color w:val="auto"/>
                <w:kern w:val="0"/>
                <w:sz w:val="24"/>
                <w:lang w:bidi="ar"/>
              </w:rPr>
              <w:t>单位</w:t>
            </w:r>
          </w:p>
        </w:tc>
        <w:tc>
          <w:tcPr>
            <w:tcW w:w="1220" w:type="dxa"/>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auto"/>
                <w:sz w:val="24"/>
              </w:rPr>
            </w:pPr>
            <w:r>
              <w:rPr>
                <w:rFonts w:hint="eastAsia" w:ascii="宋体" w:hAnsi="宋体" w:eastAsia="宋体" w:cs="宋体"/>
                <w:b/>
                <w:color w:val="auto"/>
                <w:kern w:val="0"/>
                <w:sz w:val="24"/>
                <w:lang w:bidi="ar"/>
              </w:rPr>
              <w:t>绝对数</w:t>
            </w:r>
          </w:p>
        </w:tc>
        <w:tc>
          <w:tcPr>
            <w:tcW w:w="2353" w:type="dxa"/>
            <w:tcBorders>
              <w:top w:val="single" w:color="auto" w:sz="12" w:space="0"/>
              <w:left w:val="nil"/>
              <w:bottom w:val="single" w:color="000000" w:sz="4"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auto"/>
                <w:sz w:val="24"/>
              </w:rPr>
            </w:pPr>
            <w:r>
              <w:rPr>
                <w:rFonts w:hint="eastAsia" w:ascii="宋体" w:hAnsi="宋体" w:eastAsia="宋体" w:cs="宋体"/>
                <w:b/>
                <w:color w:val="auto"/>
                <w:kern w:val="0"/>
                <w:sz w:val="24"/>
                <w:lang w:bidi="ar"/>
              </w:rPr>
              <w:t>比上年增减（%）</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蔬菜（含菜用瓜）</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53.1</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0.4</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水果</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27.1</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0.6</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其中：菠萝</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12.1</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3.3</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荔枝</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1.59</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w:t>
            </w:r>
            <w:r>
              <w:rPr>
                <w:rFonts w:ascii="宋体" w:hAnsi="宋体" w:eastAsia="宋体" w:cs="宋体"/>
                <w:color w:val="000000" w:themeColor="text1"/>
                <w:kern w:val="0"/>
                <w:sz w:val="24"/>
                <w:lang w:bidi="ar"/>
                <w14:textFill>
                  <w14:solidFill>
                    <w14:schemeClr w14:val="tx1"/>
                  </w14:solidFill>
                </w14:textFill>
              </w:rPr>
              <w:t>1</w:t>
            </w:r>
            <w:r>
              <w:rPr>
                <w:rFonts w:hint="eastAsia" w:ascii="宋体" w:hAnsi="宋体" w:eastAsia="宋体" w:cs="宋体"/>
                <w:color w:val="000000" w:themeColor="text1"/>
                <w:kern w:val="0"/>
                <w:sz w:val="24"/>
                <w:lang w:bidi="ar"/>
                <w14:textFill>
                  <w14:solidFill>
                    <w14:schemeClr w14:val="tx1"/>
                  </w14:solidFill>
                </w14:textFill>
              </w:rPr>
              <w:t>.3</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香蕉</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3.3</w:t>
            </w:r>
            <w:r>
              <w:rPr>
                <w:rFonts w:ascii="宋体" w:hAnsi="宋体" w:eastAsia="宋体" w:cs="宋体"/>
                <w:color w:val="000000" w:themeColor="text1"/>
                <w:kern w:val="0"/>
                <w:sz w:val="24"/>
                <w:lang w:bidi="ar"/>
                <w14:textFill>
                  <w14:solidFill>
                    <w14:schemeClr w14:val="tx1"/>
                  </w14:solidFill>
                </w14:textFill>
              </w:rPr>
              <w:t>1</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6.0</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柑橘橙柚</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0.21</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18.4</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莲雾</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0.</w:t>
            </w:r>
            <w:r>
              <w:rPr>
                <w:rFonts w:hint="eastAsia" w:ascii="宋体" w:hAnsi="宋体" w:eastAsia="宋体" w:cs="宋体"/>
                <w:color w:val="000000" w:themeColor="text1"/>
                <w:kern w:val="0"/>
                <w:sz w:val="24"/>
                <w:lang w:val="en-US" w:eastAsia="zh-CN" w:bidi="ar"/>
                <w14:textFill>
                  <w14:solidFill>
                    <w14:schemeClr w14:val="tx1"/>
                  </w14:solidFill>
                </w14:textFill>
              </w:rPr>
              <w:t>67</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w:t>
            </w:r>
            <w:r>
              <w:rPr>
                <w:rFonts w:hint="eastAsia" w:ascii="宋体" w:hAnsi="宋体" w:eastAsia="宋体" w:cs="宋体"/>
                <w:color w:val="000000" w:themeColor="text1"/>
                <w:kern w:val="0"/>
                <w:sz w:val="24"/>
                <w:lang w:val="en-US" w:eastAsia="zh-CN" w:bidi="ar"/>
                <w14:textFill>
                  <w14:solidFill>
                    <w14:schemeClr w14:val="tx1"/>
                  </w14:solidFill>
                </w14:textFill>
              </w:rPr>
              <w:t>0</w:t>
            </w:r>
            <w:r>
              <w:rPr>
                <w:rFonts w:ascii="宋体" w:hAnsi="宋体" w:eastAsia="宋体" w:cs="宋体"/>
                <w:color w:val="000000" w:themeColor="text1"/>
                <w:kern w:val="0"/>
                <w:sz w:val="24"/>
                <w:lang w:bidi="ar"/>
                <w14:textFill>
                  <w14:solidFill>
                    <w14:schemeClr w14:val="tx1"/>
                  </w14:solidFill>
                </w14:textFill>
              </w:rPr>
              <w:t>.</w:t>
            </w:r>
            <w:r>
              <w:rPr>
                <w:rFonts w:hint="eastAsia" w:ascii="宋体" w:hAnsi="宋体" w:eastAsia="宋体" w:cs="宋体"/>
                <w:color w:val="000000" w:themeColor="text1"/>
                <w:kern w:val="0"/>
                <w:sz w:val="24"/>
                <w:lang w:val="en-US" w:eastAsia="zh-CN" w:bidi="ar"/>
                <w14:textFill>
                  <w14:solidFill>
                    <w14:schemeClr w14:val="tx1"/>
                  </w14:solidFill>
                </w14:textFill>
              </w:rPr>
              <w:t>5</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火龙果</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0.24</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-1.</w:t>
            </w:r>
            <w:r>
              <w:rPr>
                <w:rFonts w:hint="eastAsia" w:ascii="宋体" w:hAnsi="宋体" w:eastAsia="宋体" w:cs="宋体"/>
                <w:color w:val="000000" w:themeColor="text1"/>
                <w:kern w:val="0"/>
                <w:sz w:val="24"/>
                <w:lang w:val="en-US" w:eastAsia="zh-CN" w:bidi="ar"/>
                <w14:textFill>
                  <w14:solidFill>
                    <w14:schemeClr w14:val="tx1"/>
                  </w14:solidFill>
                </w14:textFill>
              </w:rPr>
              <w:t>3</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橡胶</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eastAsia" w:ascii="宋体" w:hAnsi="宋体" w:eastAsia="宋体" w:cs="宋体"/>
                <w:color w:val="auto"/>
                <w:sz w:val="24"/>
                <w:lang w:val="en-US" w:eastAsia="zh-CN"/>
              </w:rPr>
            </w:pPr>
            <w:r>
              <w:rPr>
                <w:rFonts w:ascii="宋体" w:hAnsi="宋体" w:eastAsia="宋体" w:cs="宋体"/>
                <w:color w:val="auto"/>
                <w:kern w:val="0"/>
                <w:sz w:val="24"/>
                <w:lang w:bidi="ar"/>
              </w:rPr>
              <w:t>2.9</w:t>
            </w:r>
            <w:r>
              <w:rPr>
                <w:rFonts w:hint="eastAsia" w:ascii="宋体" w:hAnsi="宋体" w:eastAsia="宋体" w:cs="宋体"/>
                <w:color w:val="auto"/>
                <w:kern w:val="0"/>
                <w:sz w:val="24"/>
                <w:lang w:val="en-US" w:eastAsia="zh-CN" w:bidi="ar"/>
              </w:rPr>
              <w:t>3</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 xml:space="preserve"> 0.2</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胡椒</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0.88</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25.2</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椰子</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亿个</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0.7</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 xml:space="preserve"> 2.5</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槟榔</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4.1</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9.9</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总肉量</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eastAsia" w:ascii="宋体" w:hAnsi="宋体" w:eastAsia="宋体" w:cs="宋体"/>
                <w:color w:val="auto"/>
                <w:sz w:val="24"/>
                <w:lang w:eastAsia="zh-CN"/>
              </w:rPr>
            </w:pPr>
            <w:r>
              <w:rPr>
                <w:rFonts w:ascii="宋体" w:hAnsi="宋体" w:eastAsia="宋体" w:cs="宋体"/>
                <w:color w:val="auto"/>
                <w:kern w:val="0"/>
                <w:sz w:val="24"/>
                <w:lang w:bidi="ar"/>
              </w:rPr>
              <w:t>7.</w:t>
            </w:r>
            <w:r>
              <w:rPr>
                <w:rFonts w:hint="eastAsia" w:ascii="宋体" w:hAnsi="宋体" w:eastAsia="宋体" w:cs="宋体"/>
                <w:color w:val="auto"/>
                <w:kern w:val="0"/>
                <w:sz w:val="24"/>
                <w:lang w:val="en-US" w:eastAsia="zh-CN" w:bidi="ar"/>
              </w:rPr>
              <w:t>3</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 xml:space="preserve">  </w:t>
            </w: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-4.6</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 xml:space="preserve">    其中：猪肉</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eastAsia" w:ascii="宋体" w:hAnsi="宋体" w:eastAsia="宋体" w:cs="宋体"/>
                <w:color w:val="auto"/>
                <w:sz w:val="24"/>
                <w:lang w:eastAsia="zh-CN"/>
              </w:rPr>
            </w:pPr>
            <w:r>
              <w:rPr>
                <w:rFonts w:ascii="宋体" w:hAnsi="宋体" w:eastAsia="宋体" w:cs="宋体"/>
                <w:color w:val="auto"/>
                <w:kern w:val="0"/>
                <w:sz w:val="24"/>
                <w:lang w:bidi="ar"/>
              </w:rPr>
              <w:t>3.</w:t>
            </w:r>
            <w:r>
              <w:rPr>
                <w:rFonts w:hint="eastAsia" w:ascii="宋体" w:hAnsi="宋体" w:eastAsia="宋体" w:cs="宋体"/>
                <w:color w:val="auto"/>
                <w:kern w:val="0"/>
                <w:sz w:val="24"/>
                <w:lang w:val="en-US" w:eastAsia="zh-CN" w:bidi="ar"/>
              </w:rPr>
              <w:t>4</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3</w:t>
            </w:r>
            <w:r>
              <w:rPr>
                <w:rFonts w:hint="eastAsia" w:ascii="宋体" w:hAnsi="宋体" w:eastAsia="宋体" w:cs="宋体"/>
                <w:color w:val="auto"/>
                <w:kern w:val="0"/>
                <w:sz w:val="24"/>
                <w:lang w:val="en-US" w:eastAsia="zh-CN" w:bidi="ar"/>
              </w:rPr>
              <w:t>.2</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 xml:space="preserve">          禽肉</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3.8</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 xml:space="preserve"> </w:t>
            </w: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8.2</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水产品产量</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10.7</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23.2</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 xml:space="preserve">    其中：海水产品</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6.3</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 xml:space="preserve">  10.7</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auto"/>
                <w:sz w:val="24"/>
              </w:rPr>
            </w:pPr>
            <w:r>
              <w:rPr>
                <w:rFonts w:hint="eastAsia" w:ascii="宋体" w:hAnsi="宋体" w:eastAsia="宋体" w:cs="宋体"/>
                <w:color w:val="auto"/>
                <w:kern w:val="0"/>
                <w:sz w:val="24"/>
                <w:lang w:bidi="ar"/>
              </w:rPr>
              <w:t xml:space="preserve">         淡水产品</w:t>
            </w:r>
          </w:p>
        </w:tc>
        <w:tc>
          <w:tcPr>
            <w:tcW w:w="1267"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万吨</w:t>
            </w:r>
          </w:p>
        </w:tc>
        <w:tc>
          <w:tcPr>
            <w:tcW w:w="1220"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4.4</w:t>
            </w:r>
          </w:p>
        </w:tc>
        <w:tc>
          <w:tcPr>
            <w:tcW w:w="2353"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 xml:space="preserve"> </w:t>
            </w:r>
            <w:r>
              <w:rPr>
                <w:rFonts w:hint="eastAsia" w:ascii="宋体" w:hAnsi="宋体" w:eastAsia="宋体" w:cs="宋体"/>
                <w:color w:val="auto"/>
                <w:kern w:val="0"/>
                <w:sz w:val="24"/>
                <w:lang w:bidi="ar"/>
              </w:rPr>
              <w:t xml:space="preserve"> </w:t>
            </w:r>
            <w:r>
              <w:rPr>
                <w:rFonts w:hint="eastAsia" w:ascii="宋体" w:hAnsi="宋体" w:eastAsia="宋体" w:cs="宋体"/>
                <w:color w:val="auto"/>
                <w:kern w:val="0"/>
                <w:sz w:val="24"/>
                <w:lang w:val="en-US" w:eastAsia="zh-CN" w:bidi="ar"/>
              </w:rPr>
              <w:t>47.1</w:t>
            </w:r>
          </w:p>
        </w:tc>
      </w:tr>
    </w:tbl>
    <w:p>
      <w:pPr>
        <w:tabs>
          <w:tab w:val="left" w:pos="606"/>
        </w:tabs>
        <w:spacing w:line="520" w:lineRule="exact"/>
        <w:ind w:firstLine="672" w:firstLineChars="200"/>
        <w:jc w:val="left"/>
        <w:rPr>
          <w:rStyle w:val="13"/>
          <w:rFonts w:hint="eastAsia" w:ascii="黑体" w:hAnsi="黑体" w:eastAsia="黑体" w:cs="黑体"/>
          <w:b w:val="0"/>
          <w:color w:val="0000FF"/>
          <w:spacing w:val="8"/>
          <w:sz w:val="32"/>
          <w:szCs w:val="32"/>
        </w:rPr>
      </w:pPr>
    </w:p>
    <w:p>
      <w:pPr>
        <w:tabs>
          <w:tab w:val="left" w:pos="606"/>
        </w:tabs>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三、工业和建筑业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全年全市工业增加值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13.54</w:t>
      </w:r>
      <w:r>
        <w:rPr>
          <w:rFonts w:hint="eastAsia" w:ascii="仿宋_GB2312" w:hAnsi="仿宋_GB2312" w:eastAsia="仿宋_GB2312" w:cs="仿宋_GB2312"/>
          <w:color w:val="000000" w:themeColor="text1"/>
          <w:sz w:val="32"/>
          <w:szCs w:val="32"/>
          <w14:textFill>
            <w14:solidFill>
              <w14:schemeClr w14:val="tx1"/>
            </w14:solidFill>
          </w14:textFill>
        </w:rPr>
        <w:t>亿元，比上年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下降1.3</w:t>
      </w:r>
      <w:r>
        <w:rPr>
          <w:rFonts w:hint="eastAsia" w:ascii="仿宋_GB2312" w:hAnsi="仿宋_GB2312" w:eastAsia="仿宋_GB2312" w:cs="仿宋_GB2312"/>
          <w:color w:val="000000" w:themeColor="text1"/>
          <w:sz w:val="32"/>
          <w:szCs w:val="32"/>
          <w14:textFill>
            <w14:solidFill>
              <w14:schemeClr w14:val="tx1"/>
            </w14:solidFill>
          </w14:textFill>
        </w:rPr>
        <w:t>%。规模以上工业增加值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下降0.8</w:t>
      </w:r>
      <w:r>
        <w:rPr>
          <w:rFonts w:hint="eastAsia" w:ascii="仿宋_GB2312" w:hAnsi="仿宋_GB2312" w:eastAsia="仿宋_GB2312" w:cs="仿宋_GB2312"/>
          <w:color w:val="000000" w:themeColor="text1"/>
          <w:sz w:val="32"/>
          <w:szCs w:val="32"/>
          <w14:textFill>
            <w14:solidFill>
              <w14:schemeClr w14:val="tx1"/>
            </w14:solidFill>
          </w14:textFill>
        </w:rPr>
        <w:t>%。规模以上工业产值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下降13.4</w:t>
      </w:r>
      <w:r>
        <w:rPr>
          <w:rFonts w:hint="eastAsia" w:ascii="仿宋_GB2312" w:hAnsi="仿宋_GB2312" w:eastAsia="仿宋_GB2312" w:cs="仿宋_GB2312"/>
          <w:color w:val="000000" w:themeColor="text1"/>
          <w:sz w:val="32"/>
          <w:szCs w:val="32"/>
          <w14:textFill>
            <w14:solidFill>
              <w14:schemeClr w14:val="tx1"/>
            </w14:solidFill>
          </w14:textFill>
        </w:rPr>
        <w:t>%。按轻重工业分，轻工业产值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下降5.2</w:t>
      </w:r>
      <w:r>
        <w:rPr>
          <w:rFonts w:hint="eastAsia" w:ascii="仿宋_GB2312" w:hAnsi="仿宋_GB2312" w:eastAsia="仿宋_GB2312" w:cs="仿宋_GB2312"/>
          <w:color w:val="000000" w:themeColor="text1"/>
          <w:sz w:val="32"/>
          <w:szCs w:val="32"/>
          <w14:textFill>
            <w14:solidFill>
              <w14:schemeClr w14:val="tx1"/>
            </w14:solidFill>
          </w14:textFill>
        </w:rPr>
        <w:t>%；重工业产值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.3%。从经济类型看，国有企业产值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%；股份制企业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下降35.3</w:t>
      </w:r>
      <w:r>
        <w:rPr>
          <w:rFonts w:hint="eastAsia" w:ascii="仿宋_GB2312" w:hAnsi="仿宋_GB2312" w:eastAsia="仿宋_GB2312" w:cs="仿宋_GB2312"/>
          <w:color w:val="000000" w:themeColor="text1"/>
          <w:sz w:val="32"/>
          <w:szCs w:val="32"/>
          <w14:textFill>
            <w14:solidFill>
              <w14:schemeClr w14:val="tx1"/>
            </w14:solidFill>
          </w14:textFill>
        </w:rPr>
        <w:t>%；外商及港澳台商投资企业增长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全年规模以上工业中，食品制造业比上年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下降37.0</w:t>
      </w:r>
      <w:r>
        <w:rPr>
          <w:rFonts w:hint="eastAsia" w:ascii="仿宋_GB2312" w:hAnsi="仿宋_GB2312" w:eastAsia="仿宋_GB2312" w:cs="仿宋_GB2312"/>
          <w:color w:val="000000" w:themeColor="text1"/>
          <w:sz w:val="32"/>
          <w:szCs w:val="32"/>
          <w14:textFill>
            <w14:solidFill>
              <w14:schemeClr w14:val="tx1"/>
            </w14:solidFill>
          </w14:textFill>
        </w:rPr>
        <w:t>%，酒、饮料和精制茶制造业增长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.7%，非金属矿物制品业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下降32.1</w:t>
      </w:r>
      <w:r>
        <w:rPr>
          <w:rFonts w:hint="eastAsia" w:ascii="仿宋_GB2312" w:hAnsi="仿宋_GB2312" w:eastAsia="仿宋_GB2312" w:cs="仿宋_GB2312"/>
          <w:color w:val="000000" w:themeColor="text1"/>
          <w:sz w:val="32"/>
          <w:szCs w:val="32"/>
          <w14:textFill>
            <w14:solidFill>
              <w14:schemeClr w14:val="tx1"/>
            </w14:solidFill>
          </w14:textFill>
        </w:rPr>
        <w:t>%，通用设备制造业下降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56.6</w:t>
      </w:r>
      <w:r>
        <w:rPr>
          <w:rFonts w:hint="eastAsia" w:ascii="仿宋_GB2312" w:hAnsi="仿宋_GB2312" w:eastAsia="仿宋_GB2312" w:cs="仿宋_GB2312"/>
          <w:color w:val="000000" w:themeColor="text1"/>
          <w:sz w:val="32"/>
          <w:szCs w:val="32"/>
          <w14:textFill>
            <w14:solidFill>
              <w14:schemeClr w14:val="tx1"/>
            </w14:solidFill>
          </w14:textFill>
        </w:rPr>
        <w:t>%，电力、热力的生产和供应业增长1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s="仿宋_GB2312"/>
          <w:color w:val="000000" w:themeColor="text1"/>
          <w:sz w:val="32"/>
          <w:szCs w:val="32"/>
          <w14:textFill>
            <w14:solidFill>
              <w14:schemeClr w14:val="tx1"/>
            </w14:solidFill>
          </w14:textFill>
        </w:rPr>
        <w:t>%，燃气生产和供应业增长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29.9</w:t>
      </w:r>
      <w:r>
        <w:rPr>
          <w:rFonts w:hint="eastAsia" w:ascii="仿宋_GB2312" w:hAnsi="仿宋_GB2312" w:eastAsia="仿宋_GB2312" w:cs="仿宋_GB2312"/>
          <w:color w:val="000000" w:themeColor="text1"/>
          <w:sz w:val="32"/>
          <w:szCs w:val="32"/>
          <w14:textFill>
            <w14:solidFill>
              <w14:schemeClr w14:val="tx1"/>
            </w14:solidFill>
          </w14:textFill>
        </w:rPr>
        <w:t>%，水的生产和供应业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下降3.5</w:t>
      </w:r>
      <w:r>
        <w:rPr>
          <w:rFonts w:hint="eastAsia" w:ascii="仿宋_GB2312" w:hAnsi="仿宋_GB2312" w:eastAsia="仿宋_GB2312" w:cs="仿宋_GB2312"/>
          <w:color w:val="000000" w:themeColor="text1"/>
          <w:sz w:val="32"/>
          <w:szCs w:val="32"/>
          <w14:textFill>
            <w14:solidFill>
              <w14:schemeClr w14:val="tx1"/>
            </w14:solidFill>
          </w14:textFill>
        </w:rPr>
        <w:t>%。</w:t>
      </w:r>
    </w:p>
    <w:tbl>
      <w:tblPr>
        <w:tblStyle w:val="11"/>
        <w:tblpPr w:leftFromText="180" w:rightFromText="180" w:vertAnchor="text" w:horzAnchor="page" w:tblpX="2254" w:tblpY="131"/>
        <w:tblOverlap w:val="never"/>
        <w:tblW w:w="7695" w:type="dxa"/>
        <w:tblInd w:w="0" w:type="dxa"/>
        <w:tblLayout w:type="fixed"/>
        <w:tblCellMar>
          <w:top w:w="0" w:type="dxa"/>
          <w:left w:w="0" w:type="dxa"/>
          <w:bottom w:w="0" w:type="dxa"/>
          <w:right w:w="0" w:type="dxa"/>
        </w:tblCellMar>
      </w:tblPr>
      <w:tblGrid>
        <w:gridCol w:w="3162"/>
        <w:gridCol w:w="1185"/>
        <w:gridCol w:w="1305"/>
        <w:gridCol w:w="2043"/>
      </w:tblGrid>
      <w:tr>
        <w:tblPrEx>
          <w:tblCellMar>
            <w:top w:w="0" w:type="dxa"/>
            <w:left w:w="0" w:type="dxa"/>
            <w:bottom w:w="0" w:type="dxa"/>
            <w:right w:w="0" w:type="dxa"/>
          </w:tblCellMar>
        </w:tblPrEx>
        <w:trPr>
          <w:trHeight w:val="580" w:hRule="atLeast"/>
        </w:trPr>
        <w:tc>
          <w:tcPr>
            <w:tcW w:w="7695"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表3  202</w:t>
            </w:r>
            <w:r>
              <w:rPr>
                <w:rFonts w:hint="eastAsia" w:ascii="黑体" w:hAnsi="黑体" w:eastAsia="黑体" w:cs="黑体"/>
                <w:color w:val="000000" w:themeColor="text1"/>
                <w:kern w:val="0"/>
                <w:sz w:val="30"/>
                <w:szCs w:val="30"/>
                <w:lang w:val="en-US" w:eastAsia="zh-CN" w:bidi="ar"/>
                <w14:textFill>
                  <w14:solidFill>
                    <w14:schemeClr w14:val="tx1"/>
                  </w14:solidFill>
                </w14:textFill>
              </w:rPr>
              <w:t>2</w:t>
            </w:r>
            <w:r>
              <w:rPr>
                <w:rFonts w:hint="eastAsia" w:ascii="黑体" w:hAnsi="黑体" w:eastAsia="黑体" w:cs="黑体"/>
                <w:color w:val="000000" w:themeColor="text1"/>
                <w:kern w:val="0"/>
                <w:sz w:val="30"/>
                <w:szCs w:val="30"/>
                <w:lang w:bidi="ar"/>
                <w14:textFill>
                  <w14:solidFill>
                    <w14:schemeClr w14:val="tx1"/>
                  </w14:solidFill>
                </w14:textFill>
              </w:rPr>
              <w:t>年主要工业产品产量及其增长速度</w:t>
            </w:r>
          </w:p>
        </w:tc>
      </w:tr>
      <w:tr>
        <w:tblPrEx>
          <w:tblCellMar>
            <w:top w:w="0" w:type="dxa"/>
            <w:left w:w="0" w:type="dxa"/>
            <w:bottom w:w="0" w:type="dxa"/>
            <w:right w:w="0" w:type="dxa"/>
          </w:tblCellMar>
        </w:tblPrEx>
        <w:trPr>
          <w:trHeight w:val="480" w:hRule="atLeast"/>
        </w:trPr>
        <w:tc>
          <w:tcPr>
            <w:tcW w:w="3162"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产品名称</w:t>
            </w:r>
          </w:p>
        </w:tc>
        <w:tc>
          <w:tcPr>
            <w:tcW w:w="1185"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305"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043"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自来水生产量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万立方米</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3781</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-3.4</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发电量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万千瓦时</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 xml:space="preserve">42429.32 </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15.9</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 水力发电量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万千瓦时</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bottom"/>
          </w:tcPr>
          <w:p>
            <w:pPr>
              <w:widowControl/>
              <w:spacing w:line="520" w:lineRule="exact"/>
              <w:jc w:val="right"/>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default" w:ascii="宋体" w:hAnsi="宋体" w:eastAsia="宋体" w:cs="宋体"/>
                <w:color w:val="000000" w:themeColor="text1"/>
                <w:kern w:val="0"/>
                <w:sz w:val="24"/>
                <w:lang w:val="en-US" w:eastAsia="zh-CN" w:bidi="ar"/>
                <w14:textFill>
                  <w14:solidFill>
                    <w14:schemeClr w14:val="tx1"/>
                  </w14:solidFill>
                </w14:textFill>
              </w:rPr>
              <w:t>27483.56</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4.1</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商品混凝土</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立方米</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641142.71 </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-29.9</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饮料</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14511.57</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3.7</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其中：蛋白饮料</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6697.59 </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-3.5</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ind w:firstLine="960" w:firstLineChars="400"/>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果汁和蔬菜汁类饮料</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7730 </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12.2</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焙烤松脆食品</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55.65</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-15.7</w:t>
            </w:r>
          </w:p>
        </w:tc>
      </w:tr>
      <w:tr>
        <w:tblPrEx>
          <w:tblCellMar>
            <w:top w:w="0" w:type="dxa"/>
            <w:left w:w="0" w:type="dxa"/>
            <w:bottom w:w="0" w:type="dxa"/>
            <w:right w:w="0" w:type="dxa"/>
          </w:tblCellMar>
        </w:tblPrEx>
        <w:trPr>
          <w:trHeight w:val="400" w:hRule="atLeast"/>
        </w:trPr>
        <w:tc>
          <w:tcPr>
            <w:tcW w:w="3162"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糖果</w:t>
            </w:r>
          </w:p>
        </w:tc>
        <w:tc>
          <w:tcPr>
            <w:tcW w:w="1185"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148.12</w:t>
            </w:r>
          </w:p>
        </w:tc>
        <w:tc>
          <w:tcPr>
            <w:tcW w:w="2043"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-48.2</w:t>
            </w:r>
          </w:p>
        </w:tc>
      </w:tr>
    </w:tbl>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tabs>
          <w:tab w:val="left" w:pos="726"/>
        </w:tabs>
        <w:spacing w:line="520" w:lineRule="exact"/>
        <w:ind w:firstLine="640" w:firstLineChars="200"/>
        <w:rPr>
          <w:rFonts w:hint="eastAsia" w:ascii="仿宋_GB2312" w:hAnsi="仿宋_GB2312" w:eastAsia="仿宋_GB2312" w:cs="仿宋_GB2312"/>
          <w:color w:val="0000FF"/>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全年规模以上工业企业营业收入比上年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下降12.4</w:t>
      </w:r>
      <w:r>
        <w:rPr>
          <w:rFonts w:hint="eastAsia" w:ascii="仿宋_GB2312" w:hAnsi="仿宋_GB2312" w:eastAsia="仿宋_GB2312" w:cs="仿宋_GB2312"/>
          <w:color w:val="000000" w:themeColor="text1"/>
          <w:sz w:val="32"/>
          <w:szCs w:val="32"/>
          <w14:textFill>
            <w14:solidFill>
              <w14:schemeClr w14:val="tx1"/>
            </w14:solidFill>
          </w14:textFill>
        </w:rPr>
        <w:t>%，每百元营业收入中的成本增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加3.1</w:t>
      </w:r>
      <w:r>
        <w:rPr>
          <w:rFonts w:hint="eastAsia" w:ascii="仿宋_GB2312" w:hAnsi="仿宋_GB2312" w:eastAsia="仿宋_GB2312" w:cs="仿宋_GB2312"/>
          <w:color w:val="000000" w:themeColor="text1"/>
          <w:sz w:val="32"/>
          <w:szCs w:val="32"/>
          <w14:textFill>
            <w14:solidFill>
              <w14:schemeClr w14:val="tx1"/>
            </w14:solidFill>
          </w14:textFill>
        </w:rPr>
        <w:t>元</w:t>
      </w:r>
      <w:r>
        <w:rPr>
          <w:rFonts w:hint="eastAsia" w:ascii="仿宋_GB2312" w:hAnsi="仿宋_GB2312" w:eastAsia="仿宋_GB2312" w:cs="仿宋_GB2312"/>
          <w:color w:val="000000" w:themeColor="text1"/>
          <w:sz w:val="32"/>
          <w:szCs w:val="32"/>
          <w:lang w:eastAsia="zh-CN"/>
          <w14:textFill>
            <w14:solidFill>
              <w14:schemeClr w14:val="tx1"/>
            </w14:solidFill>
          </w14:textFill>
        </w:rPr>
        <w:t>，营业利润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率为6.1%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全年全市建筑业增加值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33.09</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市具有资质等级的建筑企业单位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家，新增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全年实现利润总额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3391</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下降41.8</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四、服务业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全年全市批发和零售业增加值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38.7</w:t>
      </w:r>
      <w:r>
        <w:rPr>
          <w:rFonts w:hint="eastAsia" w:ascii="仿宋_GB2312" w:hAnsi="仿宋_GB2312" w:eastAsia="仿宋_GB2312" w:cs="仿宋_GB2312"/>
          <w:color w:val="000000" w:themeColor="text1"/>
          <w:sz w:val="32"/>
          <w:szCs w:val="32"/>
          <w14:textFill>
            <w14:solidFill>
              <w14:schemeClr w14:val="tx1"/>
            </w14:solidFill>
          </w14:textFill>
        </w:rPr>
        <w:t>亿元，比上年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下降10.3</w:t>
      </w:r>
      <w:r>
        <w:rPr>
          <w:rFonts w:hint="eastAsia" w:ascii="仿宋_GB2312" w:hAnsi="仿宋_GB2312" w:eastAsia="仿宋_GB2312" w:cs="仿宋_GB2312"/>
          <w:color w:val="000000" w:themeColor="text1"/>
          <w:sz w:val="32"/>
          <w:szCs w:val="32"/>
          <w14:textFill>
            <w14:solidFill>
              <w14:schemeClr w14:val="tx1"/>
            </w14:solidFill>
          </w14:textFill>
        </w:rPr>
        <w:t>%；交通运输、仓储和邮政业增加值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9.3</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下降13.8</w:t>
      </w:r>
      <w:r>
        <w:rPr>
          <w:rFonts w:hint="eastAsia" w:ascii="仿宋_GB2312" w:hAnsi="仿宋_GB2312" w:eastAsia="仿宋_GB2312" w:cs="仿宋_GB2312"/>
          <w:color w:val="000000" w:themeColor="text1"/>
          <w:sz w:val="32"/>
          <w:szCs w:val="32"/>
          <w14:textFill>
            <w14:solidFill>
              <w14:schemeClr w14:val="tx1"/>
            </w14:solidFill>
          </w14:textFill>
        </w:rPr>
        <w:t>%；住宿和餐饮业增加值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19.9</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下降10.2</w:t>
      </w:r>
      <w:r>
        <w:rPr>
          <w:rFonts w:hint="eastAsia" w:ascii="仿宋_GB2312" w:hAnsi="仿宋_GB2312" w:eastAsia="仿宋_GB2312" w:cs="仿宋_GB2312"/>
          <w:color w:val="000000" w:themeColor="text1"/>
          <w:sz w:val="32"/>
          <w:szCs w:val="32"/>
          <w14:textFill>
            <w14:solidFill>
              <w14:schemeClr w14:val="tx1"/>
            </w14:solidFill>
          </w14:textFill>
        </w:rPr>
        <w:t>%；金融业增加值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14.2</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%；房地产业增加值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30.3</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%；其他服务业增加值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64.3</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s="仿宋_GB2312"/>
          <w:color w:val="000000" w:themeColor="text1"/>
          <w:sz w:val="32"/>
          <w:szCs w:val="32"/>
          <w14:textFill>
            <w14:solidFill>
              <w14:schemeClr w14:val="tx1"/>
            </w14:solidFill>
          </w14:textFill>
        </w:rPr>
        <w:t>%。全年规模以上服务业企业营业收入增长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w:t>
      </w:r>
      <w:r>
        <w:rPr>
          <w:rFonts w:hint="eastAsia" w:ascii="仿宋_GB2312" w:hAnsi="仿宋_GB2312" w:eastAsia="仿宋_GB2312" w:cs="仿宋_GB2312"/>
          <w:color w:val="000000" w:themeColor="text1"/>
          <w:sz w:val="32"/>
          <w:szCs w:val="32"/>
          <w14:textFill>
            <w14:solidFill>
              <w14:schemeClr w14:val="tx1"/>
            </w14:solidFill>
          </w14:textFill>
        </w:rPr>
        <w:t>%，每百元营业收入中的成本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增加6.99</w:t>
      </w:r>
      <w:r>
        <w:rPr>
          <w:rFonts w:hint="eastAsia" w:ascii="仿宋_GB2312" w:hAnsi="仿宋_GB2312" w:eastAsia="仿宋_GB2312" w:cs="仿宋_GB2312"/>
          <w:color w:val="000000" w:themeColor="text1"/>
          <w:sz w:val="32"/>
          <w:szCs w:val="32"/>
          <w14:textFill>
            <w14:solidFill>
              <w14:schemeClr w14:val="tx1"/>
            </w14:solidFill>
          </w14:textFill>
        </w:rPr>
        <w:t>元，营业利润亏损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亿元。</w:t>
      </w:r>
    </w:p>
    <w:p>
      <w:pPr>
        <w:tabs>
          <w:tab w:val="left" w:pos="726"/>
        </w:tabs>
        <w:spacing w:line="520" w:lineRule="exact"/>
        <w:ind w:firstLine="640" w:firstLineChars="200"/>
        <w:rPr>
          <w:rFonts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货物运输量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221</w:t>
      </w:r>
      <w:r>
        <w:rPr>
          <w:rFonts w:hint="eastAsia" w:ascii="仿宋_GB2312" w:hAnsi="仿宋_GB2312" w:eastAsia="仿宋_GB2312" w:cs="仿宋_GB2312"/>
          <w:color w:val="000000" w:themeColor="text1"/>
          <w:sz w:val="32"/>
          <w:szCs w:val="32"/>
          <w14:textFill>
            <w14:solidFill>
              <w14:schemeClr w14:val="tx1"/>
            </w14:solidFill>
          </w14:textFill>
        </w:rPr>
        <w:t>5万吨，货物运输周转量11065万吨公里。全年旅客运输量19045万人，旅客运输周转量73800万人公里。全年博鳌机场旅客吞吐量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44.76</w:t>
      </w:r>
      <w:r>
        <w:rPr>
          <w:rFonts w:hint="eastAsia" w:ascii="仿宋_GB2312" w:hAnsi="仿宋_GB2312" w:eastAsia="仿宋_GB2312" w:cs="仿宋_GB2312"/>
          <w:color w:val="000000" w:themeColor="text1"/>
          <w:sz w:val="32"/>
          <w:szCs w:val="32"/>
          <w14:textFill>
            <w14:solidFill>
              <w14:schemeClr w14:val="tx1"/>
            </w14:solidFill>
          </w14:textFill>
        </w:rPr>
        <w:t>万人次，比上年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下降36.3</w:t>
      </w:r>
      <w:r>
        <w:rPr>
          <w:rFonts w:hint="eastAsia" w:ascii="仿宋_GB2312" w:hAnsi="仿宋_GB2312" w:eastAsia="仿宋_GB2312" w:cs="仿宋_GB2312"/>
          <w:color w:val="000000" w:themeColor="text1"/>
          <w:sz w:val="32"/>
          <w:szCs w:val="32"/>
          <w14:textFill>
            <w14:solidFill>
              <w14:schemeClr w14:val="tx1"/>
            </w14:solidFill>
          </w14:textFill>
        </w:rPr>
        <w:t>%；货邮吞吐量1458.44吨，增长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color w:val="000000" w:themeColor="text1"/>
          <w:sz w:val="32"/>
          <w:szCs w:val="32"/>
          <w14:textFill>
            <w14:solidFill>
              <w14:schemeClr w14:val="tx1"/>
            </w14:solidFill>
          </w14:textFill>
        </w:rPr>
        <w:t>%。</w:t>
      </w:r>
    </w:p>
    <w:tbl>
      <w:tblPr>
        <w:tblStyle w:val="11"/>
        <w:tblW w:w="8300" w:type="dxa"/>
        <w:jc w:val="center"/>
        <w:tblLayout w:type="fixed"/>
        <w:tblCellMar>
          <w:top w:w="0" w:type="dxa"/>
          <w:left w:w="0" w:type="dxa"/>
          <w:bottom w:w="0" w:type="dxa"/>
          <w:right w:w="0" w:type="dxa"/>
        </w:tblCellMar>
      </w:tblPr>
      <w:tblGrid>
        <w:gridCol w:w="2538"/>
        <w:gridCol w:w="1469"/>
        <w:gridCol w:w="1563"/>
        <w:gridCol w:w="2730"/>
      </w:tblGrid>
      <w:tr>
        <w:tblPrEx>
          <w:tblCellMar>
            <w:top w:w="0" w:type="dxa"/>
            <w:left w:w="0" w:type="dxa"/>
            <w:bottom w:w="0" w:type="dxa"/>
            <w:right w:w="0" w:type="dxa"/>
          </w:tblCellMar>
        </w:tblPrEx>
        <w:trPr>
          <w:trHeight w:val="719" w:hRule="atLeast"/>
          <w:jc w:val="center"/>
        </w:trPr>
        <w:tc>
          <w:tcPr>
            <w:tcW w:w="8300"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表4   202</w:t>
            </w:r>
            <w:r>
              <w:rPr>
                <w:rFonts w:hint="eastAsia" w:ascii="黑体" w:hAnsi="黑体" w:eastAsia="黑体" w:cs="黑体"/>
                <w:color w:val="000000" w:themeColor="text1"/>
                <w:kern w:val="0"/>
                <w:sz w:val="30"/>
                <w:szCs w:val="30"/>
                <w:lang w:val="en-US" w:eastAsia="zh-CN" w:bidi="ar"/>
                <w14:textFill>
                  <w14:solidFill>
                    <w14:schemeClr w14:val="tx1"/>
                  </w14:solidFill>
                </w14:textFill>
              </w:rPr>
              <w:t>2</w:t>
            </w:r>
            <w:r>
              <w:rPr>
                <w:rFonts w:hint="eastAsia" w:ascii="黑体" w:hAnsi="黑体" w:eastAsia="黑体" w:cs="黑体"/>
                <w:color w:val="000000" w:themeColor="text1"/>
                <w:kern w:val="0"/>
                <w:sz w:val="30"/>
                <w:szCs w:val="30"/>
                <w:lang w:bidi="ar"/>
                <w14:textFill>
                  <w14:solidFill>
                    <w14:schemeClr w14:val="tx1"/>
                  </w14:solidFill>
                </w14:textFill>
              </w:rPr>
              <w:t>年运输方式旅客和货物运输情况</w:t>
            </w:r>
          </w:p>
        </w:tc>
      </w:tr>
      <w:tr>
        <w:tblPrEx>
          <w:tblCellMar>
            <w:top w:w="0" w:type="dxa"/>
            <w:left w:w="0" w:type="dxa"/>
            <w:bottom w:w="0" w:type="dxa"/>
            <w:right w:w="0" w:type="dxa"/>
          </w:tblCellMar>
        </w:tblPrEx>
        <w:trPr>
          <w:trHeight w:val="632" w:hRule="atLeast"/>
          <w:jc w:val="center"/>
        </w:trPr>
        <w:tc>
          <w:tcPr>
            <w:tcW w:w="2538"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指标</w:t>
            </w:r>
          </w:p>
        </w:tc>
        <w:tc>
          <w:tcPr>
            <w:tcW w:w="1469"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563"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730"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一、公路</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563" w:type="dxa"/>
            <w:tcBorders>
              <w:top w:val="nil"/>
              <w:left w:val="nil"/>
              <w:bottom w:val="nil"/>
              <w:right w:val="single" w:color="000000" w:sz="4" w:space="0"/>
            </w:tcBorders>
            <w:shd w:val="clear" w:color="auto" w:fill="auto"/>
            <w:noWrap/>
            <w:tcMar>
              <w:top w:w="15" w:type="dxa"/>
              <w:left w:w="15" w:type="dxa"/>
              <w:right w:w="15" w:type="dxa"/>
            </w:tcMar>
            <w:vAlign w:val="bottom"/>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73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221</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-14.0 </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货物周转量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11065</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-13.1 </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客运量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103</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-29.0 </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6665</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-24.6 </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二、水运</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73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c>
          <w:tcPr>
            <w:tcW w:w="2730"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货物周转量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c>
          <w:tcPr>
            <w:tcW w:w="2730"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客运量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18942</w:t>
            </w:r>
          </w:p>
        </w:tc>
        <w:tc>
          <w:tcPr>
            <w:tcW w:w="2730" w:type="dxa"/>
            <w:tcBorders>
              <w:top w:val="nil"/>
              <w:left w:val="nil"/>
              <w:bottom w:val="nil"/>
              <w:right w:val="nil"/>
            </w:tcBorders>
            <w:shd w:val="clear" w:color="auto" w:fill="auto"/>
            <w:noWrap/>
            <w:tcMar>
              <w:top w:w="15" w:type="dxa"/>
              <w:left w:w="15" w:type="dxa"/>
              <w:right w:w="15" w:type="dxa"/>
            </w:tcMar>
            <w:vAlign w:val="top"/>
          </w:tcPr>
          <w:p>
            <w:pPr>
              <w:widowControl/>
              <w:spacing w:line="560" w:lineRule="exact"/>
              <w:jc w:val="righ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 xml:space="preserve">75668.0 </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67135</w:t>
            </w:r>
          </w:p>
        </w:tc>
        <w:tc>
          <w:tcPr>
            <w:tcW w:w="2730" w:type="dxa"/>
            <w:tcBorders>
              <w:top w:val="nil"/>
              <w:left w:val="nil"/>
              <w:bottom w:val="nil"/>
              <w:right w:val="nil"/>
            </w:tcBorders>
            <w:shd w:val="clear" w:color="auto" w:fill="auto"/>
            <w:noWrap/>
            <w:tcMar>
              <w:top w:w="15" w:type="dxa"/>
              <w:left w:w="15" w:type="dxa"/>
              <w:right w:w="15" w:type="dxa"/>
            </w:tcMar>
            <w:vAlign w:val="top"/>
          </w:tcPr>
          <w:p>
            <w:pPr>
              <w:widowControl/>
              <w:spacing w:line="560" w:lineRule="exact"/>
              <w:jc w:val="righ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 xml:space="preserve">73674.7 </w:t>
            </w: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三、空运</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73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旅客吞吐量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万人次</w:t>
            </w:r>
          </w:p>
        </w:tc>
        <w:tc>
          <w:tcPr>
            <w:tcW w:w="1563" w:type="dxa"/>
            <w:tcBorders>
              <w:top w:val="nil"/>
              <w:left w:val="nil"/>
              <w:bottom w:val="nil"/>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44.76</w:t>
            </w:r>
          </w:p>
        </w:tc>
        <w:tc>
          <w:tcPr>
            <w:tcW w:w="2730"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-36.3</w:t>
            </w:r>
          </w:p>
        </w:tc>
      </w:tr>
      <w:tr>
        <w:tblPrEx>
          <w:tblCellMar>
            <w:top w:w="0" w:type="dxa"/>
            <w:left w:w="0" w:type="dxa"/>
            <w:bottom w:w="0" w:type="dxa"/>
            <w:right w:w="0" w:type="dxa"/>
          </w:tblCellMar>
        </w:tblPrEx>
        <w:trPr>
          <w:trHeight w:val="632" w:hRule="atLeast"/>
          <w:jc w:val="center"/>
        </w:trPr>
        <w:tc>
          <w:tcPr>
            <w:tcW w:w="2538"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货邮吞吐量</w:t>
            </w:r>
          </w:p>
        </w:tc>
        <w:tc>
          <w:tcPr>
            <w:tcW w:w="1469"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563" w:type="dxa"/>
            <w:tcBorders>
              <w:top w:val="nil"/>
              <w:left w:val="nil"/>
              <w:bottom w:val="single" w:color="auto" w:sz="12"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1458.44 </w:t>
            </w:r>
          </w:p>
        </w:tc>
        <w:tc>
          <w:tcPr>
            <w:tcW w:w="2730"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8.6</w:t>
            </w:r>
          </w:p>
        </w:tc>
      </w:tr>
    </w:tbl>
    <w:p>
      <w:pPr>
        <w:numPr>
          <w:ilvl w:val="0"/>
          <w:numId w:val="0"/>
        </w:numPr>
        <w:spacing w:line="520" w:lineRule="exact"/>
        <w:ind w:firstLine="672" w:firstLineChars="200"/>
        <w:jc w:val="left"/>
        <w:rPr>
          <w:rStyle w:val="13"/>
          <w:rFonts w:hint="eastAsia"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lang w:val="en-US" w:eastAsia="zh-CN"/>
          <w14:textFill>
            <w14:solidFill>
              <w14:schemeClr w14:val="tx1"/>
            </w14:solidFill>
          </w14:textFill>
        </w:rPr>
        <w:t>五、</w:t>
      </w:r>
      <w:r>
        <w:rPr>
          <w:rStyle w:val="13"/>
          <w:rFonts w:hint="eastAsia" w:ascii="黑体" w:hAnsi="黑体" w:eastAsia="黑体" w:cs="黑体"/>
          <w:b w:val="0"/>
          <w:color w:val="000000" w:themeColor="text1"/>
          <w:spacing w:val="8"/>
          <w:sz w:val="32"/>
          <w:szCs w:val="32"/>
          <w14:textFill>
            <w14:solidFill>
              <w14:schemeClr w14:val="tx1"/>
            </w14:solidFill>
          </w14:textFill>
        </w:rPr>
        <w:t>国内贸易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社会消费品零售总额119.7亿元，比上年下降7.0%。按经营地统计，城镇消费品零售额108.3亿元，下降6.5%；乡村消费品零售额11.4亿元，下降11.6%。按消费类型统计，商品零售额102.36亿元，下降6.5%；餐饮收入额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17.36</w:t>
      </w:r>
      <w:r>
        <w:rPr>
          <w:rFonts w:hint="eastAsia" w:ascii="仿宋_GB2312" w:hAnsi="仿宋_GB2312" w:eastAsia="仿宋_GB2312" w:cs="仿宋_GB2312"/>
          <w:color w:val="000000" w:themeColor="text1"/>
          <w:sz w:val="32"/>
          <w:szCs w:val="32"/>
          <w14:textFill>
            <w14:solidFill>
              <w14:schemeClr w14:val="tx1"/>
            </w14:solidFill>
          </w14:textFill>
        </w:rPr>
        <w:t>亿元，下降9.7%。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限额以上企业商品零售中，粮油食品类零售额比上年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下降26.4</w:t>
      </w:r>
      <w:r>
        <w:rPr>
          <w:rFonts w:hint="eastAsia" w:ascii="仿宋_GB2312" w:hAnsi="仿宋_GB2312" w:eastAsia="仿宋_GB2312" w:cs="仿宋_GB2312"/>
          <w:color w:val="000000" w:themeColor="text1"/>
          <w:sz w:val="32"/>
          <w:szCs w:val="32"/>
          <w14:textFill>
            <w14:solidFill>
              <w14:schemeClr w14:val="tx1"/>
            </w14:solidFill>
          </w14:textFill>
        </w:rPr>
        <w:t>%，饮料类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增长26.5</w:t>
      </w:r>
      <w:r>
        <w:rPr>
          <w:rFonts w:hint="default"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，烟酒类下降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default" w:ascii="仿宋_GB2312" w:hAnsi="仿宋_GB2312" w:eastAsia="仿宋_GB2312" w:cs="仿宋_GB2312"/>
          <w:color w:val="000000" w:themeColor="text1"/>
          <w:sz w:val="32"/>
          <w:szCs w:val="32"/>
          <w:lang w:val="en-US"/>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，服装鞋帽针纺织品类下降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49.5</w:t>
      </w:r>
      <w:r>
        <w:rPr>
          <w:rFonts w:hint="eastAsia" w:ascii="仿宋_GB2312" w:hAnsi="仿宋_GB2312" w:eastAsia="仿宋_GB2312" w:cs="仿宋_GB2312"/>
          <w:color w:val="000000" w:themeColor="text1"/>
          <w:sz w:val="32"/>
          <w:szCs w:val="32"/>
          <w14:textFill>
            <w14:solidFill>
              <w14:schemeClr w14:val="tx1"/>
            </w14:solidFill>
          </w14:textFill>
        </w:rPr>
        <w:t>%，化妆品类下降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48.4</w:t>
      </w:r>
      <w:r>
        <w:rPr>
          <w:rFonts w:hint="eastAsia" w:ascii="仿宋_GB2312" w:hAnsi="仿宋_GB2312" w:eastAsia="仿宋_GB2312" w:cs="仿宋_GB2312"/>
          <w:color w:val="000000" w:themeColor="text1"/>
          <w:sz w:val="32"/>
          <w:szCs w:val="32"/>
          <w14:textFill>
            <w14:solidFill>
              <w14:schemeClr w14:val="tx1"/>
            </w14:solidFill>
          </w14:textFill>
        </w:rPr>
        <w:t>%，金银珠宝类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增长48.2</w:t>
      </w:r>
      <w:r>
        <w:rPr>
          <w:rFonts w:hint="eastAsia" w:ascii="仿宋_GB2312" w:hAnsi="仿宋_GB2312" w:eastAsia="仿宋_GB2312" w:cs="仿宋_GB2312"/>
          <w:color w:val="000000" w:themeColor="text1"/>
          <w:sz w:val="32"/>
          <w:szCs w:val="32"/>
          <w14:textFill>
            <w14:solidFill>
              <w14:schemeClr w14:val="tx1"/>
            </w14:solidFill>
          </w14:textFill>
        </w:rPr>
        <w:t>%，日用品类下降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.4%，家用电器和音像器材类下降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%，通讯器材类增长1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石油及制品类增长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建筑及装潢材料类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下降73.0%，汽车类下降4.3</w:t>
      </w:r>
      <w:r>
        <w:rPr>
          <w:rFonts w:hint="eastAsia" w:ascii="仿宋_GB2312" w:hAnsi="仿宋_GB2312" w:eastAsia="仿宋_GB2312" w:cs="仿宋_GB2312"/>
          <w:color w:val="000000" w:themeColor="text1"/>
          <w:sz w:val="32"/>
          <w:szCs w:val="32"/>
          <w14:textFill>
            <w14:solidFill>
              <w14:schemeClr w14:val="tx1"/>
            </w14:solidFill>
          </w14:textFill>
        </w:rPr>
        <w:t>%。</w:t>
      </w:r>
    </w:p>
    <w:p>
      <w:pPr>
        <w:tabs>
          <w:tab w:val="left" w:pos="741"/>
        </w:tabs>
        <w:spacing w:line="520" w:lineRule="exact"/>
        <w:rPr>
          <w:rStyle w:val="13"/>
          <w:rFonts w:ascii="黑体" w:hAnsi="黑体" w:eastAsia="黑体" w:cs="黑体"/>
          <w:b w:val="0"/>
          <w:color w:val="000000" w:themeColor="text1"/>
          <w:spacing w:val="8"/>
          <w:sz w:val="32"/>
          <w:szCs w:val="32"/>
          <w14:textFill>
            <w14:solidFill>
              <w14:schemeClr w14:val="tx1"/>
            </w14:solidFill>
          </w14:textFill>
        </w:rPr>
      </w:pPr>
      <w:r>
        <w:rPr>
          <w:rFonts w:hint="eastAsia" w:ascii="仿宋" w:hAnsi="仿宋" w:eastAsia="仿宋" w:cs="仿宋"/>
          <w:color w:val="0000FF"/>
          <w:sz w:val="32"/>
          <w:szCs w:val="32"/>
        </w:rPr>
        <w:drawing>
          <wp:anchor distT="0" distB="0" distL="114300" distR="114300" simplePos="0" relativeHeight="251662336" behindDoc="1" locked="0" layoutInCell="1" allowOverlap="1">
            <wp:simplePos x="0" y="0"/>
            <wp:positionH relativeFrom="column">
              <wp:posOffset>156210</wp:posOffset>
            </wp:positionH>
            <wp:positionV relativeFrom="paragraph">
              <wp:posOffset>76200</wp:posOffset>
            </wp:positionV>
            <wp:extent cx="5233035" cy="3538855"/>
            <wp:effectExtent l="0" t="0" r="5715" b="61595"/>
            <wp:wrapTight wrapText="bothSides">
              <wp:wrapPolygon>
                <wp:start x="0" y="0"/>
                <wp:lineTo x="0" y="21511"/>
                <wp:lineTo x="21545" y="21511"/>
                <wp:lineTo x="21545" y="0"/>
                <wp:lineTo x="0" y="0"/>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color w:val="0000FF"/>
          <w:sz w:val="32"/>
          <w:szCs w:val="32"/>
          <w:lang w:val="en-US" w:eastAsia="zh-CN"/>
        </w:rPr>
        <w:t xml:space="preserve">    </w:t>
      </w:r>
      <w:r>
        <w:rPr>
          <w:rStyle w:val="13"/>
          <w:rFonts w:hint="eastAsia" w:ascii="黑体" w:hAnsi="黑体" w:eastAsia="黑体" w:cs="黑体"/>
          <w:b w:val="0"/>
          <w:color w:val="000000" w:themeColor="text1"/>
          <w:spacing w:val="8"/>
          <w:sz w:val="32"/>
          <w:szCs w:val="32"/>
          <w14:textFill>
            <w14:solidFill>
              <w14:schemeClr w14:val="tx1"/>
            </w14:solidFill>
          </w14:textFill>
        </w:rPr>
        <w:t>六、固定资产投资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固定资产投资比上年增长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%。其中，非房地产开发投资增长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.5%。分产业看，第一产业投资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下降27.3</w:t>
      </w:r>
      <w:r>
        <w:rPr>
          <w:rFonts w:hint="eastAsia" w:ascii="仿宋_GB2312" w:hAnsi="仿宋_GB2312" w:eastAsia="仿宋_GB2312" w:cs="仿宋_GB2312"/>
          <w:color w:val="000000" w:themeColor="text1"/>
          <w:sz w:val="32"/>
          <w:szCs w:val="32"/>
          <w14:textFill>
            <w14:solidFill>
              <w14:schemeClr w14:val="tx1"/>
            </w14:solidFill>
          </w14:textFill>
        </w:rPr>
        <w:t>%；第二产业投资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下降0.2</w:t>
      </w:r>
      <w:r>
        <w:rPr>
          <w:rFonts w:hint="eastAsia" w:ascii="仿宋_GB2312" w:hAnsi="仿宋_GB2312" w:eastAsia="仿宋_GB2312" w:cs="仿宋_GB2312"/>
          <w:color w:val="000000" w:themeColor="text1"/>
          <w:sz w:val="32"/>
          <w:szCs w:val="32"/>
          <w14:textFill>
            <w14:solidFill>
              <w14:schemeClr w14:val="tx1"/>
            </w14:solidFill>
          </w14:textFill>
        </w:rPr>
        <w:t>%；第三产业投资增长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%。民间固定资产投资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下降28.5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，占固定资产投资比重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基础设施投资增长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41.9</w:t>
      </w:r>
      <w:r>
        <w:rPr>
          <w:rFonts w:hint="eastAsia" w:ascii="仿宋_GB2312" w:hAnsi="仿宋_GB2312" w:eastAsia="仿宋_GB2312" w:cs="仿宋_GB2312"/>
          <w:color w:val="000000" w:themeColor="text1"/>
          <w:sz w:val="32"/>
          <w:szCs w:val="32"/>
          <w14:textFill>
            <w14:solidFill>
              <w14:schemeClr w14:val="tx1"/>
            </w14:solidFill>
          </w14:textFill>
        </w:rPr>
        <w:t>%。全年中央投资项目9个，完成投资占年度投资计划的100%；省重点项目3个，完成投资占年度投资计划的141.2%；市重点项目109个，完成投资占年度投资计划的105%。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color w:val="000000" w:themeColor="text1"/>
          <w:sz w:val="32"/>
          <w:szCs w:val="32"/>
          <w14:textFill>
            <w14:solidFill>
              <w14:schemeClr w14:val="tx1"/>
            </w14:solidFill>
          </w14:textFill>
        </w:rPr>
        <w:t>全年房地产开发投资比上年下降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.6%。房地产项目房屋施工面积3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05.17</w:t>
      </w:r>
      <w:r>
        <w:rPr>
          <w:rFonts w:hint="eastAsia" w:ascii="仿宋_GB2312" w:hAnsi="仿宋_GB2312" w:eastAsia="仿宋_GB2312" w:cs="仿宋_GB2312"/>
          <w:color w:val="000000" w:themeColor="text1"/>
          <w:sz w:val="32"/>
          <w:szCs w:val="32"/>
          <w14:textFill>
            <w14:solidFill>
              <w14:schemeClr w14:val="tx1"/>
            </w14:solidFill>
          </w14:textFill>
        </w:rPr>
        <w:t>万平方米，下降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其中本年新开工面积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32.11</w:t>
      </w:r>
      <w:r>
        <w:rPr>
          <w:rFonts w:hint="eastAsia" w:ascii="仿宋_GB2312" w:hAnsi="仿宋_GB2312" w:eastAsia="仿宋_GB2312" w:cs="仿宋_GB2312"/>
          <w:color w:val="000000" w:themeColor="text1"/>
          <w:sz w:val="32"/>
          <w:szCs w:val="32"/>
          <w14:textFill>
            <w14:solidFill>
              <w14:schemeClr w14:val="tx1"/>
            </w14:solidFill>
          </w14:textFill>
        </w:rPr>
        <w:t>万平方米，下降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57.2</w:t>
      </w:r>
      <w:r>
        <w:rPr>
          <w:rFonts w:hint="eastAsia" w:ascii="仿宋_GB2312" w:hAnsi="仿宋_GB2312" w:eastAsia="仿宋_GB2312" w:cs="仿宋_GB2312"/>
          <w:color w:val="000000" w:themeColor="text1"/>
          <w:sz w:val="32"/>
          <w:szCs w:val="32"/>
          <w14:textFill>
            <w14:solidFill>
              <w14:schemeClr w14:val="tx1"/>
            </w14:solidFill>
          </w14:textFill>
        </w:rPr>
        <w:t>%。房屋销售面积34.8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万平方米，增长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w:t>
      </w:r>
      <w:r>
        <w:rPr>
          <w:rFonts w:hint="eastAsia" w:ascii="仿宋_GB2312" w:hAnsi="仿宋_GB2312" w:eastAsia="仿宋_GB2312" w:cs="仿宋_GB2312"/>
          <w:color w:val="000000" w:themeColor="text1"/>
          <w:sz w:val="32"/>
          <w:szCs w:val="32"/>
          <w14:textFill>
            <w14:solidFill>
              <w14:schemeClr w14:val="tx1"/>
            </w14:solidFill>
          </w14:textFill>
        </w:rPr>
        <w:t>%；房屋销售额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44.8</w:t>
      </w:r>
      <w:r>
        <w:rPr>
          <w:rFonts w:hint="eastAsia" w:ascii="仿宋_GB2312" w:hAnsi="仿宋_GB2312" w:eastAsia="仿宋_GB2312" w:cs="仿宋_GB2312"/>
          <w:color w:val="000000" w:themeColor="text1"/>
          <w:sz w:val="32"/>
          <w:szCs w:val="32"/>
          <w14:textFill>
            <w14:solidFill>
              <w14:schemeClr w14:val="tx1"/>
            </w14:solidFill>
          </w14:textFill>
        </w:rPr>
        <w:t>亿元，下降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w:t>
      </w:r>
    </w:p>
    <w:tbl>
      <w:tblPr>
        <w:tblStyle w:val="11"/>
        <w:tblpPr w:leftFromText="180" w:rightFromText="180" w:vertAnchor="text" w:horzAnchor="page" w:tblpX="1654" w:tblpY="307"/>
        <w:tblOverlap w:val="never"/>
        <w:tblW w:w="8560" w:type="dxa"/>
        <w:jc w:val="center"/>
        <w:tblLayout w:type="fixed"/>
        <w:tblCellMar>
          <w:top w:w="0" w:type="dxa"/>
          <w:left w:w="0" w:type="dxa"/>
          <w:bottom w:w="0" w:type="dxa"/>
          <w:right w:w="0" w:type="dxa"/>
        </w:tblCellMar>
      </w:tblPr>
      <w:tblGrid>
        <w:gridCol w:w="2694"/>
        <w:gridCol w:w="1323"/>
        <w:gridCol w:w="3217"/>
        <w:gridCol w:w="1326"/>
      </w:tblGrid>
      <w:tr>
        <w:tblPrEx>
          <w:tblCellMar>
            <w:top w:w="0" w:type="dxa"/>
            <w:left w:w="0" w:type="dxa"/>
            <w:bottom w:w="0" w:type="dxa"/>
            <w:right w:w="0" w:type="dxa"/>
          </w:tblCellMar>
        </w:tblPrEx>
        <w:trPr>
          <w:trHeight w:val="689" w:hRule="atLeast"/>
          <w:jc w:val="center"/>
        </w:trPr>
        <w:tc>
          <w:tcPr>
            <w:tcW w:w="8560"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w:t>
            </w:r>
            <w:r>
              <w:rPr>
                <w:rFonts w:hint="eastAsia" w:ascii="黑体" w:hAnsi="黑体" w:eastAsia="黑体" w:cs="黑体"/>
                <w:color w:val="000000" w:themeColor="text1"/>
                <w:kern w:val="0"/>
                <w:sz w:val="30"/>
                <w:szCs w:val="30"/>
                <w:lang w:val="en-US" w:eastAsia="zh-CN" w:bidi="ar"/>
                <w14:textFill>
                  <w14:solidFill>
                    <w14:schemeClr w14:val="tx1"/>
                  </w14:solidFill>
                </w14:textFill>
              </w:rPr>
              <w:t>5</w:t>
            </w:r>
            <w:r>
              <w:rPr>
                <w:rFonts w:hint="eastAsia" w:ascii="黑体" w:hAnsi="黑体" w:eastAsia="黑体" w:cs="黑体"/>
                <w:color w:val="000000" w:themeColor="text1"/>
                <w:kern w:val="0"/>
                <w:sz w:val="30"/>
                <w:szCs w:val="30"/>
                <w:lang w:bidi="ar"/>
                <w14:textFill>
                  <w14:solidFill>
                    <w14:schemeClr w14:val="tx1"/>
                  </w14:solidFill>
                </w14:textFill>
              </w:rPr>
              <w:t xml:space="preserve">  202</w:t>
            </w:r>
            <w:r>
              <w:rPr>
                <w:rFonts w:hint="eastAsia" w:ascii="黑体" w:hAnsi="黑体" w:eastAsia="黑体" w:cs="黑体"/>
                <w:color w:val="000000" w:themeColor="text1"/>
                <w:kern w:val="0"/>
                <w:sz w:val="30"/>
                <w:szCs w:val="30"/>
                <w:lang w:val="en-US" w:eastAsia="zh-CN" w:bidi="ar"/>
                <w14:textFill>
                  <w14:solidFill>
                    <w14:schemeClr w14:val="tx1"/>
                  </w14:solidFill>
                </w14:textFill>
              </w:rPr>
              <w:t>2</w:t>
            </w:r>
            <w:r>
              <w:rPr>
                <w:rFonts w:hint="eastAsia" w:ascii="黑体" w:hAnsi="黑体" w:eastAsia="黑体" w:cs="黑体"/>
                <w:color w:val="000000" w:themeColor="text1"/>
                <w:kern w:val="0"/>
                <w:sz w:val="30"/>
                <w:szCs w:val="30"/>
                <w:lang w:bidi="ar"/>
                <w14:textFill>
                  <w14:solidFill>
                    <w14:schemeClr w14:val="tx1"/>
                  </w14:solidFill>
                </w14:textFill>
              </w:rPr>
              <w:t>年分行业固定资产投资(不含农户)增长速度</w:t>
            </w:r>
          </w:p>
        </w:tc>
      </w:tr>
      <w:tr>
        <w:tblPrEx>
          <w:tblCellMar>
            <w:top w:w="0" w:type="dxa"/>
            <w:left w:w="0" w:type="dxa"/>
            <w:bottom w:w="0" w:type="dxa"/>
            <w:right w:w="0" w:type="dxa"/>
          </w:tblCellMar>
        </w:tblPrEx>
        <w:trPr>
          <w:trHeight w:val="1081" w:hRule="atLeast"/>
          <w:jc w:val="center"/>
        </w:trPr>
        <w:tc>
          <w:tcPr>
            <w:tcW w:w="2694" w:type="dxa"/>
            <w:tcBorders>
              <w:top w:val="single" w:color="auto" w:sz="12" w:space="0"/>
              <w:left w:val="nil"/>
              <w:bottom w:val="single" w:color="000000" w:sz="4" w:space="0"/>
              <w:right w:val="nil"/>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行业</w:t>
            </w:r>
          </w:p>
        </w:tc>
        <w:tc>
          <w:tcPr>
            <w:tcW w:w="1323"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比上年增长</w:t>
            </w:r>
          </w:p>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w:t>
            </w:r>
          </w:p>
        </w:tc>
        <w:tc>
          <w:tcPr>
            <w:tcW w:w="3217"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行业</w:t>
            </w:r>
          </w:p>
        </w:tc>
        <w:tc>
          <w:tcPr>
            <w:tcW w:w="1326" w:type="dxa"/>
            <w:tcBorders>
              <w:top w:val="single" w:color="auto" w:sz="12" w:space="0"/>
              <w:left w:val="single" w:color="000000" w:sz="4" w:space="0"/>
              <w:bottom w:val="nil"/>
              <w:right w:val="nil"/>
            </w:tcBorders>
            <w:shd w:val="clear" w:color="auto" w:fill="auto"/>
            <w:tcMar>
              <w:top w:w="15" w:type="dxa"/>
              <w:left w:w="15" w:type="dxa"/>
              <w:right w:w="15" w:type="dxa"/>
            </w:tcMar>
            <w:vAlign w:val="center"/>
          </w:tcPr>
          <w:p>
            <w:pPr>
              <w:widowControl/>
              <w:spacing w:line="32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比上年增长</w:t>
            </w:r>
          </w:p>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381"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总计</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1.6</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住宿和餐饮业</w:t>
            </w:r>
          </w:p>
        </w:tc>
        <w:tc>
          <w:tcPr>
            <w:tcW w:w="132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65.4</w:t>
            </w:r>
          </w:p>
        </w:tc>
      </w:tr>
      <w:tr>
        <w:tblPrEx>
          <w:tblCellMar>
            <w:top w:w="0" w:type="dxa"/>
            <w:left w:w="0" w:type="dxa"/>
            <w:bottom w:w="0" w:type="dxa"/>
            <w:right w:w="0" w:type="dxa"/>
          </w:tblCellMar>
        </w:tblPrEx>
        <w:trPr>
          <w:trHeight w:val="360"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农林牧渔业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-27.3</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金融业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360"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采矿业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房地产业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w:t>
            </w:r>
            <w:r>
              <w:rPr>
                <w:rFonts w:hint="eastAsia" w:ascii="宋体" w:hAnsi="宋体" w:eastAsia="宋体" w:cs="宋体"/>
                <w:color w:val="000000" w:themeColor="text1"/>
                <w:kern w:val="0"/>
                <w:sz w:val="24"/>
                <w:lang w:val="en-US" w:eastAsia="zh-CN" w:bidi="ar"/>
                <w14:textFill>
                  <w14:solidFill>
                    <w14:schemeClr w14:val="tx1"/>
                  </w14:solidFill>
                </w14:textFill>
              </w:rPr>
              <w:t>12.0</w:t>
            </w:r>
          </w:p>
        </w:tc>
      </w:tr>
      <w:tr>
        <w:tblPrEx>
          <w:tblCellMar>
            <w:top w:w="0" w:type="dxa"/>
            <w:left w:w="0" w:type="dxa"/>
            <w:bottom w:w="0" w:type="dxa"/>
            <w:right w:w="0" w:type="dxa"/>
          </w:tblCellMar>
        </w:tblPrEx>
        <w:trPr>
          <w:trHeight w:val="360"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制造业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-41.2</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租赁和商务服务业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-9.4</w:t>
            </w:r>
          </w:p>
        </w:tc>
      </w:tr>
      <w:tr>
        <w:tblPrEx>
          <w:tblCellMar>
            <w:top w:w="0" w:type="dxa"/>
            <w:left w:w="0" w:type="dxa"/>
            <w:bottom w:w="0" w:type="dxa"/>
            <w:right w:w="0" w:type="dxa"/>
          </w:tblCellMar>
        </w:tblPrEx>
        <w:trPr>
          <w:trHeight w:val="360" w:hRule="atLeast"/>
          <w:jc w:val="center"/>
        </w:trPr>
        <w:tc>
          <w:tcPr>
            <w:tcW w:w="2694" w:type="dxa"/>
            <w:vMerge w:val="restart"/>
            <w:tcBorders>
              <w:top w:val="nil"/>
              <w:left w:val="nil"/>
              <w:bottom w:val="nil"/>
              <w:right w:val="nil"/>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电力、燃气及水的生产和供应业</w:t>
            </w:r>
          </w:p>
        </w:tc>
        <w:tc>
          <w:tcPr>
            <w:tcW w:w="1323"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43.4</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科学研究和技术服务业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-30.4</w:t>
            </w:r>
          </w:p>
        </w:tc>
      </w:tr>
      <w:tr>
        <w:tblPrEx>
          <w:tblCellMar>
            <w:top w:w="0" w:type="dxa"/>
            <w:left w:w="0" w:type="dxa"/>
            <w:bottom w:w="0" w:type="dxa"/>
            <w:right w:w="0" w:type="dxa"/>
          </w:tblCellMar>
        </w:tblPrEx>
        <w:trPr>
          <w:trHeight w:val="689" w:hRule="atLeast"/>
          <w:jc w:val="center"/>
        </w:trPr>
        <w:tc>
          <w:tcPr>
            <w:tcW w:w="2694" w:type="dxa"/>
            <w:vMerge w:val="continue"/>
            <w:tcBorders>
              <w:top w:val="nil"/>
              <w:left w:val="nil"/>
              <w:bottom w:val="nil"/>
              <w:right w:val="nil"/>
            </w:tcBorders>
            <w:shd w:val="clear" w:color="auto" w:fill="auto"/>
            <w:tcMar>
              <w:top w:w="15" w:type="dxa"/>
              <w:left w:w="15" w:type="dxa"/>
              <w:right w:w="15" w:type="dxa"/>
            </w:tcMar>
            <w:vAlign w:val="center"/>
          </w:tcPr>
          <w:p>
            <w:pPr>
              <w:spacing w:line="320" w:lineRule="exact"/>
              <w:jc w:val="left"/>
              <w:rPr>
                <w:rFonts w:ascii="宋体" w:hAnsi="宋体" w:eastAsia="宋体" w:cs="宋体"/>
                <w:color w:val="000000" w:themeColor="text1"/>
                <w:sz w:val="24"/>
                <w14:textFill>
                  <w14:solidFill>
                    <w14:schemeClr w14:val="tx1"/>
                  </w14:solidFill>
                </w14:textFill>
              </w:rPr>
            </w:pPr>
          </w:p>
        </w:tc>
        <w:tc>
          <w:tcPr>
            <w:tcW w:w="1323"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20" w:lineRule="exact"/>
              <w:jc w:val="right"/>
              <w:rPr>
                <w:rFonts w:ascii="宋体" w:hAnsi="宋体" w:eastAsia="宋体" w:cs="宋体"/>
                <w:color w:val="000000" w:themeColor="text1"/>
                <w:sz w:val="24"/>
                <w14:textFill>
                  <w14:solidFill>
                    <w14:schemeClr w14:val="tx1"/>
                  </w14:solidFill>
                </w14:textFill>
              </w:rPr>
            </w:pP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水利、环境和公共设施管理业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6</w:t>
            </w:r>
            <w:r>
              <w:rPr>
                <w:rFonts w:hint="eastAsia" w:ascii="宋体" w:hAnsi="宋体" w:eastAsia="宋体" w:cs="宋体"/>
                <w:color w:val="000000" w:themeColor="text1"/>
                <w:kern w:val="0"/>
                <w:sz w:val="24"/>
                <w:lang w:val="en-US" w:eastAsia="zh-CN" w:bidi="ar"/>
                <w14:textFill>
                  <w14:solidFill>
                    <w14:schemeClr w14:val="tx1"/>
                  </w14:solidFill>
                </w14:textFill>
              </w:rPr>
              <w:t>2.6</w:t>
            </w:r>
          </w:p>
        </w:tc>
      </w:tr>
      <w:tr>
        <w:tblPrEx>
          <w:tblCellMar>
            <w:top w:w="0" w:type="dxa"/>
            <w:left w:w="0" w:type="dxa"/>
            <w:bottom w:w="0" w:type="dxa"/>
            <w:right w:w="0" w:type="dxa"/>
          </w:tblCellMar>
        </w:tblPrEx>
        <w:trPr>
          <w:trHeight w:val="360"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建筑业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-100</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居民服务和其他服务业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360" w:hRule="atLeast"/>
          <w:jc w:val="center"/>
        </w:trPr>
        <w:tc>
          <w:tcPr>
            <w:tcW w:w="2694" w:type="dxa"/>
            <w:vMerge w:val="restart"/>
            <w:tcBorders>
              <w:top w:val="nil"/>
              <w:left w:val="nil"/>
              <w:bottom w:val="nil"/>
              <w:right w:val="nil"/>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交通运输、仓储和邮政业</w:t>
            </w:r>
          </w:p>
        </w:tc>
        <w:tc>
          <w:tcPr>
            <w:tcW w:w="1323"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-12.3</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教育</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3.4</w:t>
            </w:r>
          </w:p>
        </w:tc>
      </w:tr>
      <w:tr>
        <w:tblPrEx>
          <w:tblCellMar>
            <w:top w:w="0" w:type="dxa"/>
            <w:left w:w="0" w:type="dxa"/>
            <w:bottom w:w="0" w:type="dxa"/>
            <w:right w:w="0" w:type="dxa"/>
          </w:tblCellMar>
        </w:tblPrEx>
        <w:trPr>
          <w:trHeight w:val="360" w:hRule="atLeast"/>
          <w:jc w:val="center"/>
        </w:trPr>
        <w:tc>
          <w:tcPr>
            <w:tcW w:w="2694" w:type="dxa"/>
            <w:vMerge w:val="continue"/>
            <w:tcBorders>
              <w:top w:val="nil"/>
              <w:left w:val="nil"/>
              <w:bottom w:val="nil"/>
              <w:right w:val="nil"/>
            </w:tcBorders>
            <w:shd w:val="clear" w:color="auto" w:fill="auto"/>
            <w:tcMar>
              <w:top w:w="15" w:type="dxa"/>
              <w:left w:w="15" w:type="dxa"/>
              <w:right w:w="15" w:type="dxa"/>
            </w:tcMar>
            <w:vAlign w:val="center"/>
          </w:tcPr>
          <w:p>
            <w:pPr>
              <w:spacing w:line="320" w:lineRule="exact"/>
              <w:jc w:val="left"/>
              <w:rPr>
                <w:rFonts w:ascii="宋体" w:hAnsi="宋体" w:eastAsia="宋体" w:cs="宋体"/>
                <w:color w:val="000000" w:themeColor="text1"/>
                <w:sz w:val="24"/>
                <w14:textFill>
                  <w14:solidFill>
                    <w14:schemeClr w14:val="tx1"/>
                  </w14:solidFill>
                </w14:textFill>
              </w:rPr>
            </w:pPr>
          </w:p>
        </w:tc>
        <w:tc>
          <w:tcPr>
            <w:tcW w:w="1323"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20" w:lineRule="exact"/>
              <w:jc w:val="right"/>
              <w:rPr>
                <w:rFonts w:ascii="宋体" w:hAnsi="宋体" w:eastAsia="宋体" w:cs="宋体"/>
                <w:color w:val="000000" w:themeColor="text1"/>
                <w:sz w:val="24"/>
                <w14:textFill>
                  <w14:solidFill>
                    <w14:schemeClr w14:val="tx1"/>
                  </w14:solidFill>
                </w14:textFill>
              </w:rPr>
            </w:pP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卫生和社会工作</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2</w:t>
            </w:r>
            <w:r>
              <w:rPr>
                <w:rFonts w:hint="eastAsia" w:ascii="宋体" w:hAnsi="宋体" w:eastAsia="宋体" w:cs="宋体"/>
                <w:color w:val="000000" w:themeColor="text1"/>
                <w:kern w:val="0"/>
                <w:sz w:val="24"/>
                <w:lang w:val="en-US" w:eastAsia="zh-CN" w:bidi="ar"/>
                <w14:textFill>
                  <w14:solidFill>
                    <w14:schemeClr w14:val="tx1"/>
                  </w14:solidFill>
                </w14:textFill>
              </w:rPr>
              <w:t>1</w:t>
            </w:r>
            <w:r>
              <w:rPr>
                <w:rFonts w:ascii="宋体" w:hAnsi="宋体" w:eastAsia="宋体" w:cs="宋体"/>
                <w:color w:val="000000" w:themeColor="text1"/>
                <w:kern w:val="0"/>
                <w:sz w:val="24"/>
                <w:lang w:bidi="ar"/>
                <w14:textFill>
                  <w14:solidFill>
                    <w14:schemeClr w14:val="tx1"/>
                  </w14:solidFill>
                </w14:textFill>
              </w:rPr>
              <w:t>.2</w:t>
            </w:r>
          </w:p>
        </w:tc>
      </w:tr>
      <w:tr>
        <w:tblPrEx>
          <w:tblCellMar>
            <w:top w:w="0" w:type="dxa"/>
            <w:left w:w="0" w:type="dxa"/>
            <w:bottom w:w="0" w:type="dxa"/>
            <w:right w:w="0" w:type="dxa"/>
          </w:tblCellMar>
        </w:tblPrEx>
        <w:trPr>
          <w:trHeight w:val="360" w:hRule="atLeast"/>
          <w:jc w:val="center"/>
        </w:trPr>
        <w:tc>
          <w:tcPr>
            <w:tcW w:w="2694" w:type="dxa"/>
            <w:vMerge w:val="restart"/>
            <w:tcBorders>
              <w:top w:val="nil"/>
              <w:left w:val="nil"/>
              <w:bottom w:val="nil"/>
              <w:right w:val="nil"/>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信息传输、计算机服务和软件业</w:t>
            </w:r>
          </w:p>
        </w:tc>
        <w:tc>
          <w:tcPr>
            <w:tcW w:w="1323"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-23.4</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文化、体育和娱乐业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-29.9</w:t>
            </w:r>
          </w:p>
        </w:tc>
      </w:tr>
      <w:tr>
        <w:tblPrEx>
          <w:tblCellMar>
            <w:top w:w="0" w:type="dxa"/>
            <w:left w:w="0" w:type="dxa"/>
            <w:bottom w:w="0" w:type="dxa"/>
            <w:right w:w="0" w:type="dxa"/>
          </w:tblCellMar>
        </w:tblPrEx>
        <w:trPr>
          <w:trHeight w:val="360" w:hRule="atLeast"/>
          <w:jc w:val="center"/>
        </w:trPr>
        <w:tc>
          <w:tcPr>
            <w:tcW w:w="2694" w:type="dxa"/>
            <w:vMerge w:val="continue"/>
            <w:tcBorders>
              <w:top w:val="nil"/>
              <w:left w:val="nil"/>
              <w:bottom w:val="nil"/>
              <w:right w:val="nil"/>
            </w:tcBorders>
            <w:shd w:val="clear" w:color="auto" w:fill="auto"/>
            <w:tcMar>
              <w:top w:w="15" w:type="dxa"/>
              <w:left w:w="15" w:type="dxa"/>
              <w:right w:w="15" w:type="dxa"/>
            </w:tcMar>
            <w:vAlign w:val="center"/>
          </w:tcPr>
          <w:p>
            <w:pPr>
              <w:spacing w:line="320" w:lineRule="exact"/>
              <w:jc w:val="left"/>
              <w:rPr>
                <w:rFonts w:ascii="宋体" w:hAnsi="宋体" w:eastAsia="宋体" w:cs="宋体"/>
                <w:color w:val="000000" w:themeColor="text1"/>
                <w:sz w:val="24"/>
                <w14:textFill>
                  <w14:solidFill>
                    <w14:schemeClr w14:val="tx1"/>
                  </w14:solidFill>
                </w14:textFill>
              </w:rPr>
            </w:pPr>
          </w:p>
        </w:tc>
        <w:tc>
          <w:tcPr>
            <w:tcW w:w="1323"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20" w:lineRule="exact"/>
              <w:jc w:val="right"/>
              <w:rPr>
                <w:rFonts w:ascii="宋体" w:hAnsi="宋体" w:eastAsia="宋体" w:cs="宋体"/>
                <w:color w:val="000000" w:themeColor="text1"/>
                <w:sz w:val="24"/>
                <w14:textFill>
                  <w14:solidFill>
                    <w14:schemeClr w14:val="tx1"/>
                  </w14:solidFill>
                </w14:textFill>
              </w:rPr>
            </w:pP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公共管理和社会组织</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423" w:hRule="atLeast"/>
          <w:jc w:val="center"/>
        </w:trPr>
        <w:tc>
          <w:tcPr>
            <w:tcW w:w="2694"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批发和零售业</w:t>
            </w:r>
          </w:p>
        </w:tc>
        <w:tc>
          <w:tcPr>
            <w:tcW w:w="1323"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141.9</w:t>
            </w:r>
          </w:p>
        </w:tc>
        <w:tc>
          <w:tcPr>
            <w:tcW w:w="3217"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国际组织</w:t>
            </w:r>
          </w:p>
        </w:tc>
        <w:tc>
          <w:tcPr>
            <w:tcW w:w="1326" w:type="dxa"/>
            <w:tcBorders>
              <w:top w:val="nil"/>
              <w:left w:val="single" w:color="000000" w:sz="4" w:space="0"/>
              <w:bottom w:val="single" w:color="auto" w:sz="12" w:space="0"/>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bl>
    <w:p>
      <w:pPr>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Fonts w:hint="eastAsia" w:ascii="黑体" w:hAnsi="黑体" w:eastAsia="黑体" w:cs="黑体"/>
          <w:color w:val="000000" w:themeColor="text1"/>
          <w:spacing w:val="8"/>
          <w:sz w:val="32"/>
          <w:szCs w:val="32"/>
          <w:shd w:val="clear" w:color="auto" w:fill="FFFFFF"/>
          <w14:textFill>
            <w14:solidFill>
              <w14:schemeClr w14:val="tx1"/>
            </w14:solidFill>
          </w14:textFill>
        </w:rPr>
        <w:t>七、</w:t>
      </w:r>
      <w:r>
        <w:rPr>
          <w:rStyle w:val="13"/>
          <w:rFonts w:hint="eastAsia" w:ascii="黑体" w:hAnsi="黑体" w:eastAsia="黑体" w:cs="黑体"/>
          <w:b w:val="0"/>
          <w:color w:val="000000" w:themeColor="text1"/>
          <w:spacing w:val="8"/>
          <w:sz w:val="32"/>
          <w:szCs w:val="32"/>
          <w14:textFill>
            <w14:solidFill>
              <w14:schemeClr w14:val="tx1"/>
            </w14:solidFill>
          </w14:textFill>
        </w:rPr>
        <w:t>对外经济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全年全市货物进出口总额</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5.36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亿</w:t>
      </w:r>
      <w:r>
        <w:rPr>
          <w:rFonts w:hint="eastAsia" w:ascii="仿宋_GB2312" w:hAnsi="仿宋_GB2312" w:eastAsia="仿宋_GB2312" w:cs="仿宋_GB2312"/>
          <w:color w:val="000000" w:themeColor="text1"/>
          <w:sz w:val="32"/>
          <w:szCs w:val="32"/>
          <w14:textFill>
            <w14:solidFill>
              <w14:schemeClr w14:val="tx1"/>
            </w14:solidFill>
          </w14:textFill>
        </w:rPr>
        <w:t>元，比上年增长45.6%。其中，出口0.35亿元，增长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41.4</w:t>
      </w:r>
      <w:r>
        <w:rPr>
          <w:rFonts w:hint="eastAsia" w:ascii="仿宋_GB2312" w:hAnsi="仿宋_GB2312" w:eastAsia="仿宋_GB2312" w:cs="仿宋_GB2312"/>
          <w:color w:val="000000" w:themeColor="text1"/>
          <w:sz w:val="32"/>
          <w:szCs w:val="32"/>
          <w14:textFill>
            <w14:solidFill>
              <w14:schemeClr w14:val="tx1"/>
            </w14:solidFill>
          </w14:textFill>
        </w:rPr>
        <w:t>%；进口5.0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亿</w:t>
      </w:r>
      <w:r>
        <w:rPr>
          <w:rFonts w:hint="eastAsia" w:ascii="仿宋_GB2312" w:hAnsi="仿宋_GB2312" w:eastAsia="仿宋_GB2312" w:cs="仿宋_GB2312"/>
          <w:color w:val="000000" w:themeColor="text1"/>
          <w:sz w:val="32"/>
          <w:szCs w:val="32"/>
          <w14:textFill>
            <w14:solidFill>
              <w14:schemeClr w14:val="tx1"/>
            </w14:solidFill>
          </w14:textFill>
        </w:rPr>
        <w:t>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45.9</w:t>
      </w:r>
      <w:r>
        <w:rPr>
          <w:rFonts w:hint="eastAsia" w:ascii="仿宋_GB2312" w:hAnsi="仿宋_GB2312" w:eastAsia="仿宋_GB2312" w:cs="仿宋_GB2312"/>
          <w:color w:val="000000" w:themeColor="text1"/>
          <w:sz w:val="32"/>
          <w:szCs w:val="32"/>
          <w14:textFill>
            <w14:solidFill>
              <w14:schemeClr w14:val="tx1"/>
            </w14:solidFill>
          </w14:textFill>
        </w:rPr>
        <w:t>%。货物进出口逆差4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.65亿元</w:t>
      </w:r>
      <w:r>
        <w:rPr>
          <w:rFonts w:hint="eastAsia" w:ascii="仿宋_GB2312" w:hAnsi="仿宋_GB2312" w:eastAsia="仿宋_GB2312" w:cs="仿宋_GB2312"/>
          <w:color w:val="000000" w:themeColor="text1"/>
          <w:sz w:val="32"/>
          <w:szCs w:val="32"/>
          <w14:textFill>
            <w14:solidFill>
              <w14:schemeClr w14:val="tx1"/>
            </w14:solidFill>
          </w14:textFill>
        </w:rPr>
        <w:t>。全年外商直接投资新设立企业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家，实际使用外商直接投资金额2643.87万美元。</w:t>
      </w:r>
    </w:p>
    <w:p>
      <w:pPr>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八、财政金融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全年全市地方一般公共预算收入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10.03</w:t>
      </w:r>
      <w:r>
        <w:rPr>
          <w:rFonts w:hint="eastAsia" w:ascii="仿宋_GB2312" w:hAnsi="仿宋_GB2312" w:eastAsia="仿宋_GB2312" w:cs="仿宋_GB2312"/>
          <w:color w:val="000000" w:themeColor="text1"/>
          <w:sz w:val="32"/>
          <w:szCs w:val="32"/>
          <w14:textFill>
            <w14:solidFill>
              <w14:schemeClr w14:val="tx1"/>
            </w14:solidFill>
          </w14:textFill>
        </w:rPr>
        <w:t>亿元，比上年下降2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%。其中，税收收入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5.39</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下降34.</w:t>
      </w:r>
      <w:r>
        <w:rPr>
          <w:rFonts w:hint="eastAsia" w:ascii="仿宋_GB2312" w:hAnsi="仿宋_GB2312" w:eastAsia="仿宋_GB2312" w:cs="仿宋_GB2312"/>
          <w:color w:val="000000" w:themeColor="text1"/>
          <w:sz w:val="32"/>
          <w:szCs w:val="32"/>
          <w14:textFill>
            <w14:solidFill>
              <w14:schemeClr w14:val="tx1"/>
            </w14:solidFill>
          </w14:textFill>
        </w:rPr>
        <w:t>6%。全市地方一般公共预算支出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54.64</w:t>
      </w:r>
      <w:r>
        <w:rPr>
          <w:rFonts w:hint="eastAsia" w:ascii="仿宋_GB2312" w:hAnsi="仿宋_GB2312" w:eastAsia="仿宋_GB2312" w:cs="仿宋_GB2312"/>
          <w:color w:val="000000" w:themeColor="text1"/>
          <w:sz w:val="32"/>
          <w:szCs w:val="32"/>
          <w14:textFill>
            <w14:solidFill>
              <w14:schemeClr w14:val="tx1"/>
            </w14:solidFill>
          </w14:textFill>
        </w:rPr>
        <w:t>亿元，比上年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增长10.1</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w:t>
      </w:r>
      <w:r>
        <w:rPr>
          <w:rFonts w:hint="eastAsia" w:ascii="仿宋_GB2312" w:hAnsi="仿宋_GB2312" w:eastAsia="仿宋_GB2312" w:cs="仿宋_GB2312"/>
          <w:color w:val="000000" w:themeColor="text1"/>
          <w:sz w:val="32"/>
          <w:szCs w:val="32"/>
          <w14:textFill>
            <w14:solidFill>
              <w14:schemeClr w14:val="tx1"/>
            </w14:solidFill>
          </w14:textFill>
        </w:rPr>
        <w:t>金融机构本外币各项存款余额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445.33</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%。全部金融机构本外币各项贷款余额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301.64</w:t>
      </w:r>
      <w:r>
        <w:rPr>
          <w:rFonts w:hint="eastAsia" w:ascii="仿宋_GB2312" w:hAnsi="仿宋_GB2312" w:eastAsia="仿宋_GB2312" w:cs="仿宋_GB2312"/>
          <w:color w:val="000000" w:themeColor="text1"/>
          <w:sz w:val="32"/>
          <w:szCs w:val="32"/>
          <w14:textFill>
            <w14:solidFill>
              <w14:schemeClr w14:val="tx1"/>
            </w14:solidFill>
          </w14:textFill>
        </w:rPr>
        <w:t>亿元，增长10.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%。其中，住户贷款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141.9</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w:t>
      </w:r>
      <w:r>
        <w:rPr>
          <w:rFonts w:hint="eastAsia" w:ascii="仿宋_GB2312" w:hAnsi="仿宋_GB2312" w:eastAsia="仿宋_GB2312" w:cs="仿宋_GB2312"/>
          <w:color w:val="000000" w:themeColor="text1"/>
          <w:sz w:val="32"/>
          <w:szCs w:val="32"/>
          <w14:textFill>
            <w14:solidFill>
              <w14:schemeClr w14:val="tx1"/>
            </w14:solidFill>
          </w14:textFill>
        </w:rPr>
        <w:t>%；非金融企业及机关团体贷款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159.41</w:t>
      </w:r>
      <w:r>
        <w:rPr>
          <w:rFonts w:hint="eastAsia" w:ascii="仿宋_GB2312" w:hAnsi="仿宋_GB2312" w:eastAsia="仿宋_GB2312" w:cs="仿宋_GB2312"/>
          <w:color w:val="000000" w:themeColor="text1"/>
          <w:sz w:val="32"/>
          <w:szCs w:val="32"/>
          <w14:textFill>
            <w14:solidFill>
              <w14:schemeClr w14:val="tx1"/>
            </w14:solidFill>
          </w14:textFill>
        </w:rPr>
        <w:t>亿元，增长1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年末全市金融机构资产总额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508.29</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金融机构负债总额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501.0</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全年股票市价总值1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4.29</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证券和期货交易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761.26</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78.8</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保险公司</w:t>
      </w:r>
      <w:r>
        <w:rPr>
          <w:rFonts w:hint="eastAsia" w:ascii="仿宋_GB2312" w:hAnsi="仿宋_GB2312" w:eastAsia="仿宋_GB2312" w:cs="仿宋_GB2312"/>
          <w:color w:val="000000" w:themeColor="text1"/>
          <w:sz w:val="32"/>
          <w:szCs w:val="32"/>
          <w14:textFill>
            <w14:solidFill>
              <w14:schemeClr w14:val="tx1"/>
            </w14:solidFill>
          </w14:textFill>
        </w:rPr>
        <w:t>原保险保费收入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4.91</w:t>
      </w:r>
      <w:r>
        <w:rPr>
          <w:rFonts w:hint="eastAsia" w:ascii="仿宋_GB2312" w:hAnsi="仿宋_GB2312" w:eastAsia="仿宋_GB2312" w:cs="仿宋_GB2312"/>
          <w:color w:val="000000" w:themeColor="text1"/>
          <w:sz w:val="32"/>
          <w:szCs w:val="32"/>
          <w14:textFill>
            <w14:solidFill>
              <w14:schemeClr w14:val="tx1"/>
            </w14:solidFill>
          </w14:textFill>
        </w:rPr>
        <w:t>亿元，比上年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增长4.1</w:t>
      </w:r>
      <w:r>
        <w:rPr>
          <w:rFonts w:hint="eastAsia" w:ascii="仿宋_GB2312" w:hAnsi="仿宋_GB2312" w:eastAsia="仿宋_GB2312" w:cs="仿宋_GB2312"/>
          <w:color w:val="000000" w:themeColor="text1"/>
          <w:sz w:val="32"/>
          <w:szCs w:val="32"/>
          <w14:textFill>
            <w14:solidFill>
              <w14:schemeClr w14:val="tx1"/>
            </w14:solidFill>
          </w14:textFill>
        </w:rPr>
        <w:t>%。其中，财产险业务收入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2.26</w:t>
      </w:r>
      <w:r>
        <w:rPr>
          <w:rFonts w:hint="eastAsia" w:ascii="仿宋_GB2312" w:hAnsi="仿宋_GB2312" w:eastAsia="仿宋_GB2312" w:cs="仿宋_GB2312"/>
          <w:color w:val="000000" w:themeColor="text1"/>
          <w:sz w:val="32"/>
          <w:szCs w:val="32"/>
          <w14:textFill>
            <w14:solidFill>
              <w14:schemeClr w14:val="tx1"/>
            </w14:solidFill>
          </w14:textFill>
        </w:rPr>
        <w:t>亿元，寿险收入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1.76</w:t>
      </w:r>
      <w:r>
        <w:rPr>
          <w:rFonts w:hint="eastAsia" w:ascii="仿宋_GB2312" w:hAnsi="仿宋_GB2312" w:eastAsia="仿宋_GB2312" w:cs="仿宋_GB2312"/>
          <w:color w:val="000000" w:themeColor="text1"/>
          <w:sz w:val="32"/>
          <w:szCs w:val="32"/>
          <w14:textFill>
            <w14:solidFill>
              <w14:schemeClr w14:val="tx1"/>
            </w14:solidFill>
          </w14:textFill>
        </w:rPr>
        <w:t>亿元，健康险和意外险业务收入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0.89</w:t>
      </w:r>
      <w:r>
        <w:rPr>
          <w:rFonts w:hint="eastAsia" w:ascii="仿宋_GB2312" w:hAnsi="仿宋_GB2312" w:eastAsia="仿宋_GB2312" w:cs="仿宋_GB2312"/>
          <w:color w:val="000000" w:themeColor="text1"/>
          <w:sz w:val="32"/>
          <w:szCs w:val="32"/>
          <w14:textFill>
            <w14:solidFill>
              <w14:schemeClr w14:val="tx1"/>
            </w14:solidFill>
          </w14:textFill>
        </w:rPr>
        <w:t>亿元。支付各类赔款及给付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1.76</w:t>
      </w:r>
      <w:r>
        <w:rPr>
          <w:rFonts w:hint="eastAsia" w:ascii="仿宋_GB2312" w:hAnsi="仿宋_GB2312" w:eastAsia="仿宋_GB2312" w:cs="仿宋_GB2312"/>
          <w:color w:val="000000" w:themeColor="text1"/>
          <w:sz w:val="32"/>
          <w:szCs w:val="32"/>
          <w14:textFill>
            <w14:solidFill>
              <w14:schemeClr w14:val="tx1"/>
            </w14:solidFill>
          </w14:textFill>
        </w:rPr>
        <w:t>亿元。其中，财产险业务赔款1.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亿元，寿险业务给付0.26亿元，健康险和意外伤害险业务赔款及给付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0.16</w:t>
      </w:r>
      <w:r>
        <w:rPr>
          <w:rFonts w:hint="eastAsia" w:ascii="仿宋_GB2312" w:hAnsi="仿宋_GB2312" w:eastAsia="仿宋_GB2312" w:cs="仿宋_GB2312"/>
          <w:color w:val="000000" w:themeColor="text1"/>
          <w:sz w:val="32"/>
          <w:szCs w:val="32"/>
          <w14:textFill>
            <w14:solidFill>
              <w14:schemeClr w14:val="tx1"/>
            </w14:solidFill>
          </w14:textFill>
        </w:rPr>
        <w:t>亿元。</w:t>
      </w:r>
    </w:p>
    <w:p>
      <w:pPr>
        <w:numPr>
          <w:ilvl w:val="0"/>
          <w:numId w:val="0"/>
        </w:numPr>
        <w:spacing w:line="520" w:lineRule="exact"/>
        <w:ind w:firstLine="672" w:firstLineChars="200"/>
        <w:jc w:val="left"/>
        <w:rPr>
          <w:rFonts w:hint="eastAsia" w:ascii="仿宋_GB2312" w:hAnsi="仿宋_GB2312" w:eastAsia="仿宋_GB2312" w:cs="仿宋_GB2312"/>
          <w:color w:val="0000FF"/>
          <w:kern w:val="2"/>
          <w:sz w:val="32"/>
          <w:szCs w:val="32"/>
          <w:shd w:val="clear" w:color="auto" w:fill="FFFFFF"/>
          <w:lang w:val="en-US" w:eastAsia="zh-CN" w:bidi="ar-SA"/>
        </w:rPr>
      </w:pPr>
      <w:r>
        <w:rPr>
          <w:rStyle w:val="13"/>
          <w:rFonts w:hint="eastAsia" w:ascii="黑体" w:hAnsi="黑体" w:eastAsia="黑体" w:cs="黑体"/>
          <w:b w:val="0"/>
          <w:color w:val="000000" w:themeColor="text1"/>
          <w:spacing w:val="8"/>
          <w:sz w:val="32"/>
          <w:szCs w:val="32"/>
          <w:lang w:val="en-US" w:eastAsia="zh-CN"/>
          <w14:textFill>
            <w14:solidFill>
              <w14:schemeClr w14:val="tx1"/>
            </w14:solidFill>
          </w14:textFill>
        </w:rPr>
        <w:t>九、</w:t>
      </w:r>
      <w:r>
        <w:rPr>
          <w:rStyle w:val="13"/>
          <w:rFonts w:hint="eastAsia" w:ascii="黑体" w:hAnsi="黑体" w:eastAsia="黑体" w:cs="黑体"/>
          <w:b w:val="0"/>
          <w:color w:val="000000" w:themeColor="text1"/>
          <w:spacing w:val="8"/>
          <w:sz w:val="32"/>
          <w:szCs w:val="32"/>
          <w14:textFill>
            <w14:solidFill>
              <w14:schemeClr w14:val="tx1"/>
            </w14:solidFill>
          </w14:textFill>
        </w:rPr>
        <w:t>居民收入和社会保障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anchor distT="0" distB="0" distL="114300" distR="114300" simplePos="0" relativeHeight="251660288" behindDoc="1" locked="0" layoutInCell="1" allowOverlap="1">
            <wp:simplePos x="0" y="0"/>
            <wp:positionH relativeFrom="column">
              <wp:posOffset>90805</wp:posOffset>
            </wp:positionH>
            <wp:positionV relativeFrom="paragraph">
              <wp:posOffset>1482725</wp:posOffset>
            </wp:positionV>
            <wp:extent cx="5363210" cy="2924175"/>
            <wp:effectExtent l="0" t="0" r="8890" b="0"/>
            <wp:wrapTight wrapText="bothSides">
              <wp:wrapPolygon>
                <wp:start x="0" y="0"/>
                <wp:lineTo x="0" y="21389"/>
                <wp:lineTo x="21559" y="21389"/>
                <wp:lineTo x="21559"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hAnsi="仿宋_GB2312" w:eastAsia="仿宋_GB2312" w:cs="仿宋_GB2312"/>
          <w:color w:val="000000" w:themeColor="text1"/>
          <w:sz w:val="32"/>
          <w:szCs w:val="32"/>
          <w14:textFill>
            <w14:solidFill>
              <w14:schemeClr w14:val="tx1"/>
            </w14:solidFill>
          </w14:textFill>
        </w:rPr>
        <w:t>全年全市居民人均可支配收入29679元，比上年增长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%。按常住地分，城镇常住居民人均可支配收入39091元，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下降1.1</w:t>
      </w:r>
      <w:r>
        <w:rPr>
          <w:rFonts w:hint="eastAsia" w:ascii="仿宋_GB2312" w:hAnsi="仿宋_GB2312" w:eastAsia="仿宋_GB2312" w:cs="仿宋_GB2312"/>
          <w:color w:val="000000" w:themeColor="text1"/>
          <w:sz w:val="32"/>
          <w:szCs w:val="32"/>
          <w14:textFill>
            <w14:solidFill>
              <w14:schemeClr w14:val="tx1"/>
            </w14:solidFill>
          </w14:textFill>
        </w:rPr>
        <w:t>%；农村常住居民人均可支配收入21108元，增长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全年全市居民人均消费支出20362元，比上年下降3.0%。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年末全市参加城镇职工基本养老保险人数12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万人，比上年增长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6.3</w:t>
      </w:r>
      <w:r>
        <w:rPr>
          <w:rFonts w:hint="eastAsia" w:ascii="仿宋_GB2312" w:hAnsi="仿宋_GB2312" w:eastAsia="仿宋_GB2312" w:cs="仿宋_GB2312"/>
          <w:color w:val="000000" w:themeColor="text1"/>
          <w:sz w:val="32"/>
          <w:szCs w:val="32"/>
          <w14:textFill>
            <w14:solidFill>
              <w14:schemeClr w14:val="tx1"/>
            </w14:solidFill>
          </w14:textFill>
        </w:rPr>
        <w:t>%。参加城乡居民基本养老保险人数22.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w:t>
      </w:r>
      <w:r>
        <w:rPr>
          <w:rFonts w:hint="eastAsia" w:ascii="仿宋_GB2312" w:hAnsi="仿宋_GB2312" w:eastAsia="仿宋_GB2312" w:cs="仿宋_GB2312"/>
          <w:color w:val="000000" w:themeColor="text1"/>
          <w:sz w:val="32"/>
          <w:szCs w:val="32"/>
          <w14:textFill>
            <w14:solidFill>
              <w14:schemeClr w14:val="tx1"/>
            </w14:solidFill>
          </w14:textFill>
        </w:rPr>
        <w:t>万人，增长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%。参加基本医疗保险人数48.18万人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下降1.6</w:t>
      </w:r>
      <w:r>
        <w:rPr>
          <w:rFonts w:hint="eastAsia" w:ascii="仿宋_GB2312" w:hAnsi="仿宋_GB2312" w:eastAsia="仿宋_GB2312" w:cs="仿宋_GB2312"/>
          <w:color w:val="000000" w:themeColor="text1"/>
          <w:sz w:val="32"/>
          <w:szCs w:val="32"/>
          <w14:textFill>
            <w14:solidFill>
              <w14:schemeClr w14:val="tx1"/>
            </w14:solidFill>
          </w14:textFill>
        </w:rPr>
        <w:t>%。其中，参加职工基本医疗保险人数8.6万人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参加城乡居民基本医疗保险人数39.38万人。参加失业保险人数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w:t>
      </w:r>
      <w:r>
        <w:rPr>
          <w:rFonts w:hint="eastAsia" w:ascii="仿宋_GB2312" w:hAnsi="仿宋_GB2312" w:eastAsia="仿宋_GB2312" w:cs="仿宋_GB2312"/>
          <w:color w:val="000000" w:themeColor="text1"/>
          <w:sz w:val="32"/>
          <w:szCs w:val="32"/>
          <w14:textFill>
            <w14:solidFill>
              <w14:schemeClr w14:val="tx1"/>
            </w14:solidFill>
          </w14:textFill>
        </w:rPr>
        <w:t>万人，比上年增长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.5%。参加工伤保险人数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5.85</w:t>
      </w:r>
      <w:r>
        <w:rPr>
          <w:rFonts w:hint="eastAsia" w:ascii="仿宋_GB2312" w:hAnsi="仿宋_GB2312" w:eastAsia="仿宋_GB2312" w:cs="仿宋_GB2312"/>
          <w:color w:val="000000" w:themeColor="text1"/>
          <w:sz w:val="32"/>
          <w:szCs w:val="32"/>
          <w14:textFill>
            <w14:solidFill>
              <w14:schemeClr w14:val="tx1"/>
            </w14:solidFill>
          </w14:textFill>
        </w:rPr>
        <w:t>万人，增长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w:t>
      </w:r>
      <w:r>
        <w:rPr>
          <w:rFonts w:hint="eastAsia" w:ascii="仿宋_GB2312" w:hAnsi="仿宋_GB2312" w:eastAsia="仿宋_GB2312" w:cs="仿宋_GB2312"/>
          <w:color w:val="000000" w:themeColor="text1"/>
          <w:sz w:val="32"/>
          <w:szCs w:val="32"/>
          <w14:textFill>
            <w14:solidFill>
              <w14:schemeClr w14:val="tx1"/>
            </w14:solidFill>
          </w14:textFill>
        </w:rPr>
        <w:t>%。参加生育保险人数5.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w:t>
      </w:r>
      <w:r>
        <w:rPr>
          <w:rFonts w:hint="eastAsia" w:ascii="仿宋_GB2312" w:hAnsi="仿宋_GB2312" w:eastAsia="仿宋_GB2312" w:cs="仿宋_GB2312"/>
          <w:color w:val="000000" w:themeColor="text1"/>
          <w:sz w:val="32"/>
          <w:szCs w:val="32"/>
          <w14:textFill>
            <w14:solidFill>
              <w14:schemeClr w14:val="tx1"/>
            </w14:solidFill>
          </w14:textFill>
        </w:rPr>
        <w:t>万人，增长2.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%。年末全市共有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1312</w:t>
      </w:r>
      <w:r>
        <w:rPr>
          <w:rFonts w:hint="eastAsia" w:ascii="仿宋_GB2312" w:hAnsi="仿宋_GB2312" w:eastAsia="仿宋_GB2312" w:cs="仿宋_GB2312"/>
          <w:color w:val="000000" w:themeColor="text1"/>
          <w:sz w:val="32"/>
          <w:szCs w:val="32"/>
          <w14:textFill>
            <w14:solidFill>
              <w14:schemeClr w14:val="tx1"/>
            </w14:solidFill>
          </w14:textFill>
        </w:rPr>
        <w:t>人享受城镇居民最低生活保障，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8009</w:t>
      </w:r>
      <w:r>
        <w:rPr>
          <w:rFonts w:hint="eastAsia" w:ascii="仿宋_GB2312" w:hAnsi="仿宋_GB2312" w:eastAsia="仿宋_GB2312" w:cs="仿宋_GB2312"/>
          <w:color w:val="000000" w:themeColor="text1"/>
          <w:sz w:val="32"/>
          <w:szCs w:val="32"/>
          <w14:textFill>
            <w14:solidFill>
              <w14:schemeClr w14:val="tx1"/>
            </w14:solidFill>
          </w14:textFill>
        </w:rPr>
        <w:t>人享受农村居民最低生活保障，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2320</w:t>
      </w:r>
      <w:r>
        <w:rPr>
          <w:rFonts w:hint="eastAsia" w:ascii="仿宋_GB2312" w:hAnsi="仿宋_GB2312" w:eastAsia="仿宋_GB2312" w:cs="仿宋_GB2312"/>
          <w:color w:val="000000" w:themeColor="text1"/>
          <w:sz w:val="32"/>
          <w:szCs w:val="32"/>
          <w14:textFill>
            <w14:solidFill>
              <w14:schemeClr w14:val="tx1"/>
            </w14:solidFill>
          </w14:textFill>
        </w:rPr>
        <w:t>人享受农村特困人员救助供养。全年临时救助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5504</w:t>
      </w:r>
      <w:r>
        <w:rPr>
          <w:rFonts w:hint="eastAsia" w:ascii="仿宋_GB2312" w:hAnsi="仿宋_GB2312" w:eastAsia="仿宋_GB2312" w:cs="仿宋_GB2312"/>
          <w:color w:val="000000" w:themeColor="text1"/>
          <w:sz w:val="32"/>
          <w:szCs w:val="32"/>
          <w14:textFill>
            <w14:solidFill>
              <w14:schemeClr w14:val="tx1"/>
            </w14:solidFill>
          </w14:textFill>
        </w:rPr>
        <w:t>人次。全年资助12803人参加基本医疗保险，直接医疗救助7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7万人次。全年提供各类福利院床位数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776</w:t>
      </w:r>
      <w:r>
        <w:rPr>
          <w:rFonts w:hint="eastAsia" w:ascii="仿宋_GB2312" w:hAnsi="仿宋_GB2312" w:eastAsia="仿宋_GB2312" w:cs="仿宋_GB2312"/>
          <w:color w:val="000000" w:themeColor="text1"/>
          <w:sz w:val="32"/>
          <w:szCs w:val="32"/>
          <w14:textFill>
            <w14:solidFill>
              <w14:schemeClr w14:val="tx1"/>
            </w14:solidFill>
          </w14:textFill>
        </w:rPr>
        <w:t>张。全年销售社会福利彩票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1401.2</w:t>
      </w:r>
      <w:r>
        <w:rPr>
          <w:rFonts w:hint="eastAsia" w:ascii="仿宋_GB2312" w:hAnsi="仿宋_GB2312" w:eastAsia="仿宋_GB2312" w:cs="仿宋_GB2312"/>
          <w:color w:val="000000" w:themeColor="text1"/>
          <w:sz w:val="32"/>
          <w:szCs w:val="32"/>
          <w14:textFill>
            <w14:solidFill>
              <w14:schemeClr w14:val="tx1"/>
            </w14:solidFill>
          </w14:textFill>
        </w:rPr>
        <w:t>万元，筹集社会福利彩票公益金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116.3</w:t>
      </w:r>
      <w:r>
        <w:rPr>
          <w:rFonts w:hint="eastAsia" w:ascii="仿宋_GB2312" w:hAnsi="仿宋_GB2312" w:eastAsia="仿宋_GB2312" w:cs="仿宋_GB2312"/>
          <w:color w:val="000000" w:themeColor="text1"/>
          <w:sz w:val="32"/>
          <w:szCs w:val="32"/>
          <w14:textFill>
            <w14:solidFill>
              <w14:schemeClr w14:val="tx1"/>
            </w14:solidFill>
          </w14:textFill>
        </w:rPr>
        <w:t>万元，直接接收社会捐赠款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620.3</w:t>
      </w:r>
      <w:r>
        <w:rPr>
          <w:rFonts w:hint="eastAsia" w:ascii="仿宋_GB2312" w:hAnsi="仿宋_GB2312" w:eastAsia="仿宋_GB2312" w:cs="仿宋_GB2312"/>
          <w:color w:val="000000" w:themeColor="text1"/>
          <w:sz w:val="32"/>
          <w:szCs w:val="32"/>
          <w14:textFill>
            <w14:solidFill>
              <w14:schemeClr w14:val="tx1"/>
            </w14:solidFill>
          </w14:textFill>
        </w:rPr>
        <w:t>万元。全年抚恤、补助各类优抚对象2681人。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全年全市城镇保障性住房新开工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1483</w:t>
      </w:r>
      <w:r>
        <w:rPr>
          <w:rFonts w:hint="eastAsia" w:ascii="仿宋_GB2312" w:hAnsi="仿宋_GB2312" w:eastAsia="仿宋_GB2312" w:cs="仿宋_GB2312"/>
          <w:color w:val="000000" w:themeColor="text1"/>
          <w:sz w:val="32"/>
          <w:szCs w:val="32"/>
          <w14:textFill>
            <w14:solidFill>
              <w14:schemeClr w14:val="tx1"/>
            </w14:solidFill>
          </w14:textFill>
        </w:rPr>
        <w:t>套，建设面积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19.81</w:t>
      </w:r>
      <w:r>
        <w:rPr>
          <w:rFonts w:hint="eastAsia" w:ascii="仿宋_GB2312" w:hAnsi="仿宋_GB2312" w:eastAsia="仿宋_GB2312" w:cs="仿宋_GB2312"/>
          <w:color w:val="000000" w:themeColor="text1"/>
          <w:sz w:val="32"/>
          <w:szCs w:val="32"/>
          <w14:textFill>
            <w14:solidFill>
              <w14:schemeClr w14:val="tx1"/>
            </w14:solidFill>
          </w14:textFill>
        </w:rPr>
        <w:t>万平方米；城镇保障性住房建成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1360</w:t>
      </w:r>
      <w:r>
        <w:rPr>
          <w:rFonts w:hint="eastAsia" w:ascii="仿宋_GB2312" w:hAnsi="仿宋_GB2312" w:eastAsia="仿宋_GB2312" w:cs="仿宋_GB2312"/>
          <w:color w:val="000000" w:themeColor="text1"/>
          <w:sz w:val="32"/>
          <w:szCs w:val="32"/>
          <w14:textFill>
            <w14:solidFill>
              <w14:schemeClr w14:val="tx1"/>
            </w14:solidFill>
          </w14:textFill>
        </w:rPr>
        <w:t>套，建成面积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16.1</w:t>
      </w:r>
      <w:r>
        <w:rPr>
          <w:rFonts w:hint="eastAsia" w:ascii="仿宋_GB2312" w:hAnsi="仿宋_GB2312" w:eastAsia="仿宋_GB2312" w:cs="仿宋_GB2312"/>
          <w:color w:val="000000" w:themeColor="text1"/>
          <w:sz w:val="32"/>
          <w:szCs w:val="32"/>
          <w14:textFill>
            <w14:solidFill>
              <w14:schemeClr w14:val="tx1"/>
            </w14:solidFill>
          </w14:textFill>
        </w:rPr>
        <w:t>万平方米。全年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新开工改造</w:t>
      </w:r>
      <w:r>
        <w:rPr>
          <w:rFonts w:hint="eastAsia" w:ascii="仿宋_GB2312" w:hAnsi="仿宋_GB2312" w:eastAsia="仿宋_GB2312" w:cs="仿宋_GB2312"/>
          <w:color w:val="000000" w:themeColor="text1"/>
          <w:sz w:val="32"/>
          <w:szCs w:val="32"/>
          <w14:textFill>
            <w14:solidFill>
              <w14:schemeClr w14:val="tx1"/>
            </w14:solidFill>
          </w14:textFill>
        </w:rPr>
        <w:t>城镇老旧小区改造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个。全年完成农村危房改造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w:t>
      </w:r>
      <w:r>
        <w:rPr>
          <w:rFonts w:hint="eastAsia" w:ascii="仿宋_GB2312" w:hAnsi="仿宋_GB2312" w:eastAsia="仿宋_GB2312" w:cs="仿宋_GB2312"/>
          <w:color w:val="000000" w:themeColor="text1"/>
          <w:sz w:val="32"/>
          <w:szCs w:val="32"/>
          <w14:textFill>
            <w14:solidFill>
              <w14:schemeClr w14:val="tx1"/>
            </w14:solidFill>
          </w14:textFill>
        </w:rPr>
        <w:t>户。</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十、科学技术和教育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全年全市申请专利获得授权234项，每万人发明专利拥有量0.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件。全年新增商标申请1221件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商标有效注册4891件，比上年增长1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3%。全年新登记市场主体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1.34万</w:t>
      </w:r>
      <w:r>
        <w:rPr>
          <w:rFonts w:hint="eastAsia" w:ascii="仿宋_GB2312" w:hAnsi="仿宋_GB2312" w:eastAsia="仿宋_GB2312" w:cs="仿宋_GB2312"/>
          <w:color w:val="000000" w:themeColor="text1"/>
          <w:sz w:val="32"/>
          <w:szCs w:val="32"/>
          <w14:textFill>
            <w14:solidFill>
              <w14:schemeClr w14:val="tx1"/>
            </w14:solidFill>
          </w14:textFill>
        </w:rPr>
        <w:t>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年末市场主体总数达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7.55</w:t>
      </w:r>
      <w:r>
        <w:rPr>
          <w:rFonts w:hint="eastAsia" w:ascii="仿宋_GB2312" w:hAnsi="仿宋_GB2312" w:eastAsia="仿宋_GB2312" w:cs="仿宋_GB2312"/>
          <w:color w:val="000000" w:themeColor="text1"/>
          <w:sz w:val="32"/>
          <w:szCs w:val="32"/>
          <w14:textFill>
            <w14:solidFill>
              <w14:schemeClr w14:val="tx1"/>
            </w14:solidFill>
          </w14:textFill>
        </w:rPr>
        <w:t>万户，比上年增长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13.3</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年末普通高中9所，专任教师963人，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比上年</w:t>
      </w:r>
      <w:r>
        <w:rPr>
          <w:rFonts w:hint="eastAsia" w:ascii="仿宋_GB2312" w:hAnsi="仿宋_GB2312" w:eastAsia="仿宋_GB2312" w:cs="仿宋_GB2312"/>
          <w:color w:val="000000" w:themeColor="text1"/>
          <w:sz w:val="32"/>
          <w:szCs w:val="32"/>
          <w14:textFill>
            <w14:solidFill>
              <w14:schemeClr w14:val="tx1"/>
            </w14:solidFill>
          </w14:textFill>
        </w:rPr>
        <w:t>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w:t>
      </w:r>
      <w:r>
        <w:rPr>
          <w:rFonts w:hint="eastAsia" w:ascii="仿宋_GB2312" w:hAnsi="仿宋_GB2312" w:eastAsia="仿宋_GB2312" w:cs="仿宋_GB2312"/>
          <w:color w:val="000000" w:themeColor="text1"/>
          <w:sz w:val="32"/>
          <w:szCs w:val="32"/>
          <w14:textFill>
            <w14:solidFill>
              <w14:schemeClr w14:val="tx1"/>
            </w14:solidFill>
          </w14:textFill>
        </w:rPr>
        <w:t>%；招生4314人，增长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w:t>
      </w:r>
      <w:r>
        <w:rPr>
          <w:rFonts w:hint="eastAsia" w:ascii="仿宋_GB2312" w:hAnsi="仿宋_GB2312" w:eastAsia="仿宋_GB2312" w:cs="仿宋_GB2312"/>
          <w:color w:val="000000" w:themeColor="text1"/>
          <w:sz w:val="32"/>
          <w:szCs w:val="32"/>
          <w14:textFill>
            <w14:solidFill>
              <w14:schemeClr w14:val="tx1"/>
            </w14:solidFill>
          </w14:textFill>
        </w:rPr>
        <w:t>%；在校学生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11836</w:t>
      </w:r>
      <w:r>
        <w:rPr>
          <w:rFonts w:hint="eastAsia" w:ascii="仿宋_GB2312" w:hAnsi="仿宋_GB2312" w:eastAsia="仿宋_GB2312" w:cs="仿宋_GB2312"/>
          <w:color w:val="000000" w:themeColor="text1"/>
          <w:sz w:val="32"/>
          <w:szCs w:val="32"/>
          <w14:textFill>
            <w14:solidFill>
              <w14:schemeClr w14:val="tx1"/>
            </w14:solidFill>
          </w14:textFill>
        </w:rPr>
        <w:t>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w:t>
      </w:r>
      <w:r>
        <w:rPr>
          <w:rFonts w:hint="eastAsia" w:ascii="仿宋_GB2312" w:hAnsi="仿宋_GB2312" w:eastAsia="仿宋_GB2312" w:cs="仿宋_GB2312"/>
          <w:color w:val="000000" w:themeColor="text1"/>
          <w:sz w:val="32"/>
          <w:szCs w:val="32"/>
          <w14:textFill>
            <w14:solidFill>
              <w14:schemeClr w14:val="tx1"/>
            </w14:solidFill>
          </w14:textFill>
        </w:rPr>
        <w:t>%；毕业生3550人，增长1.7%；高中毛入学率95.1%。中等职业教育学校2所，招生1846人，下降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10.4</w:t>
      </w:r>
      <w:r>
        <w:rPr>
          <w:rFonts w:hint="eastAsia" w:ascii="仿宋_GB2312" w:hAnsi="仿宋_GB2312" w:eastAsia="仿宋_GB2312" w:cs="仿宋_GB2312"/>
          <w:color w:val="000000" w:themeColor="text1"/>
          <w:sz w:val="32"/>
          <w:szCs w:val="32"/>
          <w14:textFill>
            <w14:solidFill>
              <w14:schemeClr w14:val="tx1"/>
            </w14:solidFill>
          </w14:textFill>
        </w:rPr>
        <w:t>%；在校学生5917人，下降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%。普通初中20所，专任教师1691人，增长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%；招生7736人，增长0.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%；在校学生22965人，增长0.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%；毕业生7501人，增长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0.4</w:t>
      </w:r>
      <w:r>
        <w:rPr>
          <w:rFonts w:hint="eastAsia" w:ascii="仿宋_GB2312" w:hAnsi="仿宋_GB2312" w:eastAsia="仿宋_GB2312" w:cs="仿宋_GB2312"/>
          <w:color w:val="000000" w:themeColor="text1"/>
          <w:sz w:val="32"/>
          <w:szCs w:val="32"/>
          <w14:textFill>
            <w14:solidFill>
              <w14:schemeClr w14:val="tx1"/>
            </w14:solidFill>
          </w14:textFill>
        </w:rPr>
        <w:t>%；初中毛入学率118.1%。普通小学96所，专任教师3065人，增长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w:t>
      </w:r>
      <w:r>
        <w:rPr>
          <w:rFonts w:hint="eastAsia" w:ascii="仿宋_GB2312" w:hAnsi="仿宋_GB2312" w:eastAsia="仿宋_GB2312" w:cs="仿宋_GB2312"/>
          <w:color w:val="000000" w:themeColor="text1"/>
          <w:sz w:val="32"/>
          <w:szCs w:val="32"/>
          <w14:textFill>
            <w14:solidFill>
              <w14:schemeClr w14:val="tx1"/>
            </w14:solidFill>
          </w14:textFill>
        </w:rPr>
        <w:t>%；招生6550人，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下降6</w:t>
      </w:r>
      <w:r>
        <w:rPr>
          <w:rFonts w:hint="eastAsia" w:ascii="仿宋_GB2312" w:hAnsi="仿宋_GB2312" w:eastAsia="仿宋_GB2312" w:cs="仿宋_GB2312"/>
          <w:color w:val="000000" w:themeColor="text1"/>
          <w:sz w:val="32"/>
          <w:szCs w:val="32"/>
          <w14:textFill>
            <w14:solidFill>
              <w14:schemeClr w14:val="tx1"/>
            </w14:solidFill>
          </w14:textFill>
        </w:rPr>
        <w:t>.9%；在校学生43306人，下降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%；毕业生7250人，下降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.7%；小学净入学率100.0%。</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left"/>
        <w:textAlignment w:val="auto"/>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十一、文化旅游、卫生健康和体育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年末全市共有各类艺术表演团体10个，文化艺术馆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个，公共图书馆1个，博物馆2个。全市广播电视台1座，广播综合人口覆盖率和电视综合人口覆盖率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均</w:t>
      </w:r>
      <w:r>
        <w:rPr>
          <w:rFonts w:hint="eastAsia" w:ascii="仿宋_GB2312" w:hAnsi="仿宋_GB2312" w:eastAsia="仿宋_GB2312" w:cs="仿宋_GB2312"/>
          <w:color w:val="000000" w:themeColor="text1"/>
          <w:sz w:val="32"/>
          <w:szCs w:val="32"/>
          <w14:textFill>
            <w14:solidFill>
              <w14:schemeClr w14:val="tx1"/>
            </w14:solidFill>
          </w14:textFill>
        </w:rPr>
        <w:t>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到100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推动文旅深度融合。组织</w:t>
      </w:r>
      <w:r>
        <w:rPr>
          <w:rFonts w:hint="eastAsia" w:ascii="仿宋_GB2312" w:hAnsi="仿宋_GB2312" w:eastAsia="仿宋_GB2312" w:cs="仿宋_GB2312"/>
          <w:color w:val="000000" w:themeColor="text1"/>
          <w:sz w:val="32"/>
          <w:szCs w:val="32"/>
          <w14:textFill>
            <w14:solidFill>
              <w14:schemeClr w14:val="tx1"/>
            </w14:solidFill>
          </w14:textFill>
        </w:rPr>
        <w:t>举办“中国体育彩票”杭州亚运会帆船项目选拔赛暨2022年全国水翼帆板风筝板冠军赛、首届CGA高尔夫（海南）国际青少年大师赛、琼海市气排球联赛、海南美丽乡村绿色骑行、5·19中国旅游日琼海系列活动“潭门渔故事”、第二届520婚庆旅游文化节、“走进美丽乡村、探寻民俗文化”2022年琼海市旅游+摄影采风2022海南“万泉向海”水上运动嘉年华、2022年第四届琼海原创乡村音乐节、2022年第八届潭门赶海节等系列旅游文化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文化事业繁荣发展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新编大型古装琼剧《合家团圆》、《林攀桂》、《八府巡按》，原创华侨文化琼剧《南侨情》。选送的原创舞蹈《椰林回声》获得第19届海南省东西南北中广场文艺会演线上展播活动一等奖，舞蹈作品</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《南海随想》入围第十九届群星奖舞蹈类决赛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戏剧作品《南侨情》获得二等奖，演唱《三月欢歌》、小品《爸爸.儿子》获得三等奖。广泛开展群众文化活动，全年组织大型民俗活动、展览展示、艺术创作培训、文化惠民演出、非遗传承等文化活动150余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default" w:ascii="仿宋_GB2312" w:hAnsi="仿宋_GB2312" w:eastAsia="仿宋_GB2312" w:cs="仿宋_GB2312"/>
          <w:color w:val="000000" w:themeColor="text1"/>
          <w:sz w:val="32"/>
          <w:szCs w:val="32"/>
          <w:lang w:eastAsia="zh-CN"/>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default" w:ascii="仿宋_GB2312" w:hAnsi="仿宋_GB2312" w:eastAsia="仿宋_GB2312" w:cs="仿宋_GB2312"/>
          <w:color w:val="000000" w:themeColor="text1"/>
          <w:sz w:val="32"/>
          <w:szCs w:val="32"/>
          <w14:textFill>
            <w14:solidFill>
              <w14:schemeClr w14:val="tx1"/>
            </w14:solidFill>
          </w14:textFill>
        </w:rPr>
        <w:t>接待游客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653.3万人次，比上年下降20.3%。其中，</w:t>
      </w:r>
      <w:r>
        <w:rPr>
          <w:rFonts w:hint="default" w:ascii="仿宋_GB2312" w:hAnsi="仿宋_GB2312" w:eastAsia="仿宋_GB2312" w:cs="仿宋_GB2312"/>
          <w:color w:val="000000" w:themeColor="text1"/>
          <w:sz w:val="32"/>
          <w:szCs w:val="32"/>
          <w14:textFill>
            <w14:solidFill>
              <w14:schemeClr w14:val="tx1"/>
            </w14:solidFill>
          </w14:textFill>
        </w:rPr>
        <w:t>接待</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过夜</w:t>
      </w:r>
      <w:r>
        <w:rPr>
          <w:rFonts w:hint="default" w:ascii="仿宋_GB2312" w:hAnsi="仿宋_GB2312" w:eastAsia="仿宋_GB2312" w:cs="仿宋_GB2312"/>
          <w:color w:val="000000" w:themeColor="text1"/>
          <w:sz w:val="32"/>
          <w:szCs w:val="32"/>
          <w14:textFill>
            <w14:solidFill>
              <w14:schemeClr w14:val="tx1"/>
            </w14:solidFill>
          </w14:textFill>
        </w:rPr>
        <w:t>游客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403.3万人次，比上年下降16.5%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仿宋_GB2312" w:hAnsi="仿宋_GB2312" w:eastAsia="仿宋_GB2312" w:cs="仿宋_GB2312"/>
          <w:color w:val="000000" w:themeColor="text1"/>
          <w:sz w:val="32"/>
          <w:szCs w:val="32"/>
          <w14:textFill>
            <w14:solidFill>
              <w14:schemeClr w14:val="tx1"/>
            </w14:solidFill>
          </w14:textFill>
        </w:rPr>
        <w:t>旅游</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总</w:t>
      </w:r>
      <w:r>
        <w:rPr>
          <w:rFonts w:hint="default" w:ascii="仿宋_GB2312" w:hAnsi="仿宋_GB2312" w:eastAsia="仿宋_GB2312" w:cs="仿宋_GB2312"/>
          <w:color w:val="000000" w:themeColor="text1"/>
          <w:sz w:val="32"/>
          <w:szCs w:val="32"/>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58.35亿元，下降</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19.1%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，其中，国内旅游收入58.24亿元，下降19.1%；国际旅游收入154.7万美元，下降0.6%</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。年末全市共有挂牌星级宾馆酒店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家，其中五星级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家，三星级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倾力打造旅游品牌。白石岭景区成功创建国家4A级旅游景区。潭门镇排港村、万泉镇光耀村（胜达农庄）成功创建海南省五椰级乡村旅游点。潭门镇排港村获评海南省五椰级乡村旅游点。潭门镇琼海无所归止民宿排港店获“建议市县给予铜宿”评定。潭门镇琼海牧渔晚歌民宿</w:t>
      </w:r>
      <w:r>
        <w:rPr>
          <w:rFonts w:hint="eastAsia" w:ascii="仿宋_GB2312" w:hAnsi="仿宋_GB2312" w:eastAsia="仿宋_GB2312" w:cs="仿宋_GB2312"/>
          <w:color w:val="000000" w:themeColor="text1"/>
          <w:sz w:val="32"/>
          <w:szCs w:val="32"/>
          <w14:textFill>
            <w14:solidFill>
              <w14:schemeClr w14:val="tx1"/>
            </w14:solidFill>
          </w14:textFill>
        </w:rPr>
        <w:t>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评</w:t>
      </w:r>
      <w:r>
        <w:rPr>
          <w:rFonts w:hint="eastAsia" w:ascii="仿宋_GB2312" w:hAnsi="仿宋_GB2312" w:eastAsia="仿宋_GB2312" w:cs="仿宋_GB2312"/>
          <w:color w:val="000000" w:themeColor="text1"/>
          <w:sz w:val="32"/>
          <w:szCs w:val="32"/>
          <w14:textFill>
            <w14:solidFill>
              <w14:schemeClr w14:val="tx1"/>
            </w14:solidFill>
          </w14:textFill>
        </w:rPr>
        <w:t>省级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银</w:t>
      </w:r>
      <w:r>
        <w:rPr>
          <w:rFonts w:hint="eastAsia" w:ascii="仿宋_GB2312" w:hAnsi="仿宋_GB2312" w:eastAsia="仿宋_GB2312" w:cs="仿宋_GB2312"/>
          <w:color w:val="000000" w:themeColor="text1"/>
          <w:sz w:val="32"/>
          <w:szCs w:val="32"/>
          <w14:textFill>
            <w14:solidFill>
              <w14:schemeClr w14:val="tx1"/>
            </w14:solidFill>
          </w14:textFill>
        </w:rPr>
        <w:t>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。目前，全市共有国家A级旅游景区10个，省级旅游度假区1个、椰级乡村点13个、全国乡村旅游重点镇1个、重点村4个、省级旅游小镇2个、全国甲级民宿1个、省级金银民宿6个。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年末全市共有医疗卫生机构291个，其中医院（卫生院）26个，农村乡（镇）卫生院15个，社区卫生服务中心（站）15个；疾病预防控制中心1个，妇幼保健院1个，专科疾病防治机构1个。年末卫生技术人员34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w:t>
      </w:r>
      <w:r>
        <w:rPr>
          <w:rFonts w:hint="eastAsia" w:ascii="仿宋_GB2312" w:hAnsi="仿宋_GB2312" w:eastAsia="仿宋_GB2312" w:cs="仿宋_GB2312"/>
          <w:color w:val="000000" w:themeColor="text1"/>
          <w:sz w:val="32"/>
          <w:szCs w:val="32"/>
          <w14:textFill>
            <w14:solidFill>
              <w14:schemeClr w14:val="tx1"/>
            </w14:solidFill>
          </w14:textFill>
        </w:rPr>
        <w:t>人，其中执业医师和执业助理医师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2567</w:t>
      </w:r>
      <w:r>
        <w:rPr>
          <w:rFonts w:hint="eastAsia" w:ascii="仿宋_GB2312" w:hAnsi="仿宋_GB2312" w:eastAsia="仿宋_GB2312" w:cs="仿宋_GB2312"/>
          <w:color w:val="000000" w:themeColor="text1"/>
          <w:sz w:val="32"/>
          <w:szCs w:val="32"/>
          <w14:textFill>
            <w14:solidFill>
              <w14:schemeClr w14:val="tx1"/>
            </w14:solidFill>
          </w14:textFill>
        </w:rPr>
        <w:t>人，注册护士16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w:t>
      </w:r>
      <w:r>
        <w:rPr>
          <w:rFonts w:hint="eastAsia" w:ascii="仿宋_GB2312" w:hAnsi="仿宋_GB2312" w:eastAsia="仿宋_GB2312" w:cs="仿宋_GB2312"/>
          <w:color w:val="000000" w:themeColor="text1"/>
          <w:sz w:val="32"/>
          <w:szCs w:val="32"/>
          <w14:textFill>
            <w14:solidFill>
              <w14:schemeClr w14:val="tx1"/>
            </w14:solidFill>
          </w14:textFill>
        </w:rPr>
        <w:t>人。医疗卫生机构床位1976张，其中医院（卫生院）1818张。全年总诊疗人次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332</w:t>
      </w:r>
      <w:r>
        <w:rPr>
          <w:rFonts w:hint="eastAsia" w:ascii="仿宋_GB2312" w:hAnsi="仿宋_GB2312" w:eastAsia="仿宋_GB2312" w:cs="仿宋_GB2312"/>
          <w:color w:val="000000" w:themeColor="text1"/>
          <w:sz w:val="32"/>
          <w:szCs w:val="32"/>
          <w14:textFill>
            <w14:solidFill>
              <w14:schemeClr w14:val="tx1"/>
            </w14:solidFill>
          </w14:textFill>
        </w:rPr>
        <w:t>万人次，出院人数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5.81</w:t>
      </w:r>
      <w:r>
        <w:rPr>
          <w:rFonts w:hint="eastAsia" w:ascii="仿宋_GB2312" w:hAnsi="仿宋_GB2312" w:eastAsia="仿宋_GB2312" w:cs="仿宋_GB2312"/>
          <w:color w:val="000000" w:themeColor="text1"/>
          <w:sz w:val="32"/>
          <w:szCs w:val="32"/>
          <w14:textFill>
            <w14:solidFill>
              <w14:schemeClr w14:val="tx1"/>
            </w14:solidFill>
          </w14:textFill>
        </w:rPr>
        <w:t>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体育事业健康发展。成功申办海南省第七届运动会。承办“中国体育彩票”杭州亚运会帆船项目选拔赛暨2022年全国水翼帆板＆风筝板冠军赛、2022首届CGA（海南）国际青少年大师赛和2022年全国滑水俱乐部巡回赛等大型体育赛事。积极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“喜迎二十大  建功自贸港”2022年琼海市“全民健身日”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系列</w:t>
      </w:r>
      <w:r>
        <w:rPr>
          <w:rFonts w:hint="eastAsia" w:ascii="仿宋_GB2312" w:hAnsi="仿宋_GB2312" w:eastAsia="仿宋_GB2312" w:cs="仿宋_GB2312"/>
          <w:color w:val="000000" w:themeColor="text1"/>
          <w:sz w:val="32"/>
          <w:szCs w:val="32"/>
          <w:lang w:eastAsia="zh-CN"/>
          <w14:textFill>
            <w14:solidFill>
              <w14:schemeClr w14:val="tx1"/>
            </w14:solidFill>
          </w14:textFill>
        </w:rPr>
        <w:t>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赛事、</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2022年筑城杯羽毛球比赛、2022海南“万泉向海”水上运动嘉年华比赛、2022年中原镇第七届“南洋杯”足球邀请赛、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2022年海外杯帆船赛</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、2022年海南美丽乡村绿色骑行琼海站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等一系列</w:t>
      </w:r>
      <w:r>
        <w:rPr>
          <w:rFonts w:hint="eastAsia" w:ascii="仿宋_GB2312" w:hAnsi="仿宋_GB2312" w:eastAsia="仿宋_GB2312" w:cs="仿宋_GB2312"/>
          <w:color w:val="000000" w:themeColor="text1"/>
          <w:sz w:val="32"/>
          <w:szCs w:val="32"/>
          <w14:textFill>
            <w14:solidFill>
              <w14:schemeClr w14:val="tx1"/>
            </w14:solidFill>
          </w14:textFill>
        </w:rPr>
        <w:t>全民健身活动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积极举办2022年琼海市气排球联赛、2022年博鳌国际青少年高尔夫大赛（IJGT）、杭州亚运会帆船选拔赛暨2022年全国风筝板大赛、2022年海南省国际跳棋公开赛、2022年全国滑水俱乐部巡回赛等竞技类体育赛事。</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left"/>
        <w:textAlignment w:val="auto"/>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十二、资源、环境和应急管理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全年全市规模以上工业综合能源消费量比上年增长22.1%。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全年全市造林绿化面积7388.4亩。森林覆盖率100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建成区绿地率35.8％。年度闲置土地处置率100%。全年全市环境空气质量优良率98.9%，其中PM2.5年均浓度为13.3微克/立方</w:t>
      </w:r>
      <w:r>
        <w:rPr>
          <w:rFonts w:hint="eastAsia" w:ascii="仿宋_GB2312" w:hAnsi="仿宋_GB2312" w:eastAsia="仿宋_GB2312" w:cs="仿宋_GB2312"/>
          <w:color w:val="000000" w:themeColor="text1"/>
          <w:sz w:val="32"/>
          <w:szCs w:val="32"/>
          <w14:textFill>
            <w14:solidFill>
              <w14:schemeClr w14:val="tx1"/>
            </w14:solidFill>
          </w14:textFill>
        </w:rPr>
        <w:t>米，PM10年均浓度为2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微克/立方米。城镇内河（湖）水污染治理完成比例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%。近岸海域水质优良率100%。城市饮用水水源地水质达标率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100%。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全市现有城镇污水处理设施（已建成）1个，年末城镇污水处理厂日处理能力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万立方米，城镇污水集中处理率1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04</w:t>
      </w:r>
      <w:r>
        <w:rPr>
          <w:rFonts w:hint="eastAsia" w:ascii="仿宋_GB2312" w:hAnsi="仿宋_GB2312" w:eastAsia="仿宋_GB2312" w:cs="仿宋_GB2312"/>
          <w:color w:val="000000" w:themeColor="text1"/>
          <w:sz w:val="32"/>
          <w:szCs w:val="32"/>
          <w14:textFill>
            <w14:solidFill>
              <w14:schemeClr w14:val="tx1"/>
            </w14:solidFill>
          </w14:textFill>
        </w:rPr>
        <w:t>%。城乡生活垃圾无害化处理率100%。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小标宋_GBK" w:hAnsi="方正小标宋_GBK" w:eastAsia="方正小标宋_GBK" w:cs="方正小标宋_GBK"/>
          <w:color w:val="0000FF"/>
          <w:sz w:val="32"/>
          <w:szCs w:val="32"/>
          <w:shd w:val="clear" w:color="auto" w:fill="FFFFFF"/>
        </w:rPr>
      </w:pPr>
      <w:r>
        <w:rPr>
          <w:rFonts w:hint="eastAsia" w:ascii="仿宋_GB2312" w:hAnsi="仿宋_GB2312" w:eastAsia="仿宋_GB2312" w:cs="仿宋_GB2312"/>
          <w:color w:val="000000" w:themeColor="text1"/>
          <w:sz w:val="32"/>
          <w:szCs w:val="32"/>
          <w14:textFill>
            <w14:solidFill>
              <w14:schemeClr w14:val="tx1"/>
            </w14:solidFill>
          </w14:textFill>
        </w:rPr>
        <w:t>全年全市发生生产安全事故8起，死亡1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人，比上年分别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下降46.7</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33.3</w:t>
      </w:r>
      <w:r>
        <w:rPr>
          <w:rFonts w:hint="eastAsia" w:ascii="仿宋_GB2312" w:hAnsi="仿宋_GB2312" w:eastAsia="仿宋_GB2312" w:cs="仿宋_GB2312"/>
          <w:color w:val="000000" w:themeColor="text1"/>
          <w:sz w:val="32"/>
          <w:szCs w:val="32"/>
          <w14:textFill>
            <w14:solidFill>
              <w14:schemeClr w14:val="tx1"/>
            </w14:solidFill>
          </w14:textFill>
        </w:rPr>
        <w:t>%。其中，生产经营性道路交通事故发生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起，死亡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人；工矿商贸生产经营性安全事故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起，死亡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人。亿元地区生产总值生产安全事故死亡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0.028</w:t>
      </w:r>
      <w:r>
        <w:rPr>
          <w:rFonts w:hint="eastAsia" w:ascii="仿宋_GB2312" w:hAnsi="仿宋_GB2312" w:eastAsia="仿宋_GB2312" w:cs="仿宋_GB2312"/>
          <w:color w:val="000000" w:themeColor="text1"/>
          <w:sz w:val="32"/>
          <w:szCs w:val="32"/>
          <w14:textFill>
            <w14:solidFill>
              <w14:schemeClr w14:val="tx1"/>
            </w14:solidFill>
          </w14:textFill>
        </w:rPr>
        <w:t>人，比上年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人。道路交通万车死亡率1.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7人/万车，比上年减少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35.9%</w:t>
      </w:r>
      <w:r>
        <w:rPr>
          <w:rFonts w:hint="eastAsia" w:ascii="仿宋_GB2312" w:hAnsi="仿宋_GB2312" w:eastAsia="仿宋_GB2312" w:cs="仿宋_GB2312"/>
          <w:color w:val="000000" w:themeColor="text1"/>
          <w:sz w:val="32"/>
          <w:szCs w:val="32"/>
          <w14:textFill>
            <w14:solidFill>
              <w14:schemeClr w14:val="tx1"/>
            </w14:solidFill>
          </w14:textFill>
        </w:rPr>
        <w:t>。全年投入救灾救济资金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22.01</w:t>
      </w:r>
      <w:r>
        <w:rPr>
          <w:rFonts w:hint="eastAsia" w:ascii="仿宋_GB2312" w:hAnsi="仿宋_GB2312" w:eastAsia="仿宋_GB2312" w:cs="仿宋_GB2312"/>
          <w:color w:val="000000" w:themeColor="text1"/>
          <w:sz w:val="32"/>
          <w:szCs w:val="32"/>
          <w14:textFill>
            <w14:solidFill>
              <w14:schemeClr w14:val="tx1"/>
            </w14:solidFill>
          </w14:textFill>
        </w:rPr>
        <w:t>万元。全年全市发生火灾事故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188</w:t>
      </w:r>
      <w:r>
        <w:rPr>
          <w:rFonts w:hint="eastAsia" w:ascii="仿宋_GB2312" w:hAnsi="仿宋_GB2312" w:eastAsia="仿宋_GB2312" w:cs="仿宋_GB2312"/>
          <w:color w:val="000000" w:themeColor="text1"/>
          <w:sz w:val="32"/>
          <w:szCs w:val="32"/>
          <w14:textFill>
            <w14:solidFill>
              <w14:schemeClr w14:val="tx1"/>
            </w14:solidFill>
          </w14:textFill>
        </w:rPr>
        <w:t>起，造成直接经济损失169.95万元。</w:t>
      </w:r>
    </w:p>
    <w:p>
      <w:pPr>
        <w:pStyle w:val="9"/>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t>注  释</w:t>
      </w:r>
    </w:p>
    <w:p>
      <w:pPr>
        <w:pStyle w:val="9"/>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1.本公报部分数据为初步统计数，部分数据为预计数，最终核实数以《琼海统计年鉴-202</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3</w:t>
      </w:r>
      <w:r>
        <w:rPr>
          <w:rFonts w:hint="eastAsia" w:asciiTheme="minorEastAsia" w:hAnsiTheme="minorEastAsia" w:cstheme="minorEastAsia"/>
          <w:color w:val="000000" w:themeColor="text1"/>
          <w:shd w:val="clear" w:color="auto" w:fill="FFFFFF"/>
          <w14:textFill>
            <w14:solidFill>
              <w14:schemeClr w14:val="tx1"/>
            </w14:solidFill>
          </w14:textFill>
        </w:rPr>
        <w:t>》公布的数据为准；</w:t>
      </w:r>
    </w:p>
    <w:p>
      <w:pPr>
        <w:pStyle w:val="9"/>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2.地区生产总值和各产业增加值绝对数按现行价格计算，增长速度按不变价格计算。根据《国民经济行业分类》（GB/T4754-2017）对三次产业进行划分。</w:t>
      </w:r>
    </w:p>
    <w:p>
      <w:pPr>
        <w:pStyle w:val="9"/>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3.本公报中部分指标合计数与分项数有出入主要是由于四舍五入的原因，均未作机械调整。</w:t>
      </w: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9"/>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t>资料来源</w:t>
      </w:r>
    </w:p>
    <w:p>
      <w:pPr>
        <w:pStyle w:val="9"/>
        <w:widowControl/>
        <w:shd w:val="clear" w:color="auto" w:fill="FFFFFF"/>
        <w:spacing w:beforeAutospacing="0" w:after="375"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本公报中巩固拓展脱贫攻坚成果防返贫数据来自市乡村振兴局，投资项目来自市发改委，财政数据来自市财政局，造林绿化面积</w:t>
      </w:r>
      <w:r>
        <w:rPr>
          <w:rFonts w:hint="eastAsia" w:asciiTheme="minorEastAsia" w:hAnsiTheme="minorEastAsia" w:cstheme="minorEastAsia"/>
          <w:color w:val="000000" w:themeColor="text1"/>
          <w:shd w:val="clear" w:color="auto" w:fill="FFFFFF"/>
          <w:lang w:eastAsia="zh-CN"/>
          <w14:textFill>
            <w14:solidFill>
              <w14:schemeClr w14:val="tx1"/>
            </w14:solidFill>
          </w14:textFill>
        </w:rPr>
        <w:t>、</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森林、土地</w:t>
      </w:r>
      <w:r>
        <w:rPr>
          <w:rFonts w:hint="eastAsia" w:asciiTheme="minorEastAsia" w:hAnsiTheme="minorEastAsia" w:cstheme="minorEastAsia"/>
          <w:color w:val="000000" w:themeColor="text1"/>
          <w:shd w:val="clear" w:color="auto" w:fill="FFFFFF"/>
          <w14:textFill>
            <w14:solidFill>
              <w14:schemeClr w14:val="tx1"/>
            </w14:solidFill>
          </w14:textFill>
        </w:rPr>
        <w:t>数据来自市资规局，乐城医疗数据来自乐城管理局，货物、旅客运输和周转量数据来自市交运局，高新技术企业、新能源汽车、5G基站数据来自市科工信局，会议会展、对外经济数据来自市商务局，保障性住房、城镇老旧小区改造、农村危房改造数据来自市住建局，建成区绿化、城</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乡</w:t>
      </w:r>
      <w:r>
        <w:rPr>
          <w:rFonts w:hint="eastAsia" w:asciiTheme="minorEastAsia" w:hAnsiTheme="minorEastAsia" w:cstheme="minorEastAsia"/>
          <w:color w:val="000000" w:themeColor="text1"/>
          <w:shd w:val="clear" w:color="auto" w:fill="FFFFFF"/>
          <w14:textFill>
            <w14:solidFill>
              <w14:schemeClr w14:val="tx1"/>
            </w14:solidFill>
          </w14:textFill>
        </w:rPr>
        <w:t>垃圾处理数据来自市综合执法局，城镇污水处理数据来自市水务局，社会救助数据来自市民政局，科技数据来自市市场监督管理局，教育数据来自市教育局，文化旅游体育等数据来自市旅文局，环境质量数据来自市生态环境局，安全生产、救灾救济数据来自市应急局，卫生数据来自市卫健委，就业、失业保险数据来自市就业局，社会保险数据来自市社保服务中心，医疗保险、医疗救助数据来自市医疗保障局，优抚对象数据来自市退役军人事务局，金融机构存贷款、证券期货交易额、股票数据来自人行琼海支行，银行业、保险业数据来自琼海银监办，道路交通数据来自市交通管理大队，火灾数据来自市消防救援支队，其他数据来自市统计局。</w:t>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IyODcwMzBmM2NiMTNhODljMjJkMmIwZTA2M2MifQ=="/>
    <w:docVar w:name="KSO_WPS_MARK_KEY" w:val="58e09e4e-f6e3-4f84-b15b-49c61d2b1530"/>
  </w:docVars>
  <w:rsids>
    <w:rsidRoot w:val="00172A27"/>
    <w:rsid w:val="000109AC"/>
    <w:rsid w:val="00012147"/>
    <w:rsid w:val="000176DB"/>
    <w:rsid w:val="00040000"/>
    <w:rsid w:val="00051163"/>
    <w:rsid w:val="00053663"/>
    <w:rsid w:val="00057093"/>
    <w:rsid w:val="00060285"/>
    <w:rsid w:val="00071112"/>
    <w:rsid w:val="00074997"/>
    <w:rsid w:val="00095A91"/>
    <w:rsid w:val="0010153B"/>
    <w:rsid w:val="00113801"/>
    <w:rsid w:val="001150B4"/>
    <w:rsid w:val="00157A5A"/>
    <w:rsid w:val="00173507"/>
    <w:rsid w:val="00185822"/>
    <w:rsid w:val="00193BC2"/>
    <w:rsid w:val="001D7B14"/>
    <w:rsid w:val="00210A9D"/>
    <w:rsid w:val="00255B96"/>
    <w:rsid w:val="00267770"/>
    <w:rsid w:val="002868CA"/>
    <w:rsid w:val="00292038"/>
    <w:rsid w:val="002D6A63"/>
    <w:rsid w:val="002E1148"/>
    <w:rsid w:val="002F2BEB"/>
    <w:rsid w:val="00301F29"/>
    <w:rsid w:val="003027CE"/>
    <w:rsid w:val="0032025E"/>
    <w:rsid w:val="00337AA2"/>
    <w:rsid w:val="00343153"/>
    <w:rsid w:val="003567A1"/>
    <w:rsid w:val="003711DB"/>
    <w:rsid w:val="00386A80"/>
    <w:rsid w:val="003938EF"/>
    <w:rsid w:val="003A1305"/>
    <w:rsid w:val="003A4F64"/>
    <w:rsid w:val="003A748C"/>
    <w:rsid w:val="003C580C"/>
    <w:rsid w:val="003D1D9B"/>
    <w:rsid w:val="003E04CA"/>
    <w:rsid w:val="003E287C"/>
    <w:rsid w:val="003F036D"/>
    <w:rsid w:val="00420452"/>
    <w:rsid w:val="00435310"/>
    <w:rsid w:val="0045145B"/>
    <w:rsid w:val="00451597"/>
    <w:rsid w:val="004559DD"/>
    <w:rsid w:val="004671DB"/>
    <w:rsid w:val="004A2FE1"/>
    <w:rsid w:val="004A6249"/>
    <w:rsid w:val="004B2861"/>
    <w:rsid w:val="004C21D6"/>
    <w:rsid w:val="004D11E8"/>
    <w:rsid w:val="004E045C"/>
    <w:rsid w:val="004F39C0"/>
    <w:rsid w:val="004F67F7"/>
    <w:rsid w:val="00522FCD"/>
    <w:rsid w:val="00536582"/>
    <w:rsid w:val="005856F5"/>
    <w:rsid w:val="00591FE1"/>
    <w:rsid w:val="005A1DBF"/>
    <w:rsid w:val="005B0B45"/>
    <w:rsid w:val="005B39CD"/>
    <w:rsid w:val="005C3826"/>
    <w:rsid w:val="005D4657"/>
    <w:rsid w:val="005E04D3"/>
    <w:rsid w:val="005E6BC2"/>
    <w:rsid w:val="005F1DD3"/>
    <w:rsid w:val="00634649"/>
    <w:rsid w:val="00635882"/>
    <w:rsid w:val="00640EB3"/>
    <w:rsid w:val="006416E0"/>
    <w:rsid w:val="00646DF1"/>
    <w:rsid w:val="006506D3"/>
    <w:rsid w:val="00662629"/>
    <w:rsid w:val="00676C12"/>
    <w:rsid w:val="00695FFD"/>
    <w:rsid w:val="006A183E"/>
    <w:rsid w:val="006C5EE8"/>
    <w:rsid w:val="006F57B6"/>
    <w:rsid w:val="00720826"/>
    <w:rsid w:val="00722A77"/>
    <w:rsid w:val="00731F21"/>
    <w:rsid w:val="00745643"/>
    <w:rsid w:val="00746C46"/>
    <w:rsid w:val="00773099"/>
    <w:rsid w:val="0079534D"/>
    <w:rsid w:val="00796E44"/>
    <w:rsid w:val="007E4301"/>
    <w:rsid w:val="007F3B72"/>
    <w:rsid w:val="0080620F"/>
    <w:rsid w:val="008359FD"/>
    <w:rsid w:val="0083604C"/>
    <w:rsid w:val="00840ED2"/>
    <w:rsid w:val="00844C6D"/>
    <w:rsid w:val="00862DAC"/>
    <w:rsid w:val="00885AC0"/>
    <w:rsid w:val="008873CD"/>
    <w:rsid w:val="008874F4"/>
    <w:rsid w:val="008A2E2C"/>
    <w:rsid w:val="008C432C"/>
    <w:rsid w:val="008F3D07"/>
    <w:rsid w:val="008F3F0A"/>
    <w:rsid w:val="008F42BF"/>
    <w:rsid w:val="00911C06"/>
    <w:rsid w:val="0092313C"/>
    <w:rsid w:val="009350BC"/>
    <w:rsid w:val="00942CD6"/>
    <w:rsid w:val="00944D19"/>
    <w:rsid w:val="0095216D"/>
    <w:rsid w:val="009743C0"/>
    <w:rsid w:val="009A50E9"/>
    <w:rsid w:val="009A5DC1"/>
    <w:rsid w:val="009B5DFE"/>
    <w:rsid w:val="009C3E78"/>
    <w:rsid w:val="009C47E3"/>
    <w:rsid w:val="009D5DFC"/>
    <w:rsid w:val="00A05926"/>
    <w:rsid w:val="00A53FFB"/>
    <w:rsid w:val="00A759EB"/>
    <w:rsid w:val="00A90CB2"/>
    <w:rsid w:val="00AB4378"/>
    <w:rsid w:val="00AC14E5"/>
    <w:rsid w:val="00AC38C2"/>
    <w:rsid w:val="00AD4D50"/>
    <w:rsid w:val="00AE25A6"/>
    <w:rsid w:val="00AF20F9"/>
    <w:rsid w:val="00B15AE4"/>
    <w:rsid w:val="00B44AA4"/>
    <w:rsid w:val="00B76A1C"/>
    <w:rsid w:val="00BB42AC"/>
    <w:rsid w:val="00BB49ED"/>
    <w:rsid w:val="00BC618E"/>
    <w:rsid w:val="00BD3215"/>
    <w:rsid w:val="00BE3F9A"/>
    <w:rsid w:val="00BF42C1"/>
    <w:rsid w:val="00C01347"/>
    <w:rsid w:val="00C12EAD"/>
    <w:rsid w:val="00C22A43"/>
    <w:rsid w:val="00C478D8"/>
    <w:rsid w:val="00C53BD9"/>
    <w:rsid w:val="00C5426B"/>
    <w:rsid w:val="00C55430"/>
    <w:rsid w:val="00C57855"/>
    <w:rsid w:val="00C60F8B"/>
    <w:rsid w:val="00C62778"/>
    <w:rsid w:val="00C630ED"/>
    <w:rsid w:val="00CA1247"/>
    <w:rsid w:val="00CE3753"/>
    <w:rsid w:val="00CE39C2"/>
    <w:rsid w:val="00D048EB"/>
    <w:rsid w:val="00D12E23"/>
    <w:rsid w:val="00D33D42"/>
    <w:rsid w:val="00D33F6A"/>
    <w:rsid w:val="00D40BD4"/>
    <w:rsid w:val="00D428B5"/>
    <w:rsid w:val="00D4712E"/>
    <w:rsid w:val="00D57F78"/>
    <w:rsid w:val="00D7691A"/>
    <w:rsid w:val="00D93449"/>
    <w:rsid w:val="00DA5928"/>
    <w:rsid w:val="00DE747F"/>
    <w:rsid w:val="00E24004"/>
    <w:rsid w:val="00E345A6"/>
    <w:rsid w:val="00E368C6"/>
    <w:rsid w:val="00E64049"/>
    <w:rsid w:val="00E859F5"/>
    <w:rsid w:val="00EB51F2"/>
    <w:rsid w:val="00EC6650"/>
    <w:rsid w:val="00EE78B5"/>
    <w:rsid w:val="00EF7CC4"/>
    <w:rsid w:val="00F11656"/>
    <w:rsid w:val="00F75005"/>
    <w:rsid w:val="00F804BA"/>
    <w:rsid w:val="00F841F0"/>
    <w:rsid w:val="00F94BBC"/>
    <w:rsid w:val="00F94E6A"/>
    <w:rsid w:val="00FA386E"/>
    <w:rsid w:val="00FF5C51"/>
    <w:rsid w:val="0153717C"/>
    <w:rsid w:val="01696D03"/>
    <w:rsid w:val="01FC6AF3"/>
    <w:rsid w:val="02322145"/>
    <w:rsid w:val="02D30A83"/>
    <w:rsid w:val="02E83254"/>
    <w:rsid w:val="03160B21"/>
    <w:rsid w:val="03461681"/>
    <w:rsid w:val="03E90772"/>
    <w:rsid w:val="03FE7BCE"/>
    <w:rsid w:val="04B16216"/>
    <w:rsid w:val="04CA2BDC"/>
    <w:rsid w:val="056D7EDB"/>
    <w:rsid w:val="059E1546"/>
    <w:rsid w:val="05E409C7"/>
    <w:rsid w:val="05EC252A"/>
    <w:rsid w:val="0669417D"/>
    <w:rsid w:val="066D4513"/>
    <w:rsid w:val="0742222F"/>
    <w:rsid w:val="07671328"/>
    <w:rsid w:val="0770794D"/>
    <w:rsid w:val="078C4F13"/>
    <w:rsid w:val="078F300F"/>
    <w:rsid w:val="07F328AE"/>
    <w:rsid w:val="08BD5113"/>
    <w:rsid w:val="08D720EE"/>
    <w:rsid w:val="09744EC8"/>
    <w:rsid w:val="09CF1BC0"/>
    <w:rsid w:val="09D01719"/>
    <w:rsid w:val="0A0F1415"/>
    <w:rsid w:val="0A6D7B38"/>
    <w:rsid w:val="0ACC6E41"/>
    <w:rsid w:val="0B104C38"/>
    <w:rsid w:val="0C5C5CF4"/>
    <w:rsid w:val="0C796D37"/>
    <w:rsid w:val="0CEF2C0F"/>
    <w:rsid w:val="0DA42EC9"/>
    <w:rsid w:val="0E3C0D52"/>
    <w:rsid w:val="0E9469EC"/>
    <w:rsid w:val="0F7F6B90"/>
    <w:rsid w:val="0FEA4360"/>
    <w:rsid w:val="10757085"/>
    <w:rsid w:val="10ED0F79"/>
    <w:rsid w:val="118612F1"/>
    <w:rsid w:val="11964800"/>
    <w:rsid w:val="11D30074"/>
    <w:rsid w:val="1282122C"/>
    <w:rsid w:val="12AB56A1"/>
    <w:rsid w:val="132B29B3"/>
    <w:rsid w:val="133E2532"/>
    <w:rsid w:val="135B1543"/>
    <w:rsid w:val="14337E9E"/>
    <w:rsid w:val="14BB09E7"/>
    <w:rsid w:val="157B77AD"/>
    <w:rsid w:val="15966EA2"/>
    <w:rsid w:val="15BD4B01"/>
    <w:rsid w:val="15F32F2F"/>
    <w:rsid w:val="15FA2F04"/>
    <w:rsid w:val="161866D6"/>
    <w:rsid w:val="16B343ED"/>
    <w:rsid w:val="16FB6C5D"/>
    <w:rsid w:val="16FD29E5"/>
    <w:rsid w:val="17161BCD"/>
    <w:rsid w:val="17494E6E"/>
    <w:rsid w:val="17C90ED7"/>
    <w:rsid w:val="17CE6BC6"/>
    <w:rsid w:val="18464363"/>
    <w:rsid w:val="1885028C"/>
    <w:rsid w:val="18C60F44"/>
    <w:rsid w:val="196374BC"/>
    <w:rsid w:val="19A97245"/>
    <w:rsid w:val="19D366A7"/>
    <w:rsid w:val="1A284625"/>
    <w:rsid w:val="1A5328A6"/>
    <w:rsid w:val="1A782BD1"/>
    <w:rsid w:val="1A9818E4"/>
    <w:rsid w:val="1C4F0AEB"/>
    <w:rsid w:val="1CCF177F"/>
    <w:rsid w:val="1E0761EC"/>
    <w:rsid w:val="1F224D22"/>
    <w:rsid w:val="1FE4013D"/>
    <w:rsid w:val="2000596A"/>
    <w:rsid w:val="2043643C"/>
    <w:rsid w:val="205954DC"/>
    <w:rsid w:val="20A14065"/>
    <w:rsid w:val="20EB299E"/>
    <w:rsid w:val="214051CA"/>
    <w:rsid w:val="23372615"/>
    <w:rsid w:val="23850E10"/>
    <w:rsid w:val="23A414B8"/>
    <w:rsid w:val="23BB708A"/>
    <w:rsid w:val="23EE2029"/>
    <w:rsid w:val="247D145B"/>
    <w:rsid w:val="257B78E8"/>
    <w:rsid w:val="25BA4171"/>
    <w:rsid w:val="26786A00"/>
    <w:rsid w:val="27177820"/>
    <w:rsid w:val="272A5FC5"/>
    <w:rsid w:val="27D47A7E"/>
    <w:rsid w:val="2834474A"/>
    <w:rsid w:val="288C38AC"/>
    <w:rsid w:val="29691044"/>
    <w:rsid w:val="299D5172"/>
    <w:rsid w:val="29ED6E20"/>
    <w:rsid w:val="29F37D1B"/>
    <w:rsid w:val="2A2D22E1"/>
    <w:rsid w:val="2B4B7599"/>
    <w:rsid w:val="2BCA0567"/>
    <w:rsid w:val="2C071743"/>
    <w:rsid w:val="2C5C4F83"/>
    <w:rsid w:val="2C912247"/>
    <w:rsid w:val="2CBD7298"/>
    <w:rsid w:val="2D2D5AE6"/>
    <w:rsid w:val="2D792EEB"/>
    <w:rsid w:val="2E6B49AB"/>
    <w:rsid w:val="2F076F75"/>
    <w:rsid w:val="2F9652B7"/>
    <w:rsid w:val="303D5733"/>
    <w:rsid w:val="305B07D6"/>
    <w:rsid w:val="307958F4"/>
    <w:rsid w:val="30844B3D"/>
    <w:rsid w:val="30865563"/>
    <w:rsid w:val="321F606A"/>
    <w:rsid w:val="328F69F2"/>
    <w:rsid w:val="32C87E4E"/>
    <w:rsid w:val="336930CF"/>
    <w:rsid w:val="33832011"/>
    <w:rsid w:val="33D53184"/>
    <w:rsid w:val="347C5EBC"/>
    <w:rsid w:val="34CC64E1"/>
    <w:rsid w:val="34D72A4E"/>
    <w:rsid w:val="350C3DEF"/>
    <w:rsid w:val="35CA7D0F"/>
    <w:rsid w:val="363B355F"/>
    <w:rsid w:val="364739E8"/>
    <w:rsid w:val="369844CD"/>
    <w:rsid w:val="36E21366"/>
    <w:rsid w:val="37692CB3"/>
    <w:rsid w:val="39A64CD9"/>
    <w:rsid w:val="39FD77D9"/>
    <w:rsid w:val="3AD267E6"/>
    <w:rsid w:val="3AD84098"/>
    <w:rsid w:val="3B377147"/>
    <w:rsid w:val="3BF0101A"/>
    <w:rsid w:val="3C535E5E"/>
    <w:rsid w:val="3CB250E9"/>
    <w:rsid w:val="3CB570FE"/>
    <w:rsid w:val="3CBE6309"/>
    <w:rsid w:val="3CF14EFA"/>
    <w:rsid w:val="3DB55EFD"/>
    <w:rsid w:val="3E3E52AA"/>
    <w:rsid w:val="3E7A22A6"/>
    <w:rsid w:val="3EB924F2"/>
    <w:rsid w:val="3ED00568"/>
    <w:rsid w:val="3F413317"/>
    <w:rsid w:val="3FDB5C96"/>
    <w:rsid w:val="3FF56F3E"/>
    <w:rsid w:val="40660886"/>
    <w:rsid w:val="407611E3"/>
    <w:rsid w:val="40C31CC2"/>
    <w:rsid w:val="40E126CF"/>
    <w:rsid w:val="41512C34"/>
    <w:rsid w:val="418878DA"/>
    <w:rsid w:val="41BB6F81"/>
    <w:rsid w:val="41EE0F83"/>
    <w:rsid w:val="420F6469"/>
    <w:rsid w:val="42170C1B"/>
    <w:rsid w:val="42A15857"/>
    <w:rsid w:val="435A5FDB"/>
    <w:rsid w:val="435E4B8F"/>
    <w:rsid w:val="447A1697"/>
    <w:rsid w:val="44B2296B"/>
    <w:rsid w:val="44B51BB1"/>
    <w:rsid w:val="457F2A0F"/>
    <w:rsid w:val="46301337"/>
    <w:rsid w:val="46806EC2"/>
    <w:rsid w:val="46A832CD"/>
    <w:rsid w:val="46C459CB"/>
    <w:rsid w:val="471807AD"/>
    <w:rsid w:val="471C3E9C"/>
    <w:rsid w:val="47D80C81"/>
    <w:rsid w:val="483503B2"/>
    <w:rsid w:val="485C1842"/>
    <w:rsid w:val="48B20897"/>
    <w:rsid w:val="498B5FBA"/>
    <w:rsid w:val="49EC0814"/>
    <w:rsid w:val="4A4A0D21"/>
    <w:rsid w:val="4ABB7DC2"/>
    <w:rsid w:val="4B8D3E74"/>
    <w:rsid w:val="4BD752D3"/>
    <w:rsid w:val="4BDB6507"/>
    <w:rsid w:val="4BEB57F7"/>
    <w:rsid w:val="4C0716A3"/>
    <w:rsid w:val="4D567C7E"/>
    <w:rsid w:val="4D744307"/>
    <w:rsid w:val="4D7A7388"/>
    <w:rsid w:val="4DC90B68"/>
    <w:rsid w:val="4DD44688"/>
    <w:rsid w:val="4DEF0378"/>
    <w:rsid w:val="4E845A93"/>
    <w:rsid w:val="4ED16403"/>
    <w:rsid w:val="4EE763B9"/>
    <w:rsid w:val="4F6133B7"/>
    <w:rsid w:val="4F8157BD"/>
    <w:rsid w:val="4FE37F89"/>
    <w:rsid w:val="516C4E0B"/>
    <w:rsid w:val="519117B4"/>
    <w:rsid w:val="51E66270"/>
    <w:rsid w:val="52EB5CD5"/>
    <w:rsid w:val="534B763C"/>
    <w:rsid w:val="537B1C37"/>
    <w:rsid w:val="53BF251B"/>
    <w:rsid w:val="54035676"/>
    <w:rsid w:val="542D5C77"/>
    <w:rsid w:val="544B1C82"/>
    <w:rsid w:val="55972E32"/>
    <w:rsid w:val="564D0B14"/>
    <w:rsid w:val="5741067D"/>
    <w:rsid w:val="57BC55C5"/>
    <w:rsid w:val="58240F80"/>
    <w:rsid w:val="58AC65F4"/>
    <w:rsid w:val="59317DEF"/>
    <w:rsid w:val="593566E9"/>
    <w:rsid w:val="59443E40"/>
    <w:rsid w:val="59736593"/>
    <w:rsid w:val="59900A76"/>
    <w:rsid w:val="59E20D5C"/>
    <w:rsid w:val="59FC4822"/>
    <w:rsid w:val="5A037804"/>
    <w:rsid w:val="5A2A3674"/>
    <w:rsid w:val="5A341FEC"/>
    <w:rsid w:val="5A533C21"/>
    <w:rsid w:val="5ACA6FAA"/>
    <w:rsid w:val="5AD17F87"/>
    <w:rsid w:val="5B283C3C"/>
    <w:rsid w:val="5B2B3B0A"/>
    <w:rsid w:val="5B76387C"/>
    <w:rsid w:val="5BB128D2"/>
    <w:rsid w:val="5BB61B6F"/>
    <w:rsid w:val="5BE80F91"/>
    <w:rsid w:val="5BEA0E37"/>
    <w:rsid w:val="5BFD3E6D"/>
    <w:rsid w:val="5C7C3F61"/>
    <w:rsid w:val="5CB862E4"/>
    <w:rsid w:val="5CED0FBA"/>
    <w:rsid w:val="5CF106DF"/>
    <w:rsid w:val="5D246925"/>
    <w:rsid w:val="5DF867DD"/>
    <w:rsid w:val="5E086705"/>
    <w:rsid w:val="5E0F60B1"/>
    <w:rsid w:val="5E162CE7"/>
    <w:rsid w:val="5F3F2D02"/>
    <w:rsid w:val="5F491C4E"/>
    <w:rsid w:val="5F6D7E98"/>
    <w:rsid w:val="5FC64B86"/>
    <w:rsid w:val="601018BE"/>
    <w:rsid w:val="60302DE2"/>
    <w:rsid w:val="603E670B"/>
    <w:rsid w:val="60532435"/>
    <w:rsid w:val="60556F44"/>
    <w:rsid w:val="61243AF6"/>
    <w:rsid w:val="616A39F8"/>
    <w:rsid w:val="61A84B02"/>
    <w:rsid w:val="61A86268"/>
    <w:rsid w:val="61B66372"/>
    <w:rsid w:val="61D308A1"/>
    <w:rsid w:val="627D72D4"/>
    <w:rsid w:val="627F68C5"/>
    <w:rsid w:val="6291049F"/>
    <w:rsid w:val="63D542F8"/>
    <w:rsid w:val="640C0C27"/>
    <w:rsid w:val="641558A2"/>
    <w:rsid w:val="641902EB"/>
    <w:rsid w:val="64347F8C"/>
    <w:rsid w:val="644934EF"/>
    <w:rsid w:val="64571C4E"/>
    <w:rsid w:val="646E0C39"/>
    <w:rsid w:val="65A059FA"/>
    <w:rsid w:val="65B648F6"/>
    <w:rsid w:val="66580774"/>
    <w:rsid w:val="66B87F58"/>
    <w:rsid w:val="66E26DFB"/>
    <w:rsid w:val="67C61772"/>
    <w:rsid w:val="67F8502C"/>
    <w:rsid w:val="682E4E14"/>
    <w:rsid w:val="68D15451"/>
    <w:rsid w:val="68F85E61"/>
    <w:rsid w:val="69622F0D"/>
    <w:rsid w:val="69BF1287"/>
    <w:rsid w:val="69CD3DDA"/>
    <w:rsid w:val="69F34A25"/>
    <w:rsid w:val="69FB134C"/>
    <w:rsid w:val="6A253CDA"/>
    <w:rsid w:val="6A667BA0"/>
    <w:rsid w:val="6ACC12AA"/>
    <w:rsid w:val="6B473625"/>
    <w:rsid w:val="6BD407F6"/>
    <w:rsid w:val="6BF70C11"/>
    <w:rsid w:val="6C120DEE"/>
    <w:rsid w:val="6C8746A5"/>
    <w:rsid w:val="6D3764E7"/>
    <w:rsid w:val="6D6E13CA"/>
    <w:rsid w:val="6DE504F6"/>
    <w:rsid w:val="6E2A16E5"/>
    <w:rsid w:val="6E3F6517"/>
    <w:rsid w:val="6ED57F84"/>
    <w:rsid w:val="6EDE4900"/>
    <w:rsid w:val="6F6C3FBD"/>
    <w:rsid w:val="702A4277"/>
    <w:rsid w:val="70570A83"/>
    <w:rsid w:val="70577AFD"/>
    <w:rsid w:val="70893414"/>
    <w:rsid w:val="70CF7B35"/>
    <w:rsid w:val="712D0DBA"/>
    <w:rsid w:val="714E2657"/>
    <w:rsid w:val="72B51D66"/>
    <w:rsid w:val="73421894"/>
    <w:rsid w:val="741119B3"/>
    <w:rsid w:val="741C1783"/>
    <w:rsid w:val="74685B08"/>
    <w:rsid w:val="749939C5"/>
    <w:rsid w:val="74EE481B"/>
    <w:rsid w:val="74F64203"/>
    <w:rsid w:val="753B20B0"/>
    <w:rsid w:val="755651A4"/>
    <w:rsid w:val="75754E27"/>
    <w:rsid w:val="75790F49"/>
    <w:rsid w:val="75C87998"/>
    <w:rsid w:val="761A5D64"/>
    <w:rsid w:val="76517F3F"/>
    <w:rsid w:val="767E6029"/>
    <w:rsid w:val="76C342FE"/>
    <w:rsid w:val="76C71711"/>
    <w:rsid w:val="77AD302A"/>
    <w:rsid w:val="77AF6B4D"/>
    <w:rsid w:val="78420144"/>
    <w:rsid w:val="78615C19"/>
    <w:rsid w:val="79706C4A"/>
    <w:rsid w:val="79A261A1"/>
    <w:rsid w:val="79BA03BF"/>
    <w:rsid w:val="79D54E87"/>
    <w:rsid w:val="7AC72A44"/>
    <w:rsid w:val="7AFC1EDC"/>
    <w:rsid w:val="7B38103B"/>
    <w:rsid w:val="7B574B81"/>
    <w:rsid w:val="7BD00161"/>
    <w:rsid w:val="7C000104"/>
    <w:rsid w:val="7C0257F0"/>
    <w:rsid w:val="7C2041AC"/>
    <w:rsid w:val="7C5232F5"/>
    <w:rsid w:val="7CF35F0B"/>
    <w:rsid w:val="7D5954FA"/>
    <w:rsid w:val="7D69448E"/>
    <w:rsid w:val="7D7C0B1C"/>
    <w:rsid w:val="7D8E681D"/>
    <w:rsid w:val="7DB740E8"/>
    <w:rsid w:val="7DC9391A"/>
    <w:rsid w:val="7DD93C31"/>
    <w:rsid w:val="7EAB2C65"/>
    <w:rsid w:val="7EFF1EAB"/>
    <w:rsid w:val="7FEC2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pPr>
    <w:rPr>
      <w:rFonts w:ascii="Arial" w:hAnsi="Arial" w:eastAsia="宋体" w:cs="Times New Roman"/>
      <w:sz w:val="24"/>
    </w:rPr>
  </w:style>
  <w:style w:type="paragraph" w:styleId="4">
    <w:name w:val="Body Text"/>
    <w:basedOn w:val="1"/>
    <w:next w:val="5"/>
    <w:qFormat/>
    <w:uiPriority w:val="0"/>
    <w:pPr>
      <w:spacing w:after="120" w:line="360" w:lineRule="auto"/>
    </w:pPr>
    <w:rPr>
      <w:rFonts w:eastAsia="华文中宋"/>
      <w:sz w:val="36"/>
    </w:rPr>
  </w:style>
  <w:style w:type="paragraph" w:styleId="5">
    <w:name w:val="Title"/>
    <w:basedOn w:val="1"/>
    <w:next w:val="1"/>
    <w:qFormat/>
    <w:uiPriority w:val="0"/>
    <w:pPr>
      <w:spacing w:afterLines="100"/>
      <w:jc w:val="center"/>
      <w:outlineLvl w:val="0"/>
    </w:pPr>
    <w:rPr>
      <w:rFonts w:ascii="Arial" w:hAnsi="Arial" w:eastAsia="方正小标宋_GBK"/>
      <w:kern w:val="0"/>
      <w:sz w:val="24"/>
    </w:rPr>
  </w:style>
  <w:style w:type="paragraph" w:styleId="6">
    <w:name w:val="Body Text Indent"/>
    <w:basedOn w:val="1"/>
    <w:unhideWhenUsed/>
    <w:qFormat/>
    <w:uiPriority w:val="0"/>
    <w:pPr>
      <w:spacing w:line="480" w:lineRule="exact"/>
      <w:ind w:firstLine="600"/>
    </w:pPr>
    <w:rPr>
      <w:rFonts w:eastAsia="黑体"/>
      <w:bCs/>
      <w:sz w:val="3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6"/>
    <w:qFormat/>
    <w:uiPriority w:val="0"/>
    <w:pPr>
      <w:ind w:firstLine="420"/>
    </w:pPr>
    <w:rPr>
      <w:szCs w:val="21"/>
    </w:rPr>
  </w:style>
  <w:style w:type="character" w:styleId="13">
    <w:name w:val="Strong"/>
    <w:basedOn w:val="12"/>
    <w:qFormat/>
    <w:uiPriority w:val="22"/>
    <w:rPr>
      <w:b/>
    </w:rPr>
  </w:style>
  <w:style w:type="character" w:styleId="14">
    <w:name w:val="FollowedHyperlink"/>
    <w:basedOn w:val="12"/>
    <w:qFormat/>
    <w:uiPriority w:val="0"/>
    <w:rPr>
      <w:color w:val="434343"/>
      <w:u w:val="none"/>
    </w:rPr>
  </w:style>
  <w:style w:type="character" w:styleId="15">
    <w:name w:val="Emphasis"/>
    <w:basedOn w:val="12"/>
    <w:qFormat/>
    <w:uiPriority w:val="0"/>
  </w:style>
  <w:style w:type="character" w:styleId="16">
    <w:name w:val="Hyperlink"/>
    <w:basedOn w:val="12"/>
    <w:qFormat/>
    <w:uiPriority w:val="0"/>
    <w:rPr>
      <w:color w:val="434343"/>
      <w:u w:val="none"/>
    </w:rPr>
  </w:style>
  <w:style w:type="paragraph" w:customStyle="1" w:styleId="17">
    <w:name w:val="海南化工城正文"/>
    <w:basedOn w:val="1"/>
    <w:qFormat/>
    <w:uiPriority w:val="0"/>
    <w:pPr>
      <w:spacing w:line="324" w:lineRule="auto"/>
      <w:ind w:firstLine="480" w:firstLineChars="200"/>
    </w:pPr>
    <w:rPr>
      <w:rFonts w:ascii="宋体" w:hAnsi="宋体" w:cs="宋体"/>
      <w:sz w:val="24"/>
      <w:szCs w:val="20"/>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
    <w:name w:val="xtb-fr-19"/>
    <w:basedOn w:val="12"/>
    <w:qFormat/>
    <w:uiPriority w:val="0"/>
  </w:style>
  <w:style w:type="character" w:customStyle="1" w:styleId="20">
    <w:name w:val="zx-span5"/>
    <w:basedOn w:val="12"/>
    <w:qFormat/>
    <w:uiPriority w:val="0"/>
  </w:style>
  <w:style w:type="character" w:customStyle="1" w:styleId="21">
    <w:name w:val="r-5-l-sp2"/>
    <w:basedOn w:val="12"/>
    <w:qFormat/>
    <w:uiPriority w:val="0"/>
  </w:style>
  <w:style w:type="character" w:customStyle="1" w:styleId="22">
    <w:name w:val="xtb-fr-08"/>
    <w:basedOn w:val="12"/>
    <w:qFormat/>
    <w:uiPriority w:val="0"/>
  </w:style>
  <w:style w:type="character" w:customStyle="1" w:styleId="23">
    <w:name w:val="zy-fr-bj6"/>
    <w:basedOn w:val="12"/>
    <w:qFormat/>
    <w:uiPriority w:val="0"/>
  </w:style>
  <w:style w:type="character" w:customStyle="1" w:styleId="24">
    <w:name w:val="zx-xuan4"/>
    <w:basedOn w:val="12"/>
    <w:qFormat/>
    <w:uiPriority w:val="0"/>
    <w:rPr>
      <w:shd w:val="clear" w:color="auto" w:fill="FFFFFF"/>
    </w:rPr>
  </w:style>
  <w:style w:type="character" w:customStyle="1" w:styleId="25">
    <w:name w:val="zx-xuan41"/>
    <w:basedOn w:val="12"/>
    <w:qFormat/>
    <w:uiPriority w:val="0"/>
    <w:rPr>
      <w:shd w:val="clear" w:color="auto" w:fill="FFFFFF"/>
    </w:rPr>
  </w:style>
  <w:style w:type="character" w:customStyle="1" w:styleId="26">
    <w:name w:val="xtb-fr-13"/>
    <w:basedOn w:val="12"/>
    <w:qFormat/>
    <w:uiPriority w:val="0"/>
  </w:style>
  <w:style w:type="character" w:customStyle="1" w:styleId="27">
    <w:name w:val="hover106"/>
    <w:basedOn w:val="12"/>
    <w:qFormat/>
    <w:uiPriority w:val="0"/>
    <w:rPr>
      <w:shd w:val="clear" w:color="auto" w:fill="A40000"/>
    </w:rPr>
  </w:style>
  <w:style w:type="character" w:customStyle="1" w:styleId="28">
    <w:name w:val="hover107"/>
    <w:basedOn w:val="12"/>
    <w:qFormat/>
    <w:uiPriority w:val="0"/>
    <w:rPr>
      <w:color w:val="CA1C1D"/>
    </w:rPr>
  </w:style>
  <w:style w:type="character" w:customStyle="1" w:styleId="29">
    <w:name w:val="bsfw-sp2"/>
    <w:basedOn w:val="12"/>
    <w:qFormat/>
    <w:uiPriority w:val="0"/>
  </w:style>
  <w:style w:type="character" w:customStyle="1" w:styleId="30">
    <w:name w:val="bsfw-sp21"/>
    <w:basedOn w:val="12"/>
    <w:qFormat/>
    <w:uiPriority w:val="0"/>
    <w:rPr>
      <w:color w:val="FFFFFF"/>
      <w:shd w:val="clear" w:color="auto" w:fill="CA1C1D"/>
    </w:rPr>
  </w:style>
  <w:style w:type="character" w:customStyle="1" w:styleId="31">
    <w:name w:val="bsfw-sp1"/>
    <w:basedOn w:val="12"/>
    <w:qFormat/>
    <w:uiPriority w:val="0"/>
  </w:style>
  <w:style w:type="character" w:customStyle="1" w:styleId="32">
    <w:name w:val="bsfw-sp11"/>
    <w:basedOn w:val="12"/>
    <w:qFormat/>
    <w:uiPriority w:val="0"/>
    <w:rPr>
      <w:color w:val="FFFFFF"/>
      <w:shd w:val="clear" w:color="auto" w:fill="CA1C1D"/>
    </w:rPr>
  </w:style>
  <w:style w:type="character" w:customStyle="1" w:styleId="33">
    <w:name w:val="bsfw-sp3"/>
    <w:basedOn w:val="12"/>
    <w:qFormat/>
    <w:uiPriority w:val="0"/>
  </w:style>
  <w:style w:type="character" w:customStyle="1" w:styleId="34">
    <w:name w:val="bsfw-sp31"/>
    <w:basedOn w:val="12"/>
    <w:qFormat/>
    <w:uiPriority w:val="0"/>
    <w:rPr>
      <w:color w:val="FFFFFF"/>
      <w:shd w:val="clear" w:color="auto" w:fill="CA1C1D"/>
    </w:rPr>
  </w:style>
  <w:style w:type="character" w:customStyle="1" w:styleId="35">
    <w:name w:val="zx-span3"/>
    <w:basedOn w:val="12"/>
    <w:qFormat/>
    <w:uiPriority w:val="0"/>
  </w:style>
  <w:style w:type="character" w:customStyle="1" w:styleId="36">
    <w:name w:val="zx-span2"/>
    <w:basedOn w:val="12"/>
    <w:qFormat/>
    <w:uiPriority w:val="0"/>
  </w:style>
  <w:style w:type="character" w:customStyle="1" w:styleId="37">
    <w:name w:val="zx-span21"/>
    <w:basedOn w:val="12"/>
    <w:qFormat/>
    <w:uiPriority w:val="0"/>
    <w:rPr>
      <w:color w:val="FFFFFF"/>
    </w:rPr>
  </w:style>
  <w:style w:type="character" w:customStyle="1" w:styleId="38">
    <w:name w:val="zy-fr-bj3"/>
    <w:basedOn w:val="12"/>
    <w:qFormat/>
    <w:uiPriority w:val="0"/>
  </w:style>
  <w:style w:type="character" w:customStyle="1" w:styleId="39">
    <w:name w:val="zy-fr-bj9"/>
    <w:basedOn w:val="12"/>
    <w:qFormat/>
    <w:uiPriority w:val="0"/>
  </w:style>
  <w:style w:type="character" w:customStyle="1" w:styleId="40">
    <w:name w:val="zy-fr-bj17"/>
    <w:basedOn w:val="12"/>
    <w:qFormat/>
    <w:uiPriority w:val="0"/>
  </w:style>
  <w:style w:type="character" w:customStyle="1" w:styleId="41">
    <w:name w:val="zy-gr-bj20"/>
    <w:basedOn w:val="12"/>
    <w:qFormat/>
    <w:uiPriority w:val="0"/>
  </w:style>
  <w:style w:type="character" w:customStyle="1" w:styleId="42">
    <w:name w:val="r-5-l-sp3"/>
    <w:basedOn w:val="12"/>
    <w:qFormat/>
    <w:uiPriority w:val="0"/>
  </w:style>
  <w:style w:type="character" w:customStyle="1" w:styleId="43">
    <w:name w:val="hdjl-x-l-x-sp3"/>
    <w:basedOn w:val="12"/>
    <w:qFormat/>
    <w:uiPriority w:val="0"/>
    <w:rPr>
      <w:color w:val="BFBFBF"/>
      <w:sz w:val="14"/>
      <w:szCs w:val="14"/>
    </w:rPr>
  </w:style>
  <w:style w:type="character" w:customStyle="1" w:styleId="44">
    <w:name w:val="zx-span4"/>
    <w:basedOn w:val="12"/>
    <w:qFormat/>
    <w:uiPriority w:val="0"/>
  </w:style>
  <w:style w:type="character" w:customStyle="1" w:styleId="45">
    <w:name w:val="zx-span41"/>
    <w:basedOn w:val="12"/>
    <w:qFormat/>
    <w:uiPriority w:val="0"/>
    <w:rPr>
      <w:color w:val="FFFFFF"/>
    </w:rPr>
  </w:style>
  <w:style w:type="character" w:customStyle="1" w:styleId="46">
    <w:name w:val="zy-gr-bj17"/>
    <w:basedOn w:val="12"/>
    <w:qFormat/>
    <w:uiPriority w:val="0"/>
  </w:style>
  <w:style w:type="character" w:customStyle="1" w:styleId="47">
    <w:name w:val="zx-span1"/>
    <w:basedOn w:val="12"/>
    <w:qFormat/>
    <w:uiPriority w:val="0"/>
  </w:style>
  <w:style w:type="character" w:customStyle="1" w:styleId="48">
    <w:name w:val="zx-span11"/>
    <w:basedOn w:val="12"/>
    <w:qFormat/>
    <w:uiPriority w:val="0"/>
    <w:rPr>
      <w:color w:val="FFFFFF"/>
    </w:rPr>
  </w:style>
  <w:style w:type="character" w:customStyle="1" w:styleId="49">
    <w:name w:val="zwfw-sp2"/>
    <w:basedOn w:val="12"/>
    <w:qFormat/>
    <w:uiPriority w:val="0"/>
  </w:style>
  <w:style w:type="character" w:customStyle="1" w:styleId="50">
    <w:name w:val="ndata"/>
    <w:basedOn w:val="12"/>
    <w:qFormat/>
    <w:uiPriority w:val="0"/>
    <w:rPr>
      <w:color w:val="AAAAAA"/>
    </w:rPr>
  </w:style>
  <w:style w:type="character" w:customStyle="1" w:styleId="51">
    <w:name w:val="zy-gr-bj21"/>
    <w:basedOn w:val="12"/>
    <w:qFormat/>
    <w:uiPriority w:val="0"/>
  </w:style>
  <w:style w:type="character" w:customStyle="1" w:styleId="52">
    <w:name w:val="zy-fr-bj30"/>
    <w:basedOn w:val="12"/>
    <w:qFormat/>
    <w:uiPriority w:val="0"/>
  </w:style>
  <w:style w:type="character" w:customStyle="1" w:styleId="53">
    <w:name w:val="r-5-l-sp1"/>
    <w:basedOn w:val="12"/>
    <w:qFormat/>
    <w:uiPriority w:val="0"/>
  </w:style>
  <w:style w:type="character" w:customStyle="1" w:styleId="54">
    <w:name w:val="xtb-gr-08"/>
    <w:basedOn w:val="12"/>
    <w:qFormat/>
    <w:uiPriority w:val="0"/>
  </w:style>
  <w:style w:type="character" w:customStyle="1" w:styleId="55">
    <w:name w:val="hdjl-x-l-m-sp4"/>
    <w:basedOn w:val="12"/>
    <w:qFormat/>
    <w:uiPriority w:val="0"/>
  </w:style>
  <w:style w:type="character" w:customStyle="1" w:styleId="56">
    <w:name w:val="zx-xuan15"/>
    <w:basedOn w:val="12"/>
    <w:qFormat/>
    <w:uiPriority w:val="0"/>
    <w:rPr>
      <w:color w:val="FFFFFF"/>
    </w:rPr>
  </w:style>
  <w:style w:type="character" w:customStyle="1" w:styleId="57">
    <w:name w:val="xtb-fr-16"/>
    <w:basedOn w:val="12"/>
    <w:qFormat/>
    <w:uiPriority w:val="0"/>
  </w:style>
  <w:style w:type="character" w:customStyle="1" w:styleId="58">
    <w:name w:val="zy-fr-bj28"/>
    <w:basedOn w:val="12"/>
    <w:qFormat/>
    <w:uiPriority w:val="0"/>
  </w:style>
  <w:style w:type="character" w:customStyle="1" w:styleId="59">
    <w:name w:val="hdjl-x-l-m-sp3"/>
    <w:basedOn w:val="12"/>
    <w:qFormat/>
    <w:uiPriority w:val="0"/>
  </w:style>
  <w:style w:type="character" w:customStyle="1" w:styleId="60">
    <w:name w:val="hdjl-x-l-x-sp1"/>
    <w:basedOn w:val="12"/>
    <w:qFormat/>
    <w:uiPriority w:val="0"/>
    <w:rPr>
      <w:color w:val="BFBFBF"/>
      <w:sz w:val="19"/>
      <w:szCs w:val="19"/>
    </w:rPr>
  </w:style>
  <w:style w:type="character" w:customStyle="1" w:styleId="61">
    <w:name w:val="xtb-fr-07"/>
    <w:basedOn w:val="12"/>
    <w:qFormat/>
    <w:uiPriority w:val="0"/>
  </w:style>
  <w:style w:type="character" w:customStyle="1" w:styleId="62">
    <w:name w:val="hdjl-x-l-m-sp1"/>
    <w:basedOn w:val="12"/>
    <w:qFormat/>
    <w:uiPriority w:val="0"/>
  </w:style>
  <w:style w:type="character" w:customStyle="1" w:styleId="63">
    <w:name w:val="hdjl-x-l-m-sp2"/>
    <w:basedOn w:val="12"/>
    <w:qFormat/>
    <w:uiPriority w:val="0"/>
  </w:style>
  <w:style w:type="character" w:customStyle="1" w:styleId="64">
    <w:name w:val="xtb-gr-02"/>
    <w:basedOn w:val="12"/>
    <w:qFormat/>
    <w:uiPriority w:val="0"/>
  </w:style>
  <w:style w:type="character" w:customStyle="1" w:styleId="65">
    <w:name w:val="xtb-fr-23"/>
    <w:basedOn w:val="12"/>
    <w:qFormat/>
    <w:uiPriority w:val="0"/>
  </w:style>
  <w:style w:type="character" w:customStyle="1" w:styleId="66">
    <w:name w:val="hdxdata"/>
    <w:basedOn w:val="12"/>
    <w:qFormat/>
    <w:uiPriority w:val="0"/>
  </w:style>
  <w:style w:type="character" w:customStyle="1" w:styleId="67">
    <w:name w:val="xtb-gr-18"/>
    <w:basedOn w:val="12"/>
    <w:qFormat/>
    <w:uiPriority w:val="0"/>
  </w:style>
  <w:style w:type="character" w:customStyle="1" w:styleId="68">
    <w:name w:val="xtb-gr-15"/>
    <w:basedOn w:val="12"/>
    <w:qFormat/>
    <w:uiPriority w:val="0"/>
  </w:style>
  <w:style w:type="character" w:customStyle="1" w:styleId="69">
    <w:name w:val="xtb-fr-10"/>
    <w:basedOn w:val="12"/>
    <w:qFormat/>
    <w:uiPriority w:val="0"/>
  </w:style>
  <w:style w:type="character" w:customStyle="1" w:styleId="70">
    <w:name w:val="xtb-fr-09"/>
    <w:basedOn w:val="12"/>
    <w:qFormat/>
    <w:uiPriority w:val="0"/>
  </w:style>
  <w:style w:type="character" w:customStyle="1" w:styleId="71">
    <w:name w:val="xtb-gr-01"/>
    <w:basedOn w:val="12"/>
    <w:qFormat/>
    <w:uiPriority w:val="0"/>
  </w:style>
  <w:style w:type="character" w:customStyle="1" w:styleId="72">
    <w:name w:val="xtb-gr-07"/>
    <w:basedOn w:val="12"/>
    <w:qFormat/>
    <w:uiPriority w:val="0"/>
  </w:style>
  <w:style w:type="character" w:customStyle="1" w:styleId="73">
    <w:name w:val="xtb-gr-03"/>
    <w:basedOn w:val="12"/>
    <w:qFormat/>
    <w:uiPriority w:val="0"/>
  </w:style>
  <w:style w:type="character" w:customStyle="1" w:styleId="74">
    <w:name w:val="xtb-gr-04"/>
    <w:basedOn w:val="12"/>
    <w:qFormat/>
    <w:uiPriority w:val="0"/>
  </w:style>
  <w:style w:type="character" w:customStyle="1" w:styleId="75">
    <w:name w:val="xtb-gr-05"/>
    <w:basedOn w:val="12"/>
    <w:qFormat/>
    <w:uiPriority w:val="0"/>
  </w:style>
  <w:style w:type="character" w:customStyle="1" w:styleId="76">
    <w:name w:val="xtb-gr-06"/>
    <w:basedOn w:val="12"/>
    <w:qFormat/>
    <w:uiPriority w:val="0"/>
  </w:style>
  <w:style w:type="character" w:customStyle="1" w:styleId="77">
    <w:name w:val="xtb-gr-09"/>
    <w:basedOn w:val="12"/>
    <w:qFormat/>
    <w:uiPriority w:val="0"/>
  </w:style>
  <w:style w:type="character" w:customStyle="1" w:styleId="78">
    <w:name w:val="xtb-fr-17"/>
    <w:basedOn w:val="12"/>
    <w:qFormat/>
    <w:uiPriority w:val="0"/>
  </w:style>
  <w:style w:type="character" w:customStyle="1" w:styleId="79">
    <w:name w:val="xtb-gr-10"/>
    <w:basedOn w:val="12"/>
    <w:qFormat/>
    <w:uiPriority w:val="0"/>
  </w:style>
  <w:style w:type="character" w:customStyle="1" w:styleId="80">
    <w:name w:val="xtb-gr-11"/>
    <w:basedOn w:val="12"/>
    <w:qFormat/>
    <w:uiPriority w:val="0"/>
  </w:style>
  <w:style w:type="character" w:customStyle="1" w:styleId="81">
    <w:name w:val="xtb-gr-12"/>
    <w:basedOn w:val="12"/>
    <w:qFormat/>
    <w:uiPriority w:val="0"/>
  </w:style>
  <w:style w:type="character" w:customStyle="1" w:styleId="82">
    <w:name w:val="xtb-gr-13"/>
    <w:basedOn w:val="12"/>
    <w:qFormat/>
    <w:uiPriority w:val="0"/>
  </w:style>
  <w:style w:type="character" w:customStyle="1" w:styleId="83">
    <w:name w:val="xtb-gr-14"/>
    <w:basedOn w:val="12"/>
    <w:qFormat/>
    <w:uiPriority w:val="0"/>
  </w:style>
  <w:style w:type="character" w:customStyle="1" w:styleId="84">
    <w:name w:val="xtb-gr-16"/>
    <w:basedOn w:val="12"/>
    <w:qFormat/>
    <w:uiPriority w:val="0"/>
  </w:style>
  <w:style w:type="character" w:customStyle="1" w:styleId="85">
    <w:name w:val="xtb-gr-17"/>
    <w:basedOn w:val="12"/>
    <w:qFormat/>
    <w:uiPriority w:val="0"/>
  </w:style>
  <w:style w:type="character" w:customStyle="1" w:styleId="86">
    <w:name w:val="xtb-gr-19"/>
    <w:basedOn w:val="12"/>
    <w:qFormat/>
    <w:uiPriority w:val="0"/>
  </w:style>
  <w:style w:type="character" w:customStyle="1" w:styleId="87">
    <w:name w:val="xtb-gr-20"/>
    <w:basedOn w:val="12"/>
    <w:qFormat/>
    <w:uiPriority w:val="0"/>
  </w:style>
  <w:style w:type="character" w:customStyle="1" w:styleId="88">
    <w:name w:val="xtb-fr-01"/>
    <w:basedOn w:val="12"/>
    <w:qFormat/>
    <w:uiPriority w:val="0"/>
  </w:style>
  <w:style w:type="character" w:customStyle="1" w:styleId="89">
    <w:name w:val="xtb-fr-02"/>
    <w:basedOn w:val="12"/>
    <w:qFormat/>
    <w:uiPriority w:val="0"/>
  </w:style>
  <w:style w:type="character" w:customStyle="1" w:styleId="90">
    <w:name w:val="xtb-fr-03"/>
    <w:basedOn w:val="12"/>
    <w:qFormat/>
    <w:uiPriority w:val="0"/>
  </w:style>
  <w:style w:type="character" w:customStyle="1" w:styleId="91">
    <w:name w:val="xtb-fr-04"/>
    <w:basedOn w:val="12"/>
    <w:qFormat/>
    <w:uiPriority w:val="0"/>
  </w:style>
  <w:style w:type="character" w:customStyle="1" w:styleId="92">
    <w:name w:val="xtb-fr-05"/>
    <w:basedOn w:val="12"/>
    <w:qFormat/>
    <w:uiPriority w:val="0"/>
  </w:style>
  <w:style w:type="character" w:customStyle="1" w:styleId="93">
    <w:name w:val="xtb-fr-06"/>
    <w:basedOn w:val="12"/>
    <w:qFormat/>
    <w:uiPriority w:val="0"/>
  </w:style>
  <w:style w:type="character" w:customStyle="1" w:styleId="94">
    <w:name w:val="xtb-fr-24"/>
    <w:basedOn w:val="12"/>
    <w:qFormat/>
    <w:uiPriority w:val="0"/>
  </w:style>
  <w:style w:type="character" w:customStyle="1" w:styleId="95">
    <w:name w:val="xtb-fr-15"/>
    <w:basedOn w:val="12"/>
    <w:qFormat/>
    <w:uiPriority w:val="0"/>
  </w:style>
  <w:style w:type="character" w:customStyle="1" w:styleId="96">
    <w:name w:val="xtb-fr-11"/>
    <w:basedOn w:val="12"/>
    <w:qFormat/>
    <w:uiPriority w:val="0"/>
  </w:style>
  <w:style w:type="character" w:customStyle="1" w:styleId="97">
    <w:name w:val="zy-fr-bj27"/>
    <w:basedOn w:val="12"/>
    <w:qFormat/>
    <w:uiPriority w:val="0"/>
  </w:style>
  <w:style w:type="character" w:customStyle="1" w:styleId="98">
    <w:name w:val="xtb-fr-12"/>
    <w:basedOn w:val="12"/>
    <w:qFormat/>
    <w:uiPriority w:val="0"/>
  </w:style>
  <w:style w:type="character" w:customStyle="1" w:styleId="99">
    <w:name w:val="xtb-fr-14"/>
    <w:basedOn w:val="12"/>
    <w:qFormat/>
    <w:uiPriority w:val="0"/>
  </w:style>
  <w:style w:type="character" w:customStyle="1" w:styleId="100">
    <w:name w:val="xtb-fr-18"/>
    <w:basedOn w:val="12"/>
    <w:qFormat/>
    <w:uiPriority w:val="0"/>
  </w:style>
  <w:style w:type="character" w:customStyle="1" w:styleId="101">
    <w:name w:val="xtb-fr-20"/>
    <w:basedOn w:val="12"/>
    <w:qFormat/>
    <w:uiPriority w:val="0"/>
  </w:style>
  <w:style w:type="character" w:customStyle="1" w:styleId="102">
    <w:name w:val="xtb-fr-21"/>
    <w:basedOn w:val="12"/>
    <w:qFormat/>
    <w:uiPriority w:val="0"/>
  </w:style>
  <w:style w:type="character" w:customStyle="1" w:styleId="103">
    <w:name w:val="xtb-fr-22"/>
    <w:basedOn w:val="12"/>
    <w:qFormat/>
    <w:uiPriority w:val="0"/>
  </w:style>
  <w:style w:type="character" w:customStyle="1" w:styleId="104">
    <w:name w:val="zy-gr-bj15"/>
    <w:basedOn w:val="12"/>
    <w:qFormat/>
    <w:uiPriority w:val="0"/>
  </w:style>
  <w:style w:type="character" w:customStyle="1" w:styleId="105">
    <w:name w:val="zy-gr-bj1"/>
    <w:basedOn w:val="12"/>
    <w:qFormat/>
    <w:uiPriority w:val="0"/>
  </w:style>
  <w:style w:type="character" w:customStyle="1" w:styleId="106">
    <w:name w:val="zy-gr-bj5"/>
    <w:basedOn w:val="12"/>
    <w:qFormat/>
    <w:uiPriority w:val="0"/>
  </w:style>
  <w:style w:type="character" w:customStyle="1" w:styleId="107">
    <w:name w:val="zy-gr-bj7"/>
    <w:basedOn w:val="12"/>
    <w:qFormat/>
    <w:uiPriority w:val="0"/>
  </w:style>
  <w:style w:type="character" w:customStyle="1" w:styleId="108">
    <w:name w:val="zy-gr-bj2"/>
    <w:basedOn w:val="12"/>
    <w:qFormat/>
    <w:uiPriority w:val="0"/>
  </w:style>
  <w:style w:type="character" w:customStyle="1" w:styleId="109">
    <w:name w:val="zy-fr-bj19"/>
    <w:basedOn w:val="12"/>
    <w:qFormat/>
    <w:uiPriority w:val="0"/>
  </w:style>
  <w:style w:type="character" w:customStyle="1" w:styleId="110">
    <w:name w:val="zy-gr-bj26"/>
    <w:basedOn w:val="12"/>
    <w:qFormat/>
    <w:uiPriority w:val="0"/>
  </w:style>
  <w:style w:type="character" w:customStyle="1" w:styleId="111">
    <w:name w:val="zy-fr-bj10"/>
    <w:basedOn w:val="12"/>
    <w:qFormat/>
    <w:uiPriority w:val="0"/>
  </w:style>
  <w:style w:type="character" w:customStyle="1" w:styleId="112">
    <w:name w:val="zy-gr-bj27"/>
    <w:basedOn w:val="12"/>
    <w:qFormat/>
    <w:uiPriority w:val="0"/>
  </w:style>
  <w:style w:type="character" w:customStyle="1" w:styleId="113">
    <w:name w:val="zy-gr-bj3"/>
    <w:basedOn w:val="12"/>
    <w:qFormat/>
    <w:uiPriority w:val="0"/>
  </w:style>
  <w:style w:type="character" w:customStyle="1" w:styleId="114">
    <w:name w:val="zy-gr-bj13"/>
    <w:basedOn w:val="12"/>
    <w:qFormat/>
    <w:uiPriority w:val="0"/>
  </w:style>
  <w:style w:type="character" w:customStyle="1" w:styleId="115">
    <w:name w:val="zy-fr-bj1"/>
    <w:basedOn w:val="12"/>
    <w:qFormat/>
    <w:uiPriority w:val="0"/>
  </w:style>
  <w:style w:type="character" w:customStyle="1" w:styleId="116">
    <w:name w:val="zy-gr-bj4"/>
    <w:basedOn w:val="12"/>
    <w:qFormat/>
    <w:uiPriority w:val="0"/>
  </w:style>
  <w:style w:type="character" w:customStyle="1" w:styleId="117">
    <w:name w:val="zy-gr-bj6"/>
    <w:basedOn w:val="12"/>
    <w:qFormat/>
    <w:uiPriority w:val="0"/>
  </w:style>
  <w:style w:type="character" w:customStyle="1" w:styleId="118">
    <w:name w:val="zy-gr-bj8"/>
    <w:basedOn w:val="12"/>
    <w:qFormat/>
    <w:uiPriority w:val="0"/>
  </w:style>
  <w:style w:type="character" w:customStyle="1" w:styleId="119">
    <w:name w:val="zy-gr-bj9"/>
    <w:basedOn w:val="12"/>
    <w:qFormat/>
    <w:uiPriority w:val="0"/>
  </w:style>
  <w:style w:type="character" w:customStyle="1" w:styleId="120">
    <w:name w:val="zy-gr-bj10"/>
    <w:basedOn w:val="12"/>
    <w:qFormat/>
    <w:uiPriority w:val="0"/>
  </w:style>
  <w:style w:type="character" w:customStyle="1" w:styleId="121">
    <w:name w:val="zy-gr-bj11"/>
    <w:basedOn w:val="12"/>
    <w:qFormat/>
    <w:uiPriority w:val="0"/>
  </w:style>
  <w:style w:type="character" w:customStyle="1" w:styleId="122">
    <w:name w:val="zy-gr-bj12"/>
    <w:basedOn w:val="12"/>
    <w:qFormat/>
    <w:uiPriority w:val="0"/>
  </w:style>
  <w:style w:type="character" w:customStyle="1" w:styleId="123">
    <w:name w:val="zy-gr-bj14"/>
    <w:basedOn w:val="12"/>
    <w:qFormat/>
    <w:uiPriority w:val="0"/>
  </w:style>
  <w:style w:type="character" w:customStyle="1" w:styleId="124">
    <w:name w:val="zy-gr-bj16"/>
    <w:basedOn w:val="12"/>
    <w:qFormat/>
    <w:uiPriority w:val="0"/>
  </w:style>
  <w:style w:type="character" w:customStyle="1" w:styleId="125">
    <w:name w:val="zy-fr-bj26"/>
    <w:basedOn w:val="12"/>
    <w:qFormat/>
    <w:uiPriority w:val="0"/>
  </w:style>
  <w:style w:type="character" w:customStyle="1" w:styleId="126">
    <w:name w:val="zy-gr-bj18"/>
    <w:basedOn w:val="12"/>
    <w:qFormat/>
    <w:uiPriority w:val="0"/>
  </w:style>
  <w:style w:type="character" w:customStyle="1" w:styleId="127">
    <w:name w:val="zy-fr-bj2"/>
    <w:basedOn w:val="12"/>
    <w:qFormat/>
    <w:uiPriority w:val="0"/>
  </w:style>
  <w:style w:type="character" w:customStyle="1" w:styleId="128">
    <w:name w:val="zy-gr-bj19"/>
    <w:basedOn w:val="12"/>
    <w:qFormat/>
    <w:uiPriority w:val="0"/>
  </w:style>
  <w:style w:type="character" w:customStyle="1" w:styleId="129">
    <w:name w:val="zy-gr-bj22"/>
    <w:basedOn w:val="12"/>
    <w:qFormat/>
    <w:uiPriority w:val="0"/>
  </w:style>
  <w:style w:type="character" w:customStyle="1" w:styleId="130">
    <w:name w:val="zy-gr-bj23"/>
    <w:basedOn w:val="12"/>
    <w:qFormat/>
    <w:uiPriority w:val="0"/>
  </w:style>
  <w:style w:type="character" w:customStyle="1" w:styleId="131">
    <w:name w:val="zy-gr-bj24"/>
    <w:basedOn w:val="12"/>
    <w:qFormat/>
    <w:uiPriority w:val="0"/>
  </w:style>
  <w:style w:type="character" w:customStyle="1" w:styleId="132">
    <w:name w:val="zy-fr-bj12"/>
    <w:basedOn w:val="12"/>
    <w:qFormat/>
    <w:uiPriority w:val="0"/>
  </w:style>
  <w:style w:type="character" w:customStyle="1" w:styleId="133">
    <w:name w:val="zy-gr-bj25"/>
    <w:basedOn w:val="12"/>
    <w:qFormat/>
    <w:uiPriority w:val="0"/>
  </w:style>
  <w:style w:type="character" w:customStyle="1" w:styleId="134">
    <w:name w:val="zy-fr-bj13"/>
    <w:basedOn w:val="12"/>
    <w:qFormat/>
    <w:uiPriority w:val="0"/>
  </w:style>
  <w:style w:type="character" w:customStyle="1" w:styleId="135">
    <w:name w:val="zy-fr-bj22"/>
    <w:basedOn w:val="12"/>
    <w:qFormat/>
    <w:uiPriority w:val="0"/>
  </w:style>
  <w:style w:type="character" w:customStyle="1" w:styleId="136">
    <w:name w:val="zy-fr-bj4"/>
    <w:basedOn w:val="12"/>
    <w:qFormat/>
    <w:uiPriority w:val="0"/>
  </w:style>
  <w:style w:type="character" w:customStyle="1" w:styleId="137">
    <w:name w:val="zy-fr-bj5"/>
    <w:basedOn w:val="12"/>
    <w:qFormat/>
    <w:uiPriority w:val="0"/>
  </w:style>
  <w:style w:type="character" w:customStyle="1" w:styleId="138">
    <w:name w:val="zy-fr-bj7"/>
    <w:basedOn w:val="12"/>
    <w:qFormat/>
    <w:uiPriority w:val="0"/>
  </w:style>
  <w:style w:type="character" w:customStyle="1" w:styleId="139">
    <w:name w:val="zy-fr-bj11"/>
    <w:basedOn w:val="12"/>
    <w:qFormat/>
    <w:uiPriority w:val="0"/>
  </w:style>
  <w:style w:type="character" w:customStyle="1" w:styleId="140">
    <w:name w:val="zy-fr-bj8"/>
    <w:basedOn w:val="12"/>
    <w:qFormat/>
    <w:uiPriority w:val="0"/>
  </w:style>
  <w:style w:type="character" w:customStyle="1" w:styleId="141">
    <w:name w:val="zy-fr-bj14"/>
    <w:basedOn w:val="12"/>
    <w:qFormat/>
    <w:uiPriority w:val="0"/>
  </w:style>
  <w:style w:type="character" w:customStyle="1" w:styleId="142">
    <w:name w:val="zy-fr-bj15"/>
    <w:basedOn w:val="12"/>
    <w:qFormat/>
    <w:uiPriority w:val="0"/>
  </w:style>
  <w:style w:type="character" w:customStyle="1" w:styleId="143">
    <w:name w:val="zy-fr-bj16"/>
    <w:basedOn w:val="12"/>
    <w:qFormat/>
    <w:uiPriority w:val="0"/>
  </w:style>
  <w:style w:type="character" w:customStyle="1" w:styleId="144">
    <w:name w:val="zy-fr-bj18"/>
    <w:basedOn w:val="12"/>
    <w:qFormat/>
    <w:uiPriority w:val="0"/>
  </w:style>
  <w:style w:type="character" w:customStyle="1" w:styleId="145">
    <w:name w:val="zy-fr-bj20"/>
    <w:basedOn w:val="12"/>
    <w:qFormat/>
    <w:uiPriority w:val="0"/>
  </w:style>
  <w:style w:type="character" w:customStyle="1" w:styleId="146">
    <w:name w:val="zy-fr-bj21"/>
    <w:basedOn w:val="12"/>
    <w:qFormat/>
    <w:uiPriority w:val="0"/>
  </w:style>
  <w:style w:type="character" w:customStyle="1" w:styleId="147">
    <w:name w:val="zy-fr-bj23"/>
    <w:basedOn w:val="12"/>
    <w:qFormat/>
    <w:uiPriority w:val="0"/>
  </w:style>
  <w:style w:type="character" w:customStyle="1" w:styleId="148">
    <w:name w:val="zy-fr-bj24"/>
    <w:basedOn w:val="12"/>
    <w:qFormat/>
    <w:uiPriority w:val="0"/>
  </w:style>
  <w:style w:type="character" w:customStyle="1" w:styleId="149">
    <w:name w:val="zy-fr-bj25"/>
    <w:basedOn w:val="12"/>
    <w:qFormat/>
    <w:uiPriority w:val="0"/>
  </w:style>
  <w:style w:type="character" w:customStyle="1" w:styleId="150">
    <w:name w:val="zy-fr-bj29"/>
    <w:basedOn w:val="12"/>
    <w:qFormat/>
    <w:uiPriority w:val="0"/>
  </w:style>
  <w:style w:type="character" w:customStyle="1" w:styleId="151">
    <w:name w:val="zx-span31"/>
    <w:basedOn w:val="12"/>
    <w:qFormat/>
    <w:uiPriority w:val="0"/>
    <w:rPr>
      <w:color w:val="FFFFFF"/>
    </w:rPr>
  </w:style>
  <w:style w:type="character" w:customStyle="1" w:styleId="152">
    <w:name w:val="zx-span51"/>
    <w:basedOn w:val="12"/>
    <w:qFormat/>
    <w:uiPriority w:val="0"/>
    <w:rPr>
      <w:color w:val="FFFFFF"/>
    </w:rPr>
  </w:style>
  <w:style w:type="character" w:customStyle="1" w:styleId="153">
    <w:name w:val="cur"/>
    <w:basedOn w:val="12"/>
    <w:qFormat/>
    <w:uiPriority w:val="0"/>
    <w:rPr>
      <w:shd w:val="clear" w:color="auto" w:fill="0168B7"/>
    </w:rPr>
  </w:style>
  <w:style w:type="character" w:customStyle="1" w:styleId="154">
    <w:name w:val="hover75"/>
    <w:basedOn w:val="12"/>
    <w:qFormat/>
    <w:uiPriority w:val="0"/>
  </w:style>
  <w:style w:type="character" w:customStyle="1" w:styleId="155">
    <w:name w:val="zx-xuan7"/>
    <w:basedOn w:val="12"/>
    <w:qFormat/>
    <w:uiPriority w:val="0"/>
    <w:rPr>
      <w:color w:val="FFFFFF"/>
    </w:rPr>
  </w:style>
  <w:style w:type="character" w:customStyle="1" w:styleId="156">
    <w:name w:val="r-6-l-sp3"/>
    <w:basedOn w:val="12"/>
    <w:qFormat/>
    <w:uiPriority w:val="0"/>
  </w:style>
  <w:style w:type="character" w:customStyle="1" w:styleId="157">
    <w:name w:val="r-6-l-sp1"/>
    <w:basedOn w:val="12"/>
    <w:qFormat/>
    <w:uiPriority w:val="0"/>
  </w:style>
  <w:style w:type="character" w:customStyle="1" w:styleId="158">
    <w:name w:val="r-6-l-sp2"/>
    <w:basedOn w:val="12"/>
    <w:qFormat/>
    <w:uiPriority w:val="0"/>
  </w:style>
  <w:style w:type="character" w:customStyle="1" w:styleId="159">
    <w:name w:val="hover"/>
    <w:basedOn w:val="12"/>
    <w:qFormat/>
    <w:uiPriority w:val="0"/>
    <w:rPr>
      <w:shd w:val="clear" w:color="auto" w:fill="A40000"/>
    </w:rPr>
  </w:style>
  <w:style w:type="character" w:customStyle="1" w:styleId="160">
    <w:name w:val="hover1"/>
    <w:basedOn w:val="12"/>
    <w:qFormat/>
    <w:uiPriority w:val="0"/>
    <w:rPr>
      <w:color w:val="CA1C1D"/>
    </w:rPr>
  </w:style>
  <w:style w:type="character" w:customStyle="1" w:styleId="161">
    <w:name w:val="font41"/>
    <w:basedOn w:val="12"/>
    <w:qFormat/>
    <w:uiPriority w:val="0"/>
    <w:rPr>
      <w:rFonts w:hint="eastAsia" w:ascii="宋体" w:hAnsi="宋体" w:eastAsia="宋体" w:cs="宋体"/>
      <w:color w:val="000000"/>
      <w:sz w:val="22"/>
      <w:szCs w:val="22"/>
      <w:u w:val="none"/>
    </w:rPr>
  </w:style>
  <w:style w:type="character" w:customStyle="1" w:styleId="162">
    <w:name w:val="font11"/>
    <w:qFormat/>
    <w:uiPriority w:val="0"/>
    <w:rPr>
      <w:rFonts w:hint="eastAsia" w:ascii="宋体" w:hAnsi="宋体" w:eastAsia="宋体" w:cs="宋体"/>
      <w:color w:val="000000"/>
      <w:sz w:val="24"/>
      <w:szCs w:val="24"/>
      <w:u w:val="none"/>
    </w:rPr>
  </w:style>
  <w:style w:type="paragraph" w:customStyle="1" w:styleId="163">
    <w:name w:val="Char Char Char Char"/>
    <w:basedOn w:val="1"/>
    <w:qFormat/>
    <w:uiPriority w:val="0"/>
    <w:rPr>
      <w:rFonts w:ascii="Times New Roman" w:hAnsi="Times New Roman" w:eastAsia="宋体" w:cs="Times New Roman"/>
      <w:sz w:val="24"/>
    </w:rPr>
  </w:style>
  <w:style w:type="paragraph" w:customStyle="1" w:styleId="164">
    <w:name w:val="正文-公1"/>
    <w:qFormat/>
    <w:uiPriority w:val="0"/>
    <w:pPr>
      <w:widowControl w:val="0"/>
      <w:ind w:firstLine="200" w:firstLineChars="200"/>
      <w:jc w:val="both"/>
    </w:pPr>
    <w:rPr>
      <w:rFonts w:ascii="Calibri" w:hAnsi="Calibri" w:eastAsia="宋体" w:cs="Calibri"/>
      <w:color w:val="000000"/>
      <w:kern w:val="2"/>
      <w:sz w:val="32"/>
      <w:szCs w:val="32"/>
      <w:lang w:val="en-US" w:eastAsia="zh-CN" w:bidi="ar-SA"/>
    </w:rPr>
  </w:style>
  <w:style w:type="character" w:customStyle="1" w:styleId="165">
    <w:name w:val="NormalCharacter"/>
    <w:link w:val="166"/>
    <w:qFormat/>
    <w:uiPriority w:val="0"/>
    <w:rPr>
      <w:rFonts w:ascii="Times New Roman" w:hAnsi="Times New Roman" w:eastAsia="宋体" w:cs="Times New Roman"/>
      <w:sz w:val="24"/>
    </w:rPr>
  </w:style>
  <w:style w:type="paragraph" w:customStyle="1" w:styleId="166">
    <w:name w:val="UserStyle_9"/>
    <w:basedOn w:val="1"/>
    <w:link w:val="165"/>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0"/>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300">
                <a:solidFill>
                  <a:schemeClr val="tx1"/>
                </a:solidFill>
                <a:uFillTx/>
                <a:latin typeface="黑体" panose="02010609060101010101" charset="-122"/>
                <a:ea typeface="黑体" panose="02010609060101010101" charset="-122"/>
                <a:cs typeface="黑体" panose="02010609060101010101" charset="-122"/>
              </a:rPr>
              <a:t>图</a:t>
            </a:r>
            <a:r>
              <a:rPr lang="en-US" altLang="zh-CN" sz="1300">
                <a:solidFill>
                  <a:schemeClr val="tx1"/>
                </a:solidFill>
                <a:uFillTx/>
                <a:latin typeface="黑体" panose="02010609060101010101" charset="-122"/>
                <a:ea typeface="黑体" panose="02010609060101010101" charset="-122"/>
                <a:cs typeface="黑体" panose="02010609060101010101" charset="-122"/>
              </a:rPr>
              <a:t>2 2017-2022</a:t>
            </a:r>
            <a:r>
              <a:rPr lang="zh-CN" altLang="en-US" sz="1300">
                <a:solidFill>
                  <a:schemeClr val="tx1"/>
                </a:solidFill>
                <a:uFillTx/>
                <a:latin typeface="黑体" panose="02010609060101010101" charset="-122"/>
                <a:ea typeface="黑体" panose="02010609060101010101" charset="-122"/>
                <a:cs typeface="黑体" panose="02010609060101010101" charset="-122"/>
              </a:rPr>
              <a:t>年全市三次产业增加值占地区生产总值比重</a:t>
            </a:r>
            <a:endParaRPr lang="zh-CN" altLang="en-US" sz="1300">
              <a:solidFill>
                <a:schemeClr val="tx1"/>
              </a:solidFill>
              <a:uFillTx/>
              <a:latin typeface="黑体" panose="02010609060101010101" charset="-122"/>
              <a:ea typeface="黑体" panose="02010609060101010101" charset="-122"/>
              <a:cs typeface="黑体" panose="02010609060101010101" charset="-122"/>
            </a:endParaRPr>
          </a:p>
        </c:rich>
      </c:tx>
      <c:layout>
        <c:manualLayout>
          <c:xMode val="edge"/>
          <c:yMode val="edge"/>
          <c:x val="0.10056571412406"/>
          <c:y val="0.0101963891152057"/>
        </c:manualLayout>
      </c:layout>
      <c:overlay val="0"/>
      <c:spPr>
        <a:noFill/>
        <a:ln>
          <a:noFill/>
        </a:ln>
        <a:effectLst/>
      </c:spPr>
    </c:title>
    <c:autoTitleDeleted val="0"/>
    <c:plotArea>
      <c:layout>
        <c:manualLayout>
          <c:layoutTarget val="inner"/>
          <c:xMode val="edge"/>
          <c:yMode val="edge"/>
          <c:x val="0.0840459552291839"/>
          <c:y val="0.213143483023001"/>
          <c:w val="0.829491886770105"/>
          <c:h val="0.587820372398686"/>
        </c:manualLayout>
      </c:layout>
      <c:barChart>
        <c:barDir val="col"/>
        <c:grouping val="percentStacked"/>
        <c:varyColors val="0"/>
        <c:ser>
          <c:idx val="0"/>
          <c:order val="0"/>
          <c:tx>
            <c:strRef>
              <c:f>Sheet1!$B$1</c:f>
              <c:strCache>
                <c:ptCount val="1"/>
                <c:pt idx="0">
                  <c:v>第一产业</c:v>
                </c:pt>
              </c:strCache>
            </c:strRef>
          </c:tx>
          <c:spPr>
            <a:solidFill>
              <a:srgbClr val="6E87E7"/>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Sheet1!$B$2:$B$7</c:f>
              <c:numCache>
                <c:formatCode>General</c:formatCode>
                <c:ptCount val="6"/>
                <c:pt idx="0">
                  <c:v>33.1</c:v>
                </c:pt>
                <c:pt idx="1">
                  <c:v>31.3</c:v>
                </c:pt>
                <c:pt idx="2">
                  <c:v>32.2</c:v>
                </c:pt>
                <c:pt idx="3">
                  <c:v>32.4</c:v>
                </c:pt>
                <c:pt idx="4">
                  <c:v>33</c:v>
                </c:pt>
                <c:pt idx="5">
                  <c:v>35.2</c:v>
                </c:pt>
              </c:numCache>
            </c:numRef>
          </c:val>
        </c:ser>
        <c:ser>
          <c:idx val="1"/>
          <c:order val="1"/>
          <c:tx>
            <c:strRef>
              <c:f>Sheet1!$C$1</c:f>
              <c:strCache>
                <c:ptCount val="1"/>
                <c:pt idx="0">
                  <c:v>第二产业</c:v>
                </c:pt>
              </c:strCache>
            </c:strRef>
          </c:tx>
          <c:spPr>
            <a:solidFill>
              <a:srgbClr val="DE641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Sheet1!$C$2:$C$7</c:f>
              <c:numCache>
                <c:formatCode>General</c:formatCode>
                <c:ptCount val="6"/>
                <c:pt idx="0">
                  <c:v>13.5</c:v>
                </c:pt>
                <c:pt idx="1">
                  <c:v>12.9</c:v>
                </c:pt>
                <c:pt idx="2">
                  <c:v>12.7</c:v>
                </c:pt>
                <c:pt idx="3">
                  <c:v>13.8</c:v>
                </c:pt>
                <c:pt idx="4">
                  <c:v>13.1</c:v>
                </c:pt>
                <c:pt idx="5" c:formatCode="0.0_ ">
                  <c:v>13</c:v>
                </c:pt>
              </c:numCache>
            </c:numRef>
          </c:val>
        </c:ser>
        <c:ser>
          <c:idx val="2"/>
          <c:order val="2"/>
          <c:tx>
            <c:strRef>
              <c:f>Sheet1!$D$1</c:f>
              <c:strCache>
                <c:ptCount val="1"/>
                <c:pt idx="0">
                  <c:v>第三产业</c:v>
                </c:pt>
              </c:strCache>
            </c:strRef>
          </c:tx>
          <c:spPr>
            <a:solidFill>
              <a:srgbClr val="FFFF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Sheet1!$D$2:$D$7</c:f>
              <c:numCache>
                <c:formatCode>0.0_ </c:formatCode>
                <c:ptCount val="6"/>
                <c:pt idx="0">
                  <c:v>53.4</c:v>
                </c:pt>
                <c:pt idx="1" c:formatCode="General">
                  <c:v>55.8</c:v>
                </c:pt>
                <c:pt idx="2" c:formatCode="General">
                  <c:v>55.1</c:v>
                </c:pt>
                <c:pt idx="3" c:formatCode="General">
                  <c:v>53.8</c:v>
                </c:pt>
                <c:pt idx="4" c:formatCode="General">
                  <c:v>53.9</c:v>
                </c:pt>
                <c:pt idx="5" c:formatCode="General">
                  <c:v>51.8</c:v>
                </c:pt>
              </c:numCache>
            </c:numRef>
          </c:val>
        </c:ser>
        <c:dLbls>
          <c:showLegendKey val="0"/>
          <c:showVal val="1"/>
          <c:showCatName val="0"/>
          <c:showSerName val="0"/>
          <c:showPercent val="0"/>
          <c:showBubbleSize val="0"/>
        </c:dLbls>
        <c:gapWidth val="150"/>
        <c:overlap val="100"/>
        <c:axId val="137288930"/>
        <c:axId val="66421714"/>
      </c:barChart>
      <c:catAx>
        <c:axId val="13728893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6421714"/>
        <c:crosses val="autoZero"/>
        <c:auto val="1"/>
        <c:lblAlgn val="ctr"/>
        <c:lblOffset val="100"/>
        <c:noMultiLvlLbl val="0"/>
      </c:catAx>
      <c:valAx>
        <c:axId val="66421714"/>
        <c:scaling>
          <c:orientation val="minMax"/>
        </c:scaling>
        <c:delete val="0"/>
        <c:axPos val="l"/>
        <c:majorGridlines>
          <c:spPr>
            <a:ln w="9525" cap="flat" cmpd="sng" algn="ctr">
              <a:noFill/>
              <a:round/>
            </a:ln>
            <a:effectLst/>
          </c:spPr>
        </c:majorGridlines>
        <c:numFmt formatCode="0%"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37288930"/>
        <c:crosses val="autoZero"/>
        <c:crossBetween val="between"/>
      </c:valAx>
      <c:spPr>
        <a:solidFill>
          <a:schemeClr val="bg1"/>
        </a:solid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sz="1400">
                <a:solidFill>
                  <a:schemeClr val="tx1"/>
                </a:solidFill>
                <a:latin typeface="黑体" panose="02010609060101010101" charset="-122"/>
                <a:ea typeface="黑体" panose="02010609060101010101" charset="-122"/>
                <a:cs typeface="黑体" panose="02010609060101010101" charset="-122"/>
              </a:rPr>
              <a:t>图</a:t>
            </a:r>
            <a:r>
              <a:rPr lang="en-US" altLang="zh-CN" sz="1400">
                <a:solidFill>
                  <a:schemeClr val="tx1"/>
                </a:solidFill>
                <a:latin typeface="黑体" panose="02010609060101010101" charset="-122"/>
                <a:ea typeface="黑体" panose="02010609060101010101" charset="-122"/>
                <a:cs typeface="黑体" panose="02010609060101010101" charset="-122"/>
              </a:rPr>
              <a:t>3  2022</a:t>
            </a:r>
            <a:r>
              <a:rPr lang="zh-CN" altLang="en-US" sz="1400">
                <a:solidFill>
                  <a:schemeClr val="tx1"/>
                </a:solidFill>
                <a:latin typeface="黑体" panose="02010609060101010101" charset="-122"/>
                <a:ea typeface="黑体" panose="02010609060101010101" charset="-122"/>
                <a:cs typeface="黑体" panose="02010609060101010101" charset="-122"/>
              </a:rPr>
              <a:t>年居民消费价格月度涨跌幅度</a:t>
            </a:r>
            <a:endParaRPr lang="zh-CN" altLang="en-US" sz="1400">
              <a:solidFill>
                <a:schemeClr val="tx1"/>
              </a:solidFill>
              <a:latin typeface="黑体" panose="02010609060101010101" charset="-122"/>
              <a:ea typeface="黑体" panose="02010609060101010101" charset="-122"/>
              <a:cs typeface="黑体" panose="02010609060101010101" charset="-122"/>
            </a:endParaRPr>
          </a:p>
        </c:rich>
      </c:tx>
      <c:layout/>
      <c:overlay val="0"/>
      <c:spPr>
        <a:noFill/>
        <a:ln>
          <a:noFill/>
        </a:ln>
        <a:effectLst/>
      </c:spPr>
    </c:title>
    <c:autoTitleDeleted val="0"/>
    <c:plotArea>
      <c:layout>
        <c:manualLayout>
          <c:layoutTarget val="inner"/>
          <c:xMode val="edge"/>
          <c:yMode val="edge"/>
          <c:x val="0.102404454339894"/>
          <c:y val="0.164627589340731"/>
          <c:w val="0.774398834102502"/>
          <c:h val="0.728283796740173"/>
        </c:manualLayout>
      </c:layout>
      <c:lineChart>
        <c:grouping val="standard"/>
        <c:varyColors val="0"/>
        <c:ser>
          <c:idx val="1"/>
          <c:order val="0"/>
          <c:tx>
            <c:strRef>
              <c:f>Sheet1!$B$1</c:f>
              <c:strCache>
                <c:ptCount val="1"/>
                <c:pt idx="0">
                  <c:v>月度同比</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1.2</c:v>
                </c:pt>
                <c:pt idx="1">
                  <c:v>2.1</c:v>
                </c:pt>
                <c:pt idx="2">
                  <c:v>2.7</c:v>
                </c:pt>
                <c:pt idx="3">
                  <c:v>3.2</c:v>
                </c:pt>
                <c:pt idx="4">
                  <c:v>3.2</c:v>
                </c:pt>
                <c:pt idx="5">
                  <c:v>3.3</c:v>
                </c:pt>
                <c:pt idx="6">
                  <c:v>2.6</c:v>
                </c:pt>
                <c:pt idx="7">
                  <c:v>2.9</c:v>
                </c:pt>
                <c:pt idx="8">
                  <c:v>2.8</c:v>
                </c:pt>
                <c:pt idx="9">
                  <c:v>1.2</c:v>
                </c:pt>
                <c:pt idx="10">
                  <c:v>0.8</c:v>
                </c:pt>
                <c:pt idx="11">
                  <c:v>1.9</c:v>
                </c:pt>
              </c:numCache>
            </c:numRef>
          </c:val>
          <c:smooth val="0"/>
        </c:ser>
        <c:ser>
          <c:idx val="0"/>
          <c:order val="1"/>
          <c:tx>
            <c:strRef>
              <c:f>Sheet1!$C$1</c:f>
              <c:strCache>
                <c:ptCount val="1"/>
                <c:pt idx="0">
                  <c:v>月度环比</c:v>
                </c:pt>
              </c:strCache>
            </c:strRef>
          </c:tx>
          <c:spPr>
            <a:ln w="28575" cap="rnd">
              <a:solidFill>
                <a:schemeClr val="accent1"/>
              </a:solidFill>
              <a:round/>
            </a:ln>
            <a:effectLst/>
          </c:spPr>
          <c:marker>
            <c:symbol val="none"/>
          </c:marker>
          <c:dLbls>
            <c:delete val="1"/>
          </c:dLbls>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0.5</c:v>
                </c:pt>
                <c:pt idx="1">
                  <c:v>1.3</c:v>
                </c:pt>
                <c:pt idx="2">
                  <c:v>-0.2</c:v>
                </c:pt>
                <c:pt idx="3">
                  <c:v>0.2</c:v>
                </c:pt>
                <c:pt idx="4">
                  <c:v>-0.3</c:v>
                </c:pt>
                <c:pt idx="5">
                  <c:v>-0.1</c:v>
                </c:pt>
                <c:pt idx="6">
                  <c:v>-0.1</c:v>
                </c:pt>
                <c:pt idx="7">
                  <c:v>0.1</c:v>
                </c:pt>
                <c:pt idx="8">
                  <c:v>0.3</c:v>
                </c:pt>
                <c:pt idx="9">
                  <c:v>0.2</c:v>
                </c:pt>
                <c:pt idx="10">
                  <c:v>0.1</c:v>
                </c:pt>
                <c:pt idx="11" c:formatCode="0.0_ ">
                  <c:v>0</c:v>
                </c:pt>
              </c:numCache>
            </c:numRef>
          </c:val>
          <c:smooth val="0"/>
        </c:ser>
        <c:dLbls>
          <c:showLegendKey val="0"/>
          <c:showVal val="0"/>
          <c:showCatName val="0"/>
          <c:showSerName val="0"/>
          <c:showPercent val="0"/>
          <c:showBubbleSize val="0"/>
        </c:dLbls>
        <c:marker val="0"/>
        <c:smooth val="0"/>
        <c:axId val="751926800"/>
        <c:axId val="490875712"/>
      </c:line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1"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a:t>
                </a:r>
                <a:endParaRPr lang="en-US" altLang="zh-CN"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071440869482602"/>
              <c:y val="0.0997539119238339"/>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valAx>
      <c:spPr>
        <a:noFill/>
        <a:ln>
          <a:noFill/>
        </a:ln>
        <a:effectLst/>
      </c:spPr>
    </c:plotArea>
    <c:plotVisOnly val="1"/>
    <c:dispBlanksAs val="gap"/>
    <c:showDLblsOverMax val="0"/>
  </c:chart>
  <c:spPr>
    <a:solidFill>
      <a:schemeClr val="bg1"/>
    </a:solidFill>
    <a:ln w="3175" cap="rnd"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sz="1400">
                <a:solidFill>
                  <a:schemeClr val="tx1"/>
                </a:solidFill>
                <a:latin typeface="黑体" panose="02010609060101010101" charset="-122"/>
                <a:ea typeface="黑体" panose="02010609060101010101" charset="-122"/>
                <a:cs typeface="黑体" panose="02010609060101010101" charset="-122"/>
              </a:rPr>
              <a:t>图</a:t>
            </a:r>
            <a:r>
              <a:rPr lang="en-US" altLang="zh-CN" sz="1400">
                <a:solidFill>
                  <a:schemeClr val="tx1"/>
                </a:solidFill>
                <a:latin typeface="黑体" panose="02010609060101010101" charset="-122"/>
                <a:ea typeface="黑体" panose="02010609060101010101" charset="-122"/>
                <a:cs typeface="黑体" panose="02010609060101010101" charset="-122"/>
              </a:rPr>
              <a:t>4  2017-2022</a:t>
            </a:r>
            <a:r>
              <a:rPr lang="zh-CN" altLang="en-US" sz="1400">
                <a:solidFill>
                  <a:schemeClr val="tx1"/>
                </a:solidFill>
                <a:latin typeface="黑体" panose="02010609060101010101" charset="-122"/>
                <a:ea typeface="黑体" panose="02010609060101010101" charset="-122"/>
                <a:cs typeface="黑体" panose="02010609060101010101" charset="-122"/>
              </a:rPr>
              <a:t>年全市社会消费品零售总额</a:t>
            </a:r>
            <a:endParaRPr lang="zh-CN" altLang="en-US" sz="1400">
              <a:solidFill>
                <a:schemeClr val="tx1"/>
              </a:solidFill>
              <a:latin typeface="黑体" panose="02010609060101010101" charset="-122"/>
              <a:ea typeface="黑体" panose="02010609060101010101" charset="-122"/>
              <a:cs typeface="黑体" panose="02010609060101010101" charset="-122"/>
            </a:endParaRPr>
          </a:p>
        </c:rich>
      </c:tx>
      <c:layout/>
      <c:overlay val="0"/>
      <c:spPr>
        <a:noFill/>
        <a:ln>
          <a:noFill/>
        </a:ln>
        <a:effectLst/>
      </c:spPr>
    </c:title>
    <c:autoTitleDeleted val="0"/>
    <c:plotArea>
      <c:layout>
        <c:manualLayout>
          <c:layoutTarget val="inner"/>
          <c:xMode val="edge"/>
          <c:yMode val="edge"/>
          <c:x val="0.108133595284872"/>
          <c:y val="0.176"/>
          <c:w val="0.818258022265881"/>
          <c:h val="0.728266666666667"/>
        </c:manualLayout>
      </c:layout>
      <c:barChart>
        <c:barDir val="col"/>
        <c:grouping val="clustered"/>
        <c:varyColors val="0"/>
        <c:ser>
          <c:idx val="1"/>
          <c:order val="0"/>
          <c:tx>
            <c:strRef>
              <c:f>Sheet1!$B$1</c:f>
              <c:strCache>
                <c:ptCount val="1"/>
                <c:pt idx="0">
                  <c:v>社会消费品零售总额</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Sheet1!$B$2:$B$7</c:f>
              <c:numCache>
                <c:formatCode>General</c:formatCode>
                <c:ptCount val="6"/>
                <c:pt idx="0">
                  <c:v>970024</c:v>
                </c:pt>
                <c:pt idx="1">
                  <c:v>1041895</c:v>
                </c:pt>
                <c:pt idx="2">
                  <c:v>1098095</c:v>
                </c:pt>
                <c:pt idx="3">
                  <c:v>1080047</c:v>
                </c:pt>
                <c:pt idx="4">
                  <c:v>1286890</c:v>
                </c:pt>
                <c:pt idx="5">
                  <c:v>1197228</c:v>
                </c:pt>
              </c:numCache>
            </c:numRef>
          </c:val>
        </c:ser>
        <c:dLbls>
          <c:showLegendKey val="0"/>
          <c:showVal val="1"/>
          <c:showCatName val="0"/>
          <c:showSerName val="0"/>
          <c:showPercent val="0"/>
          <c:showBubbleSize val="0"/>
        </c:dLbls>
        <c:gapWidth val="219"/>
        <c:overlap val="-27"/>
        <c:axId val="751926800"/>
        <c:axId val="490875712"/>
      </c:bar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1"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zh-CN" altLang="en-US"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万元</a:t>
                </a:r>
                <a:endParaRPr lang="zh-CN" altLang="en-US"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0821282632159029"/>
              <c:y val="0.106465321319807"/>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valAx>
      <c:spPr>
        <a:noFill/>
        <a:ln>
          <a:noFill/>
        </a:ln>
        <a:effectLst/>
      </c:spPr>
    </c:plotArea>
    <c:plotVisOnly val="1"/>
    <c:dispBlanksAs val="gap"/>
    <c:showDLblsOverMax val="0"/>
  </c:chart>
  <c:spPr>
    <a:solidFill>
      <a:schemeClr val="bg1"/>
    </a:solidFill>
    <a:ln w="3175" cap="rnd"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a:solidFill>
                  <a:schemeClr val="tx1"/>
                </a:solidFill>
                <a:latin typeface="黑体" panose="02010609060101010101" charset="-122"/>
                <a:ea typeface="黑体" panose="02010609060101010101" charset="-122"/>
                <a:cs typeface="黑体" panose="02010609060101010101" charset="-122"/>
              </a:rPr>
              <a:t>图</a:t>
            </a:r>
            <a:r>
              <a:rPr lang="en-US" altLang="zh-CN">
                <a:solidFill>
                  <a:schemeClr val="tx1"/>
                </a:solidFill>
                <a:latin typeface="黑体" panose="02010609060101010101" charset="-122"/>
                <a:ea typeface="黑体" panose="02010609060101010101" charset="-122"/>
                <a:cs typeface="黑体" panose="02010609060101010101" charset="-122"/>
              </a:rPr>
              <a:t>5  2017-2022</a:t>
            </a:r>
            <a:r>
              <a:rPr lang="zh-CN" altLang="en-US">
                <a:solidFill>
                  <a:schemeClr val="tx1"/>
                </a:solidFill>
                <a:latin typeface="黑体" panose="02010609060101010101" charset="-122"/>
                <a:ea typeface="黑体" panose="02010609060101010101" charset="-122"/>
                <a:cs typeface="黑体" panose="02010609060101010101" charset="-122"/>
              </a:rPr>
              <a:t>年全市居民人均可支配收入及其增速</a:t>
            </a:r>
            <a:endParaRPr lang="zh-CN" altLang="en-US">
              <a:solidFill>
                <a:schemeClr val="tx1"/>
              </a:solidFill>
              <a:latin typeface="黑体" panose="02010609060101010101" charset="-122"/>
              <a:ea typeface="黑体" panose="02010609060101010101" charset="-122"/>
              <a:cs typeface="黑体" panose="02010609060101010101" charset="-122"/>
            </a:endParaRPr>
          </a:p>
        </c:rich>
      </c:tx>
      <c:layout>
        <c:manualLayout>
          <c:xMode val="edge"/>
          <c:yMode val="edge"/>
          <c:x val="0.138882311153209"/>
          <c:y val="0.0240144086451871"/>
        </c:manualLayout>
      </c:layout>
      <c:overlay val="0"/>
      <c:spPr>
        <a:noFill/>
        <a:ln>
          <a:noFill/>
        </a:ln>
        <a:effectLst/>
      </c:spPr>
    </c:title>
    <c:autoTitleDeleted val="0"/>
    <c:plotArea>
      <c:layout>
        <c:manualLayout>
          <c:layoutTarget val="inner"/>
          <c:xMode val="edge"/>
          <c:yMode val="edge"/>
          <c:x val="0.107222353776936"/>
          <c:y val="0.181101181881767"/>
          <c:w val="0.819891072697135"/>
          <c:h val="0.729517710626376"/>
        </c:manualLayout>
      </c:layout>
      <c:barChart>
        <c:barDir val="col"/>
        <c:grouping val="clustered"/>
        <c:varyColors val="0"/>
        <c:ser>
          <c:idx val="1"/>
          <c:order val="0"/>
          <c:tx>
            <c:strRef>
              <c:f>Sheet1!$B$1</c:f>
              <c:strCache>
                <c:ptCount val="1"/>
                <c:pt idx="0">
                  <c:v>全市居民人均可支配收入</c:v>
                </c:pt>
              </c:strCache>
            </c:strRef>
          </c:tx>
          <c:spPr>
            <a:solidFill>
              <a:srgbClr val="FE204F"/>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Sheet1!$B$2:$B$7</c:f>
              <c:numCache>
                <c:formatCode>General</c:formatCode>
                <c:ptCount val="6"/>
                <c:pt idx="0">
                  <c:v>21373</c:v>
                </c:pt>
                <c:pt idx="1">
                  <c:v>23325</c:v>
                </c:pt>
                <c:pt idx="2">
                  <c:v>25302</c:v>
                </c:pt>
                <c:pt idx="3">
                  <c:v>26745</c:v>
                </c:pt>
                <c:pt idx="4">
                  <c:v>29241</c:v>
                </c:pt>
                <c:pt idx="5">
                  <c:v>29679</c:v>
                </c:pt>
              </c:numCache>
            </c:numRef>
          </c:val>
        </c:ser>
        <c:dLbls>
          <c:showLegendKey val="0"/>
          <c:showVal val="1"/>
          <c:showCatName val="0"/>
          <c:showSerName val="0"/>
          <c:showPercent val="0"/>
          <c:showBubbleSize val="0"/>
        </c:dLbls>
        <c:gapWidth val="219"/>
        <c:overlap val="-27"/>
        <c:axId val="751926800"/>
        <c:axId val="490875712"/>
      </c:barChart>
      <c:lineChart>
        <c:grouping val="standard"/>
        <c:varyColors val="0"/>
        <c:ser>
          <c:idx val="2"/>
          <c:order val="1"/>
          <c:tx>
            <c:strRef>
              <c:f>Sheet1!$C$1</c:f>
              <c:strCache>
                <c:ptCount val="1"/>
                <c:pt idx="0">
                  <c:v>比上年增长</c:v>
                </c:pt>
              </c:strCache>
            </c:strRef>
          </c:tx>
          <c:spPr>
            <a:ln w="25400" cap="rnd" cmpd="sng">
              <a:solidFill>
                <a:srgbClr val="03C4D5"/>
              </a:solidFill>
              <a:prstDash val="solid"/>
              <a:round/>
            </a:ln>
            <a:effectLst/>
          </c:spPr>
          <c:marker>
            <c:symbol val="none"/>
          </c:marker>
          <c:dLbls>
            <c:dLbl>
              <c:idx val="0"/>
              <c:layout>
                <c:manualLayout>
                  <c:x val="-0.0266398295050912"/>
                  <c:y val="0.05103061837102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9677954061094"/>
                  <c:y val="0.05103061837102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4158181387639"/>
                  <c:y val="0.04802881729037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5197726734549"/>
                  <c:y val="0.06303782269361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55197726734549"/>
                  <c:y val="0.06003602161296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2017年</c:v>
                </c:pt>
                <c:pt idx="1">
                  <c:v>2018年</c:v>
                </c:pt>
                <c:pt idx="2">
                  <c:v>2019年</c:v>
                </c:pt>
                <c:pt idx="3">
                  <c:v>2020年</c:v>
                </c:pt>
                <c:pt idx="4">
                  <c:v>2021年</c:v>
                </c:pt>
                <c:pt idx="5">
                  <c:v>2022年</c:v>
                </c:pt>
              </c:strCache>
            </c:strRef>
          </c:cat>
          <c:val>
            <c:numRef>
              <c:f>Sheet1!$C$2:$C$7</c:f>
              <c:numCache>
                <c:formatCode>0.0_ </c:formatCode>
                <c:ptCount val="6"/>
                <c:pt idx="0">
                  <c:v>9.1</c:v>
                </c:pt>
                <c:pt idx="1" c:formatCode="General">
                  <c:v>9.1</c:v>
                </c:pt>
                <c:pt idx="2" c:formatCode="General">
                  <c:v>8.5</c:v>
                </c:pt>
                <c:pt idx="3" c:formatCode="General">
                  <c:v>5.7</c:v>
                </c:pt>
                <c:pt idx="4">
                  <c:v>9.3</c:v>
                </c:pt>
                <c:pt idx="5">
                  <c:v>1.5</c:v>
                </c:pt>
              </c:numCache>
            </c:numRef>
          </c:val>
          <c:smooth val="0"/>
        </c:ser>
        <c:dLbls>
          <c:showLegendKey val="0"/>
          <c:showVal val="1"/>
          <c:showCatName val="0"/>
          <c:showSerName val="0"/>
          <c:showPercent val="0"/>
          <c:showBubbleSize val="0"/>
        </c:dLbls>
        <c:marker val="0"/>
        <c:smooth val="0"/>
        <c:axId val="876542384"/>
        <c:axId val="36226132"/>
      </c:line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zh-CN" altLang="en-US" sz="900" b="0">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元</a:t>
                </a:r>
                <a:endParaRPr lang="zh-CN" altLang="en-US" sz="900" b="0">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0636641135483105"/>
              <c:y val="0.106302305963023"/>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valAx>
      <c:catAx>
        <c:axId val="876542384"/>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26132"/>
        <c:crosses val="autoZero"/>
        <c:auto val="1"/>
        <c:lblAlgn val="ctr"/>
        <c:lblOffset val="100"/>
        <c:noMultiLvlLbl val="0"/>
      </c:catAx>
      <c:valAx>
        <c:axId val="36226132"/>
        <c:scaling>
          <c:orientation val="minMax"/>
          <c:max val="15"/>
          <c:min val="1"/>
        </c:scaling>
        <c:delete val="0"/>
        <c:axPos val="r"/>
        <c:title>
          <c:tx>
            <c:rich>
              <a:bodyPr rot="0" spcFirstLastPara="0" vertOverflow="ellipsis" vert="horz" wrap="square" anchor="ctr" anchorCtr="1"/>
              <a:lstStyle/>
              <a:p>
                <a:pPr defTabSz="914400">
                  <a:defRPr lang="zh-CN" sz="900" b="0" i="0" u="none" strike="noStrike" kern="1200" baseline="0">
                    <a:solidFill>
                      <a:schemeClr val="tx1"/>
                    </a:solidFill>
                    <a:latin typeface="+mn-ea"/>
                    <a:ea typeface="+mn-ea"/>
                    <a:cs typeface="+mn-ea"/>
                    <a:sym typeface="+mn-ea"/>
                  </a:defRPr>
                </a:pPr>
                <a:r>
                  <a:rPr lang="en-US" altLang="zh-CN" sz="900" b="0">
                    <a:solidFill>
                      <a:schemeClr val="tx1"/>
                    </a:solidFill>
                    <a:latin typeface="+mn-ea"/>
                    <a:ea typeface="+mn-ea"/>
                    <a:cs typeface="+mn-ea"/>
                    <a:sym typeface="+mn-ea"/>
                  </a:rPr>
                  <a:t>%</a:t>
                </a:r>
                <a:endParaRPr lang="en-US" altLang="zh-CN" sz="900" b="0">
                  <a:solidFill>
                    <a:schemeClr val="tx1"/>
                  </a:solidFill>
                  <a:latin typeface="+mn-ea"/>
                  <a:ea typeface="+mn-ea"/>
                  <a:cs typeface="+mn-ea"/>
                  <a:sym typeface="+mn-ea"/>
                </a:endParaRPr>
              </a:p>
            </c:rich>
          </c:tx>
          <c:layout>
            <c:manualLayout>
              <c:xMode val="edge"/>
              <c:yMode val="edge"/>
              <c:x val="0.958008027160922"/>
              <c:y val="0.0975468862650114"/>
            </c:manualLayout>
          </c:layout>
          <c:overlay val="0"/>
          <c:spPr>
            <a:noFill/>
            <a:ln>
              <a:noFill/>
            </a:ln>
            <a:effectLst/>
          </c:spPr>
        </c:title>
        <c:numFmt formatCode="#,##0.0_);[Red]\(#,##0.0\)" sourceLinked="0"/>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76542384"/>
        <c:crosses val="max"/>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3175" cap="rnd"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A1202-8949-45FE-A9D9-6908115B103D}">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6521</Words>
  <Characters>8139</Characters>
  <Lines>68</Lines>
  <Paragraphs>19</Paragraphs>
  <TotalTime>1</TotalTime>
  <ScaleCrop>false</ScaleCrop>
  <LinksUpToDate>false</LinksUpToDate>
  <CharactersWithSpaces>8580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2023-04-10T09:36:00Z</cp:lastPrinted>
  <dcterms:modified xsi:type="dcterms:W3CDTF">2023-04-12T08:15:29Z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6B41F159AF654D148525EE90119BF596</vt:lpwstr>
  </property>
</Properties>
</file>