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202</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2</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年琼海市国民经济和社会发展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统计公报</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ab/>
      </w:r>
    </w:p>
    <w:p>
      <w:pPr>
        <w:keepNext w:val="0"/>
        <w:keepLines w:val="0"/>
        <w:pageBreakBefore w:val="0"/>
        <w:widowControl w:val="0"/>
        <w:tabs>
          <w:tab w:val="left" w:pos="2916"/>
        </w:tabs>
        <w:kinsoku/>
        <w:wordWrap/>
        <w:overflowPunct/>
        <w:topLinePunct w:val="0"/>
        <w:autoSpaceDE/>
        <w:autoSpaceDN/>
        <w:bidi w:val="0"/>
        <w:adjustRightInd/>
        <w:snapToGrid/>
        <w:spacing w:line="520" w:lineRule="exact"/>
        <w:jc w:val="center"/>
        <w:textAlignment w:val="auto"/>
        <w:rPr>
          <w:rFonts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琼海市统计局</w:t>
      </w:r>
    </w:p>
    <w:p>
      <w:pPr>
        <w:keepNext w:val="0"/>
        <w:keepLines w:val="0"/>
        <w:pageBreakBefore w:val="0"/>
        <w:widowControl w:val="0"/>
        <w:tabs>
          <w:tab w:val="left" w:pos="2916"/>
        </w:tabs>
        <w:kinsoku/>
        <w:wordWrap/>
        <w:overflowPunct/>
        <w:topLinePunct w:val="0"/>
        <w:autoSpaceDE/>
        <w:autoSpaceDN/>
        <w:bidi w:val="0"/>
        <w:adjustRightInd/>
        <w:snapToGrid/>
        <w:spacing w:line="520" w:lineRule="exact"/>
        <w:jc w:val="center"/>
        <w:textAlignment w:val="auto"/>
        <w:rPr>
          <w:rFonts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202</w:t>
      </w:r>
      <w:r>
        <w:rPr>
          <w:rFonts w:hint="eastAsia" w:ascii="楷体_GB2312" w:hAnsi="楷体_GB2312" w:eastAsia="楷体_GB2312" w:cs="楷体_GB2312"/>
          <w:color w:val="000000" w:themeColor="text1"/>
          <w:sz w:val="28"/>
          <w:szCs w:val="28"/>
          <w:lang w:val="en-US" w:eastAsia="zh-CN"/>
          <w14:textFill>
            <w14:solidFill>
              <w14:schemeClr w14:val="tx1"/>
            </w14:solidFill>
          </w14:textFill>
        </w:rPr>
        <w:t>3</w:t>
      </w:r>
      <w:r>
        <w:rPr>
          <w:rFonts w:hint="eastAsia" w:ascii="楷体_GB2312" w:hAnsi="楷体_GB2312" w:eastAsia="楷体_GB2312" w:cs="楷体_GB2312"/>
          <w:color w:val="000000" w:themeColor="text1"/>
          <w:sz w:val="28"/>
          <w:szCs w:val="28"/>
          <w14:textFill>
            <w14:solidFill>
              <w14:schemeClr w14:val="tx1"/>
            </w14:solidFill>
          </w14:textFill>
        </w:rPr>
        <w:t>年</w:t>
      </w:r>
      <w:r>
        <w:rPr>
          <w:rFonts w:hint="eastAsia" w:ascii="楷体_GB2312" w:hAnsi="楷体_GB2312" w:eastAsia="楷体_GB2312" w:cs="楷体_GB2312"/>
          <w:color w:val="000000" w:themeColor="text1"/>
          <w:sz w:val="28"/>
          <w:szCs w:val="28"/>
          <w:lang w:val="en-US" w:eastAsia="zh-CN"/>
          <w14:textFill>
            <w14:solidFill>
              <w14:schemeClr w14:val="tx1"/>
            </w14:solidFill>
          </w14:textFill>
        </w:rPr>
        <w:t>4</w:t>
      </w:r>
      <w:r>
        <w:rPr>
          <w:rFonts w:hint="eastAsia" w:ascii="楷体_GB2312" w:hAnsi="楷体_GB2312" w:eastAsia="楷体_GB2312" w:cs="楷体_GB2312"/>
          <w:color w:val="000000" w:themeColor="text1"/>
          <w:sz w:val="28"/>
          <w:szCs w:val="28"/>
          <w14:textFill>
            <w14:solidFill>
              <w14:schemeClr w14:val="tx1"/>
            </w14:solidFill>
          </w14:textFill>
        </w:rPr>
        <w:t>月</w:t>
      </w:r>
    </w:p>
    <w:p>
      <w:pPr>
        <w:pStyle w:val="18"/>
        <w:keepNext w:val="0"/>
        <w:keepLines w:val="0"/>
        <w:pageBreakBefore w:val="0"/>
        <w:widowControl w:val="0"/>
        <w:kinsoku/>
        <w:wordWrap/>
        <w:overflowPunct/>
        <w:topLinePunct w:val="0"/>
        <w:bidi w:val="0"/>
        <w:snapToGrid/>
        <w:spacing w:line="560" w:lineRule="exact"/>
        <w:textAlignment w:val="auto"/>
        <w:rPr>
          <w:color w:val="0000FF"/>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2022年，面对复杂多变的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经济</w:t>
      </w:r>
      <w:r>
        <w:rPr>
          <w:rFonts w:hint="eastAsia" w:ascii="仿宋_GB2312" w:hAnsi="仿宋_GB2312" w:eastAsia="仿宋_GB2312" w:cs="仿宋_GB2312"/>
          <w:color w:val="000000" w:themeColor="text1"/>
          <w:sz w:val="32"/>
          <w:szCs w:val="32"/>
          <w14:textFill>
            <w14:solidFill>
              <w14:schemeClr w14:val="tx1"/>
            </w14:solidFill>
          </w14:textFill>
        </w:rPr>
        <w:t>环境和“0331”、“0801”两轮疫情冲击，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在市委、市政府的坚强领导下，</w:t>
      </w:r>
      <w:r>
        <w:rPr>
          <w:rFonts w:hint="eastAsia" w:ascii="仿宋_GB2312" w:hAnsi="仿宋_GB2312" w:eastAsia="仿宋_GB2312" w:cs="仿宋_GB2312"/>
          <w:color w:val="000000" w:themeColor="text1"/>
          <w:sz w:val="32"/>
          <w:szCs w:val="32"/>
          <w14:textFill>
            <w14:solidFill>
              <w14:schemeClr w14:val="tx1"/>
            </w14:solidFill>
          </w14:textFill>
        </w:rPr>
        <w:t>认真贯彻落实中央、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省委省政府决策部署，</w:t>
      </w:r>
      <w:r>
        <w:rPr>
          <w:rFonts w:hint="eastAsia" w:ascii="仿宋_GB2312" w:hAnsi="仿宋_GB2312" w:eastAsia="仿宋_GB2312" w:cs="仿宋_GB2312"/>
          <w:color w:val="000000" w:themeColor="text1"/>
          <w:sz w:val="32"/>
          <w:szCs w:val="32"/>
          <w14:textFill>
            <w14:solidFill>
              <w14:schemeClr w14:val="tx1"/>
            </w14:solidFill>
          </w14:textFill>
        </w:rPr>
        <w:t>科学统筹疫情防控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和经济社会发展</w:t>
      </w:r>
      <w:r>
        <w:rPr>
          <w:rFonts w:hint="eastAsia" w:ascii="仿宋_GB2312" w:hAnsi="仿宋_GB2312" w:eastAsia="仿宋_GB2312" w:cs="仿宋_GB2312"/>
          <w:color w:val="000000" w:themeColor="text1"/>
          <w:sz w:val="32"/>
          <w:szCs w:val="32"/>
          <w14:textFill>
            <w14:solidFill>
              <w14:schemeClr w14:val="tx1"/>
            </w14:solidFill>
          </w14:textFill>
        </w:rPr>
        <w:t>，推出经济恢复提振32条等超常规举措，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加快</w:t>
      </w:r>
      <w:r>
        <w:rPr>
          <w:rFonts w:hint="eastAsia" w:ascii="仿宋_GB2312" w:hAnsi="仿宋_GB2312" w:eastAsia="仿宋_GB2312" w:cs="仿宋_GB2312"/>
          <w:color w:val="000000" w:themeColor="text1"/>
          <w:sz w:val="32"/>
          <w:szCs w:val="32"/>
          <w14:textFill>
            <w14:solidFill>
              <w14:schemeClr w14:val="tx1"/>
            </w14:solidFill>
          </w14:textFill>
        </w:rPr>
        <w:t>提振市场预期和信心，全年经济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顶压持续恢复，高质量发展取得积极成效</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一、综合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经海南省统计局统一核算，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2022年全</w:t>
      </w:r>
      <w:r>
        <w:rPr>
          <w:rFonts w:hint="eastAsia" w:ascii="仿宋_GB2312" w:hAnsi="仿宋_GB2312" w:eastAsia="仿宋_GB2312" w:cs="仿宋_GB2312"/>
          <w:color w:val="000000" w:themeColor="text1"/>
          <w:sz w:val="32"/>
          <w:szCs w:val="32"/>
          <w14:textFill>
            <w14:solidFill>
              <w14:schemeClr w14:val="tx1"/>
            </w14:solidFill>
          </w14:textFill>
        </w:rPr>
        <w:t>市地区生产总值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356.9</w:t>
      </w:r>
      <w:r>
        <w:rPr>
          <w:rFonts w:hint="eastAsia" w:ascii="仿宋_GB2312" w:hAnsi="仿宋_GB2312" w:eastAsia="仿宋_GB2312" w:cs="仿宋_GB2312"/>
          <w:color w:val="000000" w:themeColor="text1"/>
          <w:sz w:val="32"/>
          <w:szCs w:val="32"/>
          <w14:textFill>
            <w14:solidFill>
              <w14:schemeClr w14:val="tx1"/>
            </w14:solidFill>
          </w14:textFill>
        </w:rPr>
        <w:t>亿元，</w:t>
      </w: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按不变价格计算，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比上年</w:t>
      </w:r>
      <w:r>
        <w:rPr>
          <w:rFonts w:hint="eastAsia" w:ascii="仿宋_GB2312" w:hAnsi="仿宋_GB2312" w:eastAsia="仿宋_GB2312" w:cs="仿宋_GB2312"/>
          <w:color w:val="000000" w:themeColor="text1"/>
          <w:sz w:val="32"/>
          <w:szCs w:val="32"/>
          <w14:textFill>
            <w14:solidFill>
              <w14:schemeClr w14:val="tx1"/>
            </w14:solidFill>
          </w14:textFill>
        </w:rPr>
        <w:t>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0.3</w:t>
      </w:r>
      <w:r>
        <w:rPr>
          <w:rFonts w:hint="eastAsia" w:ascii="仿宋_GB2312" w:hAnsi="仿宋_GB2312" w:eastAsia="仿宋_GB2312" w:cs="仿宋_GB2312"/>
          <w:color w:val="000000" w:themeColor="text1"/>
          <w:sz w:val="32"/>
          <w:szCs w:val="32"/>
          <w14:textFill>
            <w14:solidFill>
              <w14:schemeClr w14:val="tx1"/>
            </w14:solidFill>
          </w14:textFill>
        </w:rPr>
        <w:t>%。其中，第一产业增加值125.7亿元，增长3.6%；第二产业增加值46.6亿元，增长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.6%；第三产业增加值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184.7</w:t>
      </w:r>
      <w:r>
        <w:rPr>
          <w:rFonts w:hint="eastAsia" w:ascii="仿宋_GB2312" w:hAnsi="仿宋_GB2312" w:eastAsia="仿宋_GB2312" w:cs="仿宋_GB2312"/>
          <w:color w:val="000000" w:themeColor="text1"/>
          <w:sz w:val="32"/>
          <w:szCs w:val="32"/>
          <w14:textFill>
            <w14:solidFill>
              <w14:schemeClr w14:val="tx1"/>
            </w14:solidFill>
          </w14:textFill>
        </w:rPr>
        <w:t>亿元，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下降1.6</w:t>
      </w:r>
      <w:r>
        <w:rPr>
          <w:rFonts w:hint="eastAsia" w:ascii="仿宋_GB2312" w:hAnsi="仿宋_GB2312" w:eastAsia="仿宋_GB2312" w:cs="仿宋_GB2312"/>
          <w:color w:val="000000" w:themeColor="text1"/>
          <w:sz w:val="32"/>
          <w:szCs w:val="32"/>
          <w14:textFill>
            <w14:solidFill>
              <w14:schemeClr w14:val="tx1"/>
            </w14:solidFill>
          </w14:textFill>
        </w:rPr>
        <w:t>%。三次产业结构调整为35.2:13:51.8。全年人均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地区</w:t>
      </w:r>
      <w:r>
        <w:rPr>
          <w:rFonts w:hint="eastAsia" w:ascii="仿宋_GB2312" w:hAnsi="仿宋_GB2312" w:eastAsia="仿宋_GB2312" w:cs="仿宋_GB2312"/>
          <w:color w:val="000000" w:themeColor="text1"/>
          <w:sz w:val="32"/>
          <w:szCs w:val="32"/>
          <w14:textFill>
            <w14:solidFill>
              <w14:schemeClr w14:val="tx1"/>
            </w14:solidFill>
          </w14:textFill>
        </w:rPr>
        <w:t>生产总值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66681</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按不变价格计算，</w:t>
      </w:r>
      <w:r>
        <w:rPr>
          <w:rFonts w:hint="eastAsia" w:ascii="仿宋_GB2312" w:hAnsi="仿宋_GB2312" w:eastAsia="仿宋_GB2312" w:cs="仿宋_GB2312"/>
          <w:color w:val="000000" w:themeColor="text1"/>
          <w:sz w:val="32"/>
          <w:szCs w:val="32"/>
          <w14:textFill>
            <w14:solidFill>
              <w14:schemeClr w14:val="tx1"/>
            </w14:solidFill>
          </w14:textFill>
        </w:rPr>
        <w:t>比上年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下降0.5</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rPr>
          <w:rFonts w:hint="eastAsia"/>
        </w:rPr>
      </w:pPr>
      <w:r>
        <w:rPr>
          <w:rFonts w:hint="eastAsia" w:ascii="仿宋_GB2312" w:hAnsi="仿宋_GB2312" w:eastAsia="仿宋_GB2312" w:cs="仿宋_GB2312"/>
          <w:color w:val="000000"/>
          <w:sz w:val="32"/>
          <w:szCs w:val="32"/>
        </w:rPr>
        <w:pict>
          <v:shape id="Object 2" o:spid="_x0000_s1026" o:spt="75" type="#_x0000_t75" style="position:absolute;left:0pt;margin-left:4.65pt;margin-top:36.35pt;height:228.7pt;width:419.9pt;mso-wrap-distance-left:9pt;mso-wrap-distance-right:9pt;z-index:-251652096;mso-width-relative:page;mso-height-relative:page;" o:ole="t" filled="f" o:preferrelative="t" stroked="f" coordsize="21600,21600" wrapcoords="21592 -2 0 0 0 21600 21592 21602 8 21602 21600 21600 21600 0 8 -2 21592 -2">
            <v:path/>
            <v:fill on="f" focussize="0,0"/>
            <v:stroke on="f"/>
            <v:imagedata r:id="rId6" o:title=""/>
            <o:lock v:ext="edit" aspectratio="f"/>
            <w10:wrap type="tight"/>
          </v:shape>
          <o:OLEObject Type="Embed" ProgID="Excel.Sheet.8" ShapeID="Object 2" DrawAspect="Content" ObjectID="_1468075725" r:id="rId5">
            <o:LockedField>false</o:LockedField>
          </o:OLEObject>
        </w:pict>
      </w:r>
    </w:p>
    <w:p>
      <w:pPr>
        <w:pStyle w:val="17"/>
        <w:spacing w:line="520" w:lineRule="exact"/>
        <w:ind w:firstLine="0" w:firstLineChars="0"/>
        <w:rPr>
          <w:rFonts w:ascii="仿宋" w:hAnsi="仿宋" w:eastAsia="仿宋" w:cs="仿宋"/>
          <w:color w:val="0000FF"/>
          <w:sz w:val="32"/>
          <w:szCs w:val="32"/>
        </w:rPr>
      </w:pPr>
      <w:r>
        <w:rPr>
          <w:rFonts w:hint="eastAsia" w:ascii="仿宋" w:hAnsi="仿宋" w:eastAsia="仿宋" w:cs="仿宋"/>
          <w:color w:val="0000FF"/>
          <w:sz w:val="32"/>
          <w:szCs w:val="32"/>
        </w:rPr>
        <w:drawing>
          <wp:anchor distT="0" distB="0" distL="114300" distR="114300" simplePos="0" relativeHeight="251659264" behindDoc="1" locked="0" layoutInCell="1" allowOverlap="1">
            <wp:simplePos x="0" y="0"/>
            <wp:positionH relativeFrom="column">
              <wp:posOffset>-77470</wp:posOffset>
            </wp:positionH>
            <wp:positionV relativeFrom="paragraph">
              <wp:posOffset>110490</wp:posOffset>
            </wp:positionV>
            <wp:extent cx="5466080" cy="3153410"/>
            <wp:effectExtent l="0" t="0" r="1270" b="8890"/>
            <wp:wrapTight wrapText="bothSides">
              <wp:wrapPolygon>
                <wp:start x="0" y="0"/>
                <wp:lineTo x="0" y="21530"/>
                <wp:lineTo x="21530" y="21530"/>
                <wp:lineTo x="21530" y="0"/>
                <wp:lineTo x="0" y="0"/>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末全市常住人口53.6万人,比上年末增加0.14万人，其中城镇常住人口27.18万人，城镇化率为50.71%。全年出生率为7.23‰，死亡率为7.21‰，自然增长率为0.02‰。从年龄结构看，0-14岁人口9.46万人，15-64岁人口35.9万人，65岁及以上人口</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8.24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全年全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城镇新增就业6158人，完成年度计划的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102.6</w:t>
      </w:r>
      <w:r>
        <w:rPr>
          <w:rFonts w:hint="eastAsia" w:ascii="仿宋_GB2312" w:hAnsi="仿宋_GB2312" w:eastAsia="仿宋_GB2312" w:cs="仿宋_GB2312"/>
          <w:color w:val="000000" w:themeColor="text1"/>
          <w:sz w:val="32"/>
          <w:szCs w:val="32"/>
          <w14:textFill>
            <w14:solidFill>
              <w14:schemeClr w14:val="tx1"/>
            </w14:solidFill>
          </w14:textFill>
        </w:rPr>
        <w:t>%。农村劳动力转移就业4718人，完成年度计划的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109.7</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全年居民消费价格比上年上涨2.3%。其中，交通和通信价格上涨6.2%，涨幅为居民消费八大类之首；其次是食品烟酒、教育文化和娱乐，价格分别上涨2.5%、2.4%。</w:t>
      </w:r>
    </w:p>
    <w:tbl>
      <w:tblPr>
        <w:tblStyle w:val="11"/>
        <w:tblW w:w="7960" w:type="dxa"/>
        <w:jc w:val="center"/>
        <w:shd w:val="clear" w:color="auto" w:fill="auto"/>
        <w:tblLayout w:type="fixed"/>
        <w:tblCellMar>
          <w:top w:w="0" w:type="dxa"/>
          <w:left w:w="0" w:type="dxa"/>
          <w:bottom w:w="0" w:type="dxa"/>
          <w:right w:w="0" w:type="dxa"/>
        </w:tblCellMar>
      </w:tblPr>
      <w:tblGrid>
        <w:gridCol w:w="3772"/>
        <w:gridCol w:w="4188"/>
      </w:tblGrid>
      <w:tr>
        <w:tblPrEx>
          <w:tblCellMar>
            <w:top w:w="0" w:type="dxa"/>
            <w:left w:w="0" w:type="dxa"/>
            <w:bottom w:w="0" w:type="dxa"/>
            <w:right w:w="0" w:type="dxa"/>
          </w:tblCellMar>
        </w:tblPrEx>
        <w:trPr>
          <w:trHeight w:val="795" w:hRule="atLeast"/>
          <w:jc w:val="center"/>
        </w:trPr>
        <w:tc>
          <w:tcPr>
            <w:tcW w:w="7960" w:type="dxa"/>
            <w:gridSpan w:val="2"/>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黑体" w:hAnsi="黑体" w:eastAsia="黑体" w:cs="黑体"/>
                <w:b w:val="0"/>
                <w:bCs/>
                <w:i w:val="0"/>
                <w:color w:val="000000"/>
                <w:kern w:val="0"/>
                <w:sz w:val="30"/>
                <w:szCs w:val="30"/>
                <w:u w:val="none"/>
                <w:lang w:val="en-US" w:eastAsia="zh-CN" w:bidi="ar"/>
              </w:rPr>
              <w:t>表1  2022年居民消费价格比上年涨跌幅度</w:t>
            </w:r>
          </w:p>
        </w:tc>
      </w:tr>
      <w:tr>
        <w:tblPrEx>
          <w:shd w:val="clear" w:color="auto" w:fill="auto"/>
          <w:tblCellMar>
            <w:top w:w="0" w:type="dxa"/>
            <w:left w:w="0" w:type="dxa"/>
            <w:bottom w:w="0" w:type="dxa"/>
            <w:right w:w="0" w:type="dxa"/>
          </w:tblCellMar>
        </w:tblPrEx>
        <w:trPr>
          <w:trHeight w:val="359" w:hRule="atLeast"/>
          <w:jc w:val="center"/>
        </w:trPr>
        <w:tc>
          <w:tcPr>
            <w:tcW w:w="3772" w:type="dxa"/>
            <w:vMerge w:val="restart"/>
            <w:tcBorders>
              <w:top w:val="single" w:color="000000" w:sz="12"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指标</w:t>
            </w:r>
          </w:p>
        </w:tc>
        <w:tc>
          <w:tcPr>
            <w:tcW w:w="4188" w:type="dxa"/>
            <w:vMerge w:val="restart"/>
            <w:tcBorders>
              <w:top w:val="single" w:color="000000" w:sz="12"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比上年涨跌幅度（%）</w:t>
            </w:r>
          </w:p>
        </w:tc>
      </w:tr>
      <w:tr>
        <w:tblPrEx>
          <w:shd w:val="clear" w:color="auto" w:fill="auto"/>
          <w:tblCellMar>
            <w:top w:w="0" w:type="dxa"/>
            <w:left w:w="0" w:type="dxa"/>
            <w:bottom w:w="0" w:type="dxa"/>
            <w:right w:w="0" w:type="dxa"/>
          </w:tblCellMar>
        </w:tblPrEx>
        <w:trPr>
          <w:trHeight w:val="312" w:hRule="atLeast"/>
          <w:jc w:val="center"/>
        </w:trPr>
        <w:tc>
          <w:tcPr>
            <w:tcW w:w="377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88" w:type="dxa"/>
            <w:vMerge w:val="continue"/>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42" w:hRule="atLeast"/>
          <w:jc w:val="center"/>
        </w:trPr>
        <w:tc>
          <w:tcPr>
            <w:tcW w:w="377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居民消费价格</w:t>
            </w:r>
          </w:p>
        </w:tc>
        <w:tc>
          <w:tcPr>
            <w:tcW w:w="4188" w:type="dxa"/>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2.3</w:t>
            </w:r>
          </w:p>
        </w:tc>
      </w:tr>
      <w:tr>
        <w:tblPrEx>
          <w:shd w:val="clear" w:color="auto" w:fill="auto"/>
          <w:tblCellMar>
            <w:top w:w="0" w:type="dxa"/>
            <w:left w:w="0" w:type="dxa"/>
            <w:bottom w:w="0" w:type="dxa"/>
            <w:right w:w="0" w:type="dxa"/>
          </w:tblCellMar>
        </w:tblPrEx>
        <w:trPr>
          <w:trHeight w:val="422" w:hRule="atLeast"/>
          <w:jc w:val="center"/>
        </w:trPr>
        <w:tc>
          <w:tcPr>
            <w:tcW w:w="377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其中：食品烟酒</w:t>
            </w:r>
          </w:p>
        </w:tc>
        <w:tc>
          <w:tcPr>
            <w:tcW w:w="4188" w:type="dxa"/>
            <w:tcBorders>
              <w:top w:val="nil"/>
              <w:left w:val="single" w:color="000000" w:sz="4" w:space="0"/>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2.5</w:t>
            </w:r>
          </w:p>
        </w:tc>
      </w:tr>
      <w:tr>
        <w:tblPrEx>
          <w:shd w:val="clear" w:color="auto" w:fill="auto"/>
          <w:tblCellMar>
            <w:top w:w="0" w:type="dxa"/>
            <w:left w:w="0" w:type="dxa"/>
            <w:bottom w:w="0" w:type="dxa"/>
            <w:right w:w="0" w:type="dxa"/>
          </w:tblCellMar>
        </w:tblPrEx>
        <w:trPr>
          <w:trHeight w:val="422" w:hRule="atLeast"/>
          <w:jc w:val="center"/>
        </w:trPr>
        <w:tc>
          <w:tcPr>
            <w:tcW w:w="377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衣着</w:t>
            </w:r>
          </w:p>
        </w:tc>
        <w:tc>
          <w:tcPr>
            <w:tcW w:w="4188" w:type="dxa"/>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2.0</w:t>
            </w:r>
          </w:p>
        </w:tc>
      </w:tr>
      <w:tr>
        <w:tblPrEx>
          <w:shd w:val="clear" w:color="auto" w:fill="auto"/>
          <w:tblCellMar>
            <w:top w:w="0" w:type="dxa"/>
            <w:left w:w="0" w:type="dxa"/>
            <w:bottom w:w="0" w:type="dxa"/>
            <w:right w:w="0" w:type="dxa"/>
          </w:tblCellMar>
        </w:tblPrEx>
        <w:trPr>
          <w:trHeight w:val="422" w:hRule="atLeast"/>
          <w:jc w:val="center"/>
        </w:trPr>
        <w:tc>
          <w:tcPr>
            <w:tcW w:w="377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2"/>
                <w:sz w:val="24"/>
                <w:szCs w:val="24"/>
                <w:u w:val="none"/>
                <w:lang w:val="en-US" w:eastAsia="zh-CN" w:bidi="ar-SA"/>
              </w:rPr>
            </w:pPr>
            <w:r>
              <w:rPr>
                <w:rFonts w:hint="eastAsia" w:ascii="宋体" w:hAnsi="宋体" w:eastAsia="宋体" w:cs="宋体"/>
                <w:b/>
                <w:bCs/>
                <w:i w:val="0"/>
                <w:color w:val="000000"/>
                <w:kern w:val="0"/>
                <w:sz w:val="24"/>
                <w:szCs w:val="24"/>
                <w:u w:val="none"/>
                <w:lang w:val="en-US" w:eastAsia="zh-CN" w:bidi="ar"/>
              </w:rPr>
              <w:t>指标</w:t>
            </w:r>
          </w:p>
        </w:tc>
        <w:tc>
          <w:tcPr>
            <w:tcW w:w="4188" w:type="dxa"/>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2"/>
                <w:sz w:val="24"/>
                <w:szCs w:val="24"/>
                <w:u w:val="none"/>
                <w:lang w:val="en-US" w:eastAsia="zh-CN" w:bidi="ar-SA"/>
              </w:rPr>
            </w:pPr>
            <w:r>
              <w:rPr>
                <w:rFonts w:hint="eastAsia" w:ascii="宋体" w:hAnsi="宋体" w:eastAsia="宋体" w:cs="宋体"/>
                <w:b/>
                <w:bCs/>
                <w:i w:val="0"/>
                <w:color w:val="000000"/>
                <w:kern w:val="0"/>
                <w:sz w:val="24"/>
                <w:szCs w:val="24"/>
                <w:u w:val="none"/>
                <w:lang w:val="en-US" w:eastAsia="zh-CN" w:bidi="ar"/>
              </w:rPr>
              <w:t>比上年涨跌幅度（%）</w:t>
            </w:r>
          </w:p>
        </w:tc>
      </w:tr>
      <w:tr>
        <w:tblPrEx>
          <w:shd w:val="clear" w:color="auto" w:fill="auto"/>
          <w:tblCellMar>
            <w:top w:w="0" w:type="dxa"/>
            <w:left w:w="0" w:type="dxa"/>
            <w:bottom w:w="0" w:type="dxa"/>
            <w:right w:w="0" w:type="dxa"/>
          </w:tblCellMar>
        </w:tblPrEx>
        <w:trPr>
          <w:trHeight w:val="422" w:hRule="atLeast"/>
          <w:jc w:val="center"/>
        </w:trPr>
        <w:tc>
          <w:tcPr>
            <w:tcW w:w="377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居住</w:t>
            </w:r>
          </w:p>
        </w:tc>
        <w:tc>
          <w:tcPr>
            <w:tcW w:w="4188" w:type="dxa"/>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1.3</w:t>
            </w:r>
          </w:p>
        </w:tc>
      </w:tr>
      <w:tr>
        <w:tblPrEx>
          <w:shd w:val="clear" w:color="auto" w:fill="auto"/>
          <w:tblCellMar>
            <w:top w:w="0" w:type="dxa"/>
            <w:left w:w="0" w:type="dxa"/>
            <w:bottom w:w="0" w:type="dxa"/>
            <w:right w:w="0" w:type="dxa"/>
          </w:tblCellMar>
        </w:tblPrEx>
        <w:trPr>
          <w:trHeight w:val="422" w:hRule="atLeast"/>
          <w:jc w:val="center"/>
        </w:trPr>
        <w:tc>
          <w:tcPr>
            <w:tcW w:w="377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生活用品及服务</w:t>
            </w:r>
          </w:p>
        </w:tc>
        <w:tc>
          <w:tcPr>
            <w:tcW w:w="4188" w:type="dxa"/>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0.5</w:t>
            </w:r>
            <w:r>
              <w:rPr>
                <w:rFonts w:hint="default" w:ascii="Times New Roman" w:hAnsi="Times New Roman" w:eastAsia="宋体" w:cs="Times New Roman"/>
                <w:i w:val="0"/>
                <w:color w:val="000000"/>
                <w:kern w:val="0"/>
                <w:sz w:val="24"/>
                <w:szCs w:val="24"/>
                <w:u w:val="none"/>
                <w:lang w:val="en-US" w:eastAsia="zh-CN" w:bidi="ar"/>
              </w:rPr>
              <w:t xml:space="preserve"> </w:t>
            </w:r>
          </w:p>
        </w:tc>
      </w:tr>
      <w:tr>
        <w:tblPrEx>
          <w:tblCellMar>
            <w:top w:w="0" w:type="dxa"/>
            <w:left w:w="0" w:type="dxa"/>
            <w:bottom w:w="0" w:type="dxa"/>
            <w:right w:w="0" w:type="dxa"/>
          </w:tblCellMar>
        </w:tblPrEx>
        <w:trPr>
          <w:trHeight w:val="422" w:hRule="atLeast"/>
          <w:jc w:val="center"/>
        </w:trPr>
        <w:tc>
          <w:tcPr>
            <w:tcW w:w="377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交通和通信</w:t>
            </w:r>
          </w:p>
        </w:tc>
        <w:tc>
          <w:tcPr>
            <w:tcW w:w="4188" w:type="dxa"/>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6.2</w:t>
            </w:r>
          </w:p>
        </w:tc>
      </w:tr>
      <w:tr>
        <w:tblPrEx>
          <w:shd w:val="clear" w:color="auto" w:fill="auto"/>
          <w:tblCellMar>
            <w:top w:w="0" w:type="dxa"/>
            <w:left w:w="0" w:type="dxa"/>
            <w:bottom w:w="0" w:type="dxa"/>
            <w:right w:w="0" w:type="dxa"/>
          </w:tblCellMar>
        </w:tblPrEx>
        <w:trPr>
          <w:trHeight w:val="422" w:hRule="atLeast"/>
          <w:jc w:val="center"/>
        </w:trPr>
        <w:tc>
          <w:tcPr>
            <w:tcW w:w="377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教育文化和娱乐</w:t>
            </w:r>
          </w:p>
        </w:tc>
        <w:tc>
          <w:tcPr>
            <w:tcW w:w="4188" w:type="dxa"/>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2.4</w:t>
            </w:r>
          </w:p>
        </w:tc>
      </w:tr>
      <w:tr>
        <w:tblPrEx>
          <w:tblCellMar>
            <w:top w:w="0" w:type="dxa"/>
            <w:left w:w="0" w:type="dxa"/>
            <w:bottom w:w="0" w:type="dxa"/>
            <w:right w:w="0" w:type="dxa"/>
          </w:tblCellMar>
        </w:tblPrEx>
        <w:trPr>
          <w:trHeight w:val="422" w:hRule="atLeast"/>
          <w:jc w:val="center"/>
        </w:trPr>
        <w:tc>
          <w:tcPr>
            <w:tcW w:w="377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医疗保健</w:t>
            </w:r>
          </w:p>
        </w:tc>
        <w:tc>
          <w:tcPr>
            <w:tcW w:w="4188" w:type="dxa"/>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-0.1</w:t>
            </w:r>
            <w:r>
              <w:rPr>
                <w:rFonts w:hint="default" w:ascii="Times New Roman" w:hAnsi="Times New Roman" w:eastAsia="宋体" w:cs="Times New Roman"/>
                <w:i w:val="0"/>
                <w:color w:val="000000"/>
                <w:kern w:val="0"/>
                <w:sz w:val="24"/>
                <w:szCs w:val="24"/>
                <w:u w:val="none"/>
                <w:lang w:val="en-US" w:eastAsia="zh-CN" w:bidi="ar"/>
              </w:rPr>
              <w:t xml:space="preserve"> </w:t>
            </w:r>
          </w:p>
        </w:tc>
      </w:tr>
      <w:tr>
        <w:tblPrEx>
          <w:tblCellMar>
            <w:top w:w="0" w:type="dxa"/>
            <w:left w:w="0" w:type="dxa"/>
            <w:bottom w:w="0" w:type="dxa"/>
            <w:right w:w="0" w:type="dxa"/>
          </w:tblCellMar>
        </w:tblPrEx>
        <w:trPr>
          <w:trHeight w:val="472" w:hRule="atLeast"/>
          <w:jc w:val="center"/>
        </w:trPr>
        <w:tc>
          <w:tcPr>
            <w:tcW w:w="3772" w:type="dxa"/>
            <w:tcBorders>
              <w:top w:val="nil"/>
              <w:left w:val="nil"/>
              <w:bottom w:val="single" w:color="000000" w:sz="12"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其他用品和服务</w:t>
            </w:r>
          </w:p>
        </w:tc>
        <w:tc>
          <w:tcPr>
            <w:tcW w:w="4188" w:type="dxa"/>
            <w:tcBorders>
              <w:top w:val="nil"/>
              <w:left w:val="single" w:color="000000" w:sz="4" w:space="0"/>
              <w:bottom w:val="single" w:color="000000" w:sz="12"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1.7</w:t>
            </w:r>
          </w:p>
        </w:tc>
      </w:tr>
    </w:tbl>
    <w:p>
      <w:pPr>
        <w:tabs>
          <w:tab w:val="left" w:pos="726"/>
        </w:tabs>
        <w:spacing w:line="520" w:lineRule="exact"/>
        <w:rPr>
          <w:rFonts w:hint="eastAsia" w:ascii="仿宋_GB2312" w:hAnsi="仿宋_GB2312" w:eastAsia="仿宋_GB2312" w:cs="仿宋_GB2312"/>
          <w:b/>
          <w:bCs/>
          <w:color w:val="0000FF"/>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 w:hAnsi="仿宋" w:eastAsia="仿宋" w:cs="仿宋"/>
          <w:color w:val="0000FF"/>
          <w:sz w:val="32"/>
          <w:szCs w:val="32"/>
        </w:rPr>
        <w:drawing>
          <wp:anchor distT="0" distB="0" distL="114300" distR="114300" simplePos="0" relativeHeight="251663360" behindDoc="1" locked="0" layoutInCell="1" allowOverlap="1">
            <wp:simplePos x="0" y="0"/>
            <wp:positionH relativeFrom="column">
              <wp:posOffset>135255</wp:posOffset>
            </wp:positionH>
            <wp:positionV relativeFrom="paragraph">
              <wp:posOffset>186055</wp:posOffset>
            </wp:positionV>
            <wp:extent cx="5601970" cy="3070860"/>
            <wp:effectExtent l="0" t="0" r="17780" b="34290"/>
            <wp:wrapTight wrapText="bothSides">
              <wp:wrapPolygon>
                <wp:start x="0" y="0"/>
                <wp:lineTo x="0" y="21439"/>
                <wp:lineTo x="21522" y="21439"/>
                <wp:lineTo x="21522" y="0"/>
                <wp:lineTo x="0" y="0"/>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全年新认定高新技术企业7家，比上年增长16.6%。</w:t>
      </w:r>
      <w:r>
        <w:rPr>
          <w:rFonts w:hint="eastAsia" w:ascii="仿宋_GB2312" w:hAnsi="仿宋_GB2312" w:eastAsia="仿宋_GB2312" w:cs="仿宋_GB2312"/>
          <w:color w:val="000000" w:themeColor="text1"/>
          <w:sz w:val="32"/>
          <w:szCs w:val="32"/>
          <w14:textFill>
            <w14:solidFill>
              <w14:schemeClr w14:val="tx1"/>
            </w14:solidFill>
          </w14:textFill>
        </w:rPr>
        <w:t>从事科技活动人员501人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全年高技术产业投资占比2.0%。全年推广新能源汽车3029辆，比上年增长88.1%。</w:t>
      </w:r>
      <w:r>
        <w:rPr>
          <w:rFonts w:hint="eastAsia" w:ascii="仿宋_GB2312" w:hAnsi="仿宋_GB2312" w:eastAsia="仿宋_GB2312" w:cs="仿宋_GB2312"/>
          <w:color w:val="000000" w:themeColor="text1"/>
          <w:sz w:val="32"/>
          <w:szCs w:val="32"/>
          <w14:textFill>
            <w14:solidFill>
              <w14:schemeClr w14:val="tx1"/>
            </w14:solidFill>
          </w14:textFill>
        </w:rPr>
        <w:t>建设5G通信基站305个。依托博鳌亚洲论坛品牌效应，全年举办各类会议会展活动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228</w:t>
      </w:r>
      <w:r>
        <w:rPr>
          <w:rFonts w:hint="eastAsia" w:ascii="仿宋_GB2312" w:hAnsi="仿宋_GB2312" w:eastAsia="仿宋_GB2312" w:cs="仿宋_GB2312"/>
          <w:color w:val="000000" w:themeColor="text1"/>
          <w:sz w:val="32"/>
          <w:szCs w:val="32"/>
          <w14:textFill>
            <w14:solidFill>
              <w14:schemeClr w14:val="tx1"/>
            </w14:solidFill>
          </w14:textFill>
        </w:rPr>
        <w:t>场，会议收入约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0.93</w:t>
      </w:r>
      <w:r>
        <w:rPr>
          <w:rFonts w:hint="eastAsia" w:ascii="仿宋_GB2312" w:hAnsi="仿宋_GB2312" w:eastAsia="仿宋_GB2312" w:cs="仿宋_GB2312"/>
          <w:color w:val="000000" w:themeColor="text1"/>
          <w:sz w:val="32"/>
          <w:szCs w:val="32"/>
          <w14:textFill>
            <w14:solidFill>
              <w14:schemeClr w14:val="tx1"/>
            </w14:solidFill>
          </w14:textFill>
        </w:rPr>
        <w:t>亿元，其中，千人以上会议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全年乐城先行区医疗机构接待医疗旅游人数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18.93</w:t>
      </w:r>
      <w:r>
        <w:rPr>
          <w:rFonts w:hint="eastAsia" w:ascii="仿宋_GB2312" w:hAnsi="仿宋_GB2312" w:eastAsia="仿宋_GB2312" w:cs="仿宋_GB2312"/>
          <w:color w:val="000000" w:themeColor="text1"/>
          <w:sz w:val="32"/>
          <w:szCs w:val="32"/>
          <w14:textFill>
            <w14:solidFill>
              <w14:schemeClr w14:val="tx1"/>
            </w14:solidFill>
          </w14:textFill>
        </w:rPr>
        <w:t>万人次，比上年增长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48.7</w:t>
      </w:r>
      <w:r>
        <w:rPr>
          <w:rFonts w:hint="eastAsia" w:ascii="仿宋_GB2312" w:hAnsi="仿宋_GB2312" w:eastAsia="仿宋_GB2312" w:cs="仿宋_GB2312"/>
          <w:color w:val="000000" w:themeColor="text1"/>
          <w:sz w:val="32"/>
          <w:szCs w:val="32"/>
          <w14:textFill>
            <w14:solidFill>
              <w14:schemeClr w14:val="tx1"/>
            </w14:solidFill>
          </w14:textFill>
        </w:rPr>
        <w:t>%；营业收入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28.02</w:t>
      </w:r>
      <w:r>
        <w:rPr>
          <w:rFonts w:hint="eastAsia" w:ascii="仿宋_GB2312" w:hAnsi="仿宋_GB2312" w:eastAsia="仿宋_GB2312" w:cs="仿宋_GB2312"/>
          <w:color w:val="000000" w:themeColor="text1"/>
          <w:sz w:val="32"/>
          <w:szCs w:val="32"/>
          <w14:textFill>
            <w14:solidFill>
              <w14:schemeClr w14:val="tx1"/>
            </w14:solidFill>
          </w14:textFill>
        </w:rPr>
        <w:t>亿元，比上年增长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25.5</w:t>
      </w:r>
      <w:r>
        <w:rPr>
          <w:rFonts w:hint="eastAsia" w:ascii="仿宋_GB2312" w:hAnsi="仿宋_GB2312" w:eastAsia="仿宋_GB2312" w:cs="仿宋_GB2312"/>
          <w:color w:val="000000" w:themeColor="text1"/>
          <w:sz w:val="32"/>
          <w:szCs w:val="32"/>
          <w14:textFill>
            <w14:solidFill>
              <w14:schemeClr w14:val="tx1"/>
            </w14:solidFill>
          </w14:textFill>
        </w:rPr>
        <w:t>%。全年新登记市场主体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1.34万</w:t>
      </w:r>
      <w:r>
        <w:rPr>
          <w:rFonts w:hint="eastAsia" w:ascii="仿宋_GB2312" w:hAnsi="仿宋_GB2312" w:eastAsia="仿宋_GB2312" w:cs="仿宋_GB2312"/>
          <w:color w:val="000000" w:themeColor="text1"/>
          <w:sz w:val="32"/>
          <w:szCs w:val="32"/>
          <w14:textFill>
            <w14:solidFill>
              <w14:schemeClr w14:val="tx1"/>
            </w14:solidFill>
          </w14:textFill>
        </w:rPr>
        <w:t>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比上年增长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巩固拓展脱贫攻坚成果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通过干部摸排、部门筛查预警、农户自主申请等渠道反馈的预警信息，常态化防返贫动态监测。</w:t>
      </w:r>
      <w:r>
        <w:rPr>
          <w:rFonts w:hint="eastAsia" w:ascii="仿宋_GB2312" w:hAnsi="仿宋_GB2312" w:eastAsia="仿宋_GB2312" w:cs="仿宋_GB2312"/>
          <w:color w:val="000000" w:themeColor="text1"/>
          <w:sz w:val="32"/>
          <w:szCs w:val="32"/>
          <w14:textFill>
            <w14:solidFill>
              <w14:schemeClr w14:val="tx1"/>
            </w14:solidFill>
          </w14:textFill>
        </w:rPr>
        <w:t>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防止返贫累计监测对象586户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2132人，其中已消除风险406户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1555人，无新增返贫致贫农户。</w:t>
      </w:r>
    </w:p>
    <w:p>
      <w:pPr>
        <w:spacing w:line="520" w:lineRule="exact"/>
        <w:ind w:firstLine="672" w:firstLineChars="200"/>
        <w:jc w:val="left"/>
        <w:rPr>
          <w:rStyle w:val="13"/>
          <w:rFonts w:ascii="黑体" w:hAnsi="黑体" w:eastAsia="黑体" w:cs="黑体"/>
          <w:b w:val="0"/>
          <w:color w:val="000000" w:themeColor="text1"/>
          <w:spacing w:val="8"/>
          <w:sz w:val="32"/>
          <w:szCs w:val="32"/>
          <w14:textFill>
            <w14:solidFill>
              <w14:schemeClr w14:val="tx1"/>
            </w14:solidFill>
          </w14:textFill>
        </w:rPr>
      </w:pPr>
      <w:r>
        <w:rPr>
          <w:rStyle w:val="13"/>
          <w:rFonts w:hint="eastAsia" w:ascii="黑体" w:hAnsi="黑体" w:eastAsia="黑体" w:cs="黑体"/>
          <w:b w:val="0"/>
          <w:color w:val="000000" w:themeColor="text1"/>
          <w:spacing w:val="8"/>
          <w:sz w:val="32"/>
          <w:szCs w:val="32"/>
          <w14:textFill>
            <w14:solidFill>
              <w14:schemeClr w14:val="tx1"/>
            </w14:solidFill>
          </w14:textFill>
        </w:rPr>
        <w:t>二、农林牧渔业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全年全市农林牧渔业增加值</w:t>
      </w:r>
      <w:r>
        <w:rPr>
          <w:rFonts w:hint="default" w:ascii="仿宋_GB2312" w:hAnsi="仿宋_GB2312" w:eastAsia="仿宋_GB2312" w:cs="仿宋_GB2312"/>
          <w:color w:val="000000" w:themeColor="text1"/>
          <w:sz w:val="32"/>
          <w:szCs w:val="32"/>
          <w:lang w:eastAsia="zh-CN"/>
          <w14:textFill>
            <w14:solidFill>
              <w14:schemeClr w14:val="tx1"/>
            </w14:solidFill>
          </w14:textFill>
        </w:rPr>
        <w:t>133.6</w:t>
      </w:r>
      <w:r>
        <w:rPr>
          <w:rFonts w:hint="eastAsia" w:ascii="仿宋_GB2312" w:hAnsi="仿宋_GB2312" w:eastAsia="仿宋_GB2312" w:cs="仿宋_GB2312"/>
          <w:color w:val="000000" w:themeColor="text1"/>
          <w:sz w:val="32"/>
          <w:szCs w:val="32"/>
          <w14:textFill>
            <w14:solidFill>
              <w14:schemeClr w14:val="tx1"/>
            </w14:solidFill>
          </w14:textFill>
        </w:rPr>
        <w:t>亿元，比上年增长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.0%。其中，热带特色高效农业增加值增长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年末农业机械总动力32.6万千瓦，比上年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w:t>
      </w:r>
      <w:r>
        <w:rPr>
          <w:rFonts w:hint="eastAsia" w:ascii="仿宋_GB2312" w:hAnsi="仿宋_GB2312" w:eastAsia="仿宋_GB2312" w:cs="仿宋_GB2312"/>
          <w:color w:val="000000" w:themeColor="text1"/>
          <w:sz w:val="32"/>
          <w:szCs w:val="32"/>
          <w14:textFill>
            <w14:solidFill>
              <w14:schemeClr w14:val="tx1"/>
            </w14:solidFill>
          </w14:textFill>
        </w:rPr>
        <w:t>0.2%。农用大中型拖拉机375台，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w:t>
      </w:r>
      <w:r>
        <w:rPr>
          <w:rFonts w:hint="eastAsia" w:ascii="仿宋_GB2312" w:hAnsi="仿宋_GB2312" w:eastAsia="仿宋_GB2312" w:cs="仿宋_GB2312"/>
          <w:color w:val="000000" w:themeColor="text1"/>
          <w:sz w:val="32"/>
          <w:szCs w:val="32"/>
          <w14:textFill>
            <w14:solidFill>
              <w14:schemeClr w14:val="tx1"/>
            </w14:solidFill>
          </w14:textFill>
        </w:rPr>
        <w:t>1.6%；农用运输车2925辆，减少58辆。全年农用化肥施用量（折纯）4.6万吨，下降3.2%。现有农田水利有效灌溉面积18.6万亩。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全年全市农林牧渔及服务业总产值</w:t>
      </w:r>
      <w:r>
        <w:rPr>
          <w:rFonts w:hint="default" w:ascii="仿宋_GB2312" w:hAnsi="仿宋_GB2312" w:eastAsia="仿宋_GB2312" w:cs="仿宋_GB2312"/>
          <w:color w:val="000000" w:themeColor="text1"/>
          <w:sz w:val="32"/>
          <w:szCs w:val="32"/>
          <w:lang w:eastAsia="zh-CN"/>
          <w14:textFill>
            <w14:solidFill>
              <w14:schemeClr w14:val="tx1"/>
            </w14:solidFill>
          </w14:textFill>
        </w:rPr>
        <w:t>210.</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亿元，比上年增长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w:t>
      </w:r>
      <w:r>
        <w:rPr>
          <w:rFonts w:hint="eastAsia" w:ascii="仿宋_GB2312" w:hAnsi="仿宋_GB2312" w:eastAsia="仿宋_GB2312" w:cs="仿宋_GB2312"/>
          <w:color w:val="000000" w:themeColor="text1"/>
          <w:sz w:val="32"/>
          <w:szCs w:val="32"/>
          <w14:textFill>
            <w14:solidFill>
              <w14:schemeClr w14:val="tx1"/>
            </w14:solidFill>
          </w14:textFill>
        </w:rPr>
        <w:t>%。从内部行业看，种植业产值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123.0</w:t>
      </w:r>
      <w:r>
        <w:rPr>
          <w:rFonts w:hint="eastAsia" w:ascii="仿宋_GB2312" w:hAnsi="仿宋_GB2312" w:eastAsia="仿宋_GB2312" w:cs="仿宋_GB2312"/>
          <w:color w:val="000000" w:themeColor="text1"/>
          <w:sz w:val="32"/>
          <w:szCs w:val="32"/>
          <w14:textFill>
            <w14:solidFill>
              <w14:schemeClr w14:val="tx1"/>
            </w14:solidFill>
          </w14:textFill>
        </w:rPr>
        <w:t>亿元，增长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w:t>
      </w:r>
      <w:r>
        <w:rPr>
          <w:rFonts w:hint="eastAsia" w:ascii="仿宋_GB2312" w:hAnsi="仿宋_GB2312" w:eastAsia="仿宋_GB2312" w:cs="仿宋_GB2312"/>
          <w:color w:val="000000" w:themeColor="text1"/>
          <w:sz w:val="32"/>
          <w:szCs w:val="32"/>
          <w14:textFill>
            <w14:solidFill>
              <w14:schemeClr w14:val="tx1"/>
            </w14:solidFill>
          </w14:textFill>
        </w:rPr>
        <w:t>%。粮食播种面积27.8万亩，增长0.4%；产量10.0万吨，下降2.9%。蔬菜（含果用瓜）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收获</w:t>
      </w:r>
      <w:r>
        <w:rPr>
          <w:rFonts w:hint="eastAsia" w:ascii="仿宋_GB2312" w:hAnsi="仿宋_GB2312" w:eastAsia="仿宋_GB2312" w:cs="仿宋_GB2312"/>
          <w:color w:val="000000" w:themeColor="text1"/>
          <w:sz w:val="32"/>
          <w:szCs w:val="32"/>
          <w14:textFill>
            <w14:solidFill>
              <w14:schemeClr w14:val="tx1"/>
            </w14:solidFill>
          </w14:textFill>
        </w:rPr>
        <w:t>面积23.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万亩，增长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%；产量5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14:textFill>
            <w14:solidFill>
              <w14:schemeClr w14:val="tx1"/>
            </w14:solidFill>
          </w14:textFill>
        </w:rPr>
        <w:t>万吨，增长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0.4</w:t>
      </w:r>
      <w:r>
        <w:rPr>
          <w:rFonts w:hint="eastAsia" w:ascii="仿宋_GB2312" w:hAnsi="仿宋_GB2312" w:eastAsia="仿宋_GB2312" w:cs="仿宋_GB2312"/>
          <w:color w:val="000000" w:themeColor="text1"/>
          <w:sz w:val="32"/>
          <w:szCs w:val="32"/>
          <w14:textFill>
            <w14:solidFill>
              <w14:schemeClr w14:val="tx1"/>
            </w14:solidFill>
          </w14:textFill>
        </w:rPr>
        <w:t>%。水果收获面积12.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万亩，增长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%；产量27.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万吨，增长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0.6</w:t>
      </w:r>
      <w:r>
        <w:rPr>
          <w:rFonts w:hint="eastAsia" w:ascii="仿宋_GB2312" w:hAnsi="仿宋_GB2312" w:eastAsia="仿宋_GB2312" w:cs="仿宋_GB2312"/>
          <w:color w:val="000000" w:themeColor="text1"/>
          <w:sz w:val="32"/>
          <w:szCs w:val="32"/>
          <w14:textFill>
            <w14:solidFill>
              <w14:schemeClr w14:val="tx1"/>
            </w14:solidFill>
          </w14:textFill>
        </w:rPr>
        <w:t>%。林业产值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13.6</w:t>
      </w:r>
      <w:r>
        <w:rPr>
          <w:rFonts w:hint="eastAsia" w:ascii="仿宋_GB2312" w:hAnsi="仿宋_GB2312" w:eastAsia="仿宋_GB2312" w:cs="仿宋_GB2312"/>
          <w:color w:val="000000" w:themeColor="text1"/>
          <w:sz w:val="32"/>
          <w:szCs w:val="32"/>
          <w14:textFill>
            <w14:solidFill>
              <w14:schemeClr w14:val="tx1"/>
            </w14:solidFill>
          </w14:textFill>
        </w:rPr>
        <w:t>亿元，增长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.8%。橡胶产量2.9万吨，增长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0.2</w:t>
      </w:r>
      <w:r>
        <w:rPr>
          <w:rFonts w:hint="eastAsia" w:ascii="仿宋_GB2312" w:hAnsi="仿宋_GB2312" w:eastAsia="仿宋_GB2312" w:cs="仿宋_GB2312"/>
          <w:color w:val="000000" w:themeColor="text1"/>
          <w:sz w:val="32"/>
          <w:szCs w:val="32"/>
          <w14:textFill>
            <w14:solidFill>
              <w14:schemeClr w14:val="tx1"/>
            </w14:solidFill>
          </w14:textFill>
        </w:rPr>
        <w:t>%。牧业产值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34.2</w:t>
      </w:r>
      <w:r>
        <w:rPr>
          <w:rFonts w:hint="eastAsia" w:ascii="仿宋_GB2312" w:hAnsi="仿宋_GB2312" w:eastAsia="仿宋_GB2312" w:cs="仿宋_GB2312"/>
          <w:color w:val="000000" w:themeColor="text1"/>
          <w:sz w:val="32"/>
          <w:szCs w:val="32"/>
          <w14:textFill>
            <w14:solidFill>
              <w14:schemeClr w14:val="tx1"/>
            </w14:solidFill>
          </w14:textFill>
        </w:rPr>
        <w:t>亿元，下降0.3%。生猪年末存栏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19.1</w:t>
      </w:r>
      <w:r>
        <w:rPr>
          <w:rFonts w:hint="eastAsia" w:ascii="仿宋_GB2312" w:hAnsi="仿宋_GB2312" w:eastAsia="仿宋_GB2312" w:cs="仿宋_GB2312"/>
          <w:color w:val="000000" w:themeColor="text1"/>
          <w:sz w:val="32"/>
          <w:szCs w:val="32"/>
          <w14:textFill>
            <w14:solidFill>
              <w14:schemeClr w14:val="tx1"/>
            </w14:solidFill>
          </w14:textFill>
        </w:rPr>
        <w:t>万头，增长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年内出栏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41.6</w:t>
      </w:r>
      <w:r>
        <w:rPr>
          <w:rFonts w:hint="eastAsia" w:ascii="仿宋_GB2312" w:hAnsi="仿宋_GB2312" w:eastAsia="仿宋_GB2312" w:cs="仿宋_GB2312"/>
          <w:color w:val="000000" w:themeColor="text1"/>
          <w:sz w:val="32"/>
          <w:szCs w:val="32"/>
          <w14:textFill>
            <w14:solidFill>
              <w14:schemeClr w14:val="tx1"/>
            </w14:solidFill>
          </w14:textFill>
        </w:rPr>
        <w:t>万头，增长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14:textFill>
            <w14:solidFill>
              <w14:schemeClr w14:val="tx1"/>
            </w14:solidFill>
          </w14:textFill>
        </w:rPr>
        <w:t>%。猪肉量3.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万吨，增长3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%。禽类肉量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3.8</w:t>
      </w:r>
      <w:r>
        <w:rPr>
          <w:rFonts w:hint="eastAsia" w:ascii="仿宋_GB2312" w:hAnsi="仿宋_GB2312" w:eastAsia="仿宋_GB2312" w:cs="仿宋_GB2312"/>
          <w:color w:val="000000" w:themeColor="text1"/>
          <w:sz w:val="32"/>
          <w:szCs w:val="32"/>
          <w14:textFill>
            <w14:solidFill>
              <w14:schemeClr w14:val="tx1"/>
            </w14:solidFill>
          </w14:textFill>
        </w:rPr>
        <w:t>万吨，下降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8.2</w:t>
      </w:r>
      <w:r>
        <w:rPr>
          <w:rFonts w:hint="eastAsia" w:ascii="仿宋_GB2312" w:hAnsi="仿宋_GB2312" w:eastAsia="仿宋_GB2312" w:cs="仿宋_GB2312"/>
          <w:color w:val="000000" w:themeColor="text1"/>
          <w:sz w:val="32"/>
          <w:szCs w:val="32"/>
          <w14:textFill>
            <w14:solidFill>
              <w14:schemeClr w14:val="tx1"/>
            </w14:solidFill>
          </w14:textFill>
        </w:rPr>
        <w:t>%。渔业产值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25.3</w:t>
      </w:r>
      <w:r>
        <w:rPr>
          <w:rFonts w:hint="eastAsia" w:ascii="仿宋_GB2312" w:hAnsi="仿宋_GB2312" w:eastAsia="仿宋_GB2312" w:cs="仿宋_GB2312"/>
          <w:color w:val="000000" w:themeColor="text1"/>
          <w:sz w:val="32"/>
          <w:szCs w:val="32"/>
          <w14:textFill>
            <w14:solidFill>
              <w14:schemeClr w14:val="tx1"/>
            </w14:solidFill>
          </w14:textFill>
        </w:rPr>
        <w:t>亿元，增长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19.1</w:t>
      </w:r>
      <w:r>
        <w:rPr>
          <w:rFonts w:hint="eastAsia" w:ascii="仿宋_GB2312" w:hAnsi="仿宋_GB2312" w:eastAsia="仿宋_GB2312" w:cs="仿宋_GB2312"/>
          <w:color w:val="000000" w:themeColor="text1"/>
          <w:sz w:val="32"/>
          <w:szCs w:val="32"/>
          <w14:textFill>
            <w14:solidFill>
              <w14:schemeClr w14:val="tx1"/>
            </w14:solidFill>
          </w14:textFill>
        </w:rPr>
        <w:t>%。水产品总产量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10.7</w:t>
      </w:r>
      <w:r>
        <w:rPr>
          <w:rFonts w:hint="eastAsia" w:ascii="仿宋_GB2312" w:hAnsi="仿宋_GB2312" w:eastAsia="仿宋_GB2312" w:cs="仿宋_GB2312"/>
          <w:color w:val="000000" w:themeColor="text1"/>
          <w:sz w:val="32"/>
          <w:szCs w:val="32"/>
          <w14:textFill>
            <w14:solidFill>
              <w14:schemeClr w14:val="tx1"/>
            </w14:solidFill>
          </w14:textFill>
        </w:rPr>
        <w:t>万吨，增长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23.2</w:t>
      </w:r>
      <w:r>
        <w:rPr>
          <w:rFonts w:hint="eastAsia" w:ascii="仿宋_GB2312" w:hAnsi="仿宋_GB2312" w:eastAsia="仿宋_GB2312" w:cs="仿宋_GB2312"/>
          <w:color w:val="000000" w:themeColor="text1"/>
          <w:sz w:val="32"/>
          <w:szCs w:val="32"/>
          <w14:textFill>
            <w14:solidFill>
              <w14:schemeClr w14:val="tx1"/>
            </w14:solidFill>
          </w14:textFill>
        </w:rPr>
        <w:t>%。农林牧渔专业及辅助性活动产值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14.5</w:t>
      </w:r>
      <w:r>
        <w:rPr>
          <w:rFonts w:hint="eastAsia" w:ascii="仿宋_GB2312" w:hAnsi="仿宋_GB2312" w:eastAsia="仿宋_GB2312" w:cs="仿宋_GB2312"/>
          <w:color w:val="000000" w:themeColor="text1"/>
          <w:sz w:val="32"/>
          <w:szCs w:val="32"/>
          <w14:textFill>
            <w14:solidFill>
              <w14:schemeClr w14:val="tx1"/>
            </w14:solidFill>
          </w14:textFill>
        </w:rPr>
        <w:t>亿元，增长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10.4</w:t>
      </w:r>
      <w:r>
        <w:rPr>
          <w:rFonts w:hint="eastAsia" w:ascii="仿宋_GB2312" w:hAnsi="仿宋_GB2312" w:eastAsia="仿宋_GB2312" w:cs="仿宋_GB2312"/>
          <w:color w:val="000000" w:themeColor="text1"/>
          <w:sz w:val="32"/>
          <w:szCs w:val="32"/>
          <w14:textFill>
            <w14:solidFill>
              <w14:schemeClr w14:val="tx1"/>
            </w14:solidFill>
          </w14:textFill>
        </w:rPr>
        <w:t>%。</w:t>
      </w:r>
    </w:p>
    <w:p>
      <w:pPr>
        <w:tabs>
          <w:tab w:val="left" w:pos="951"/>
        </w:tabs>
        <w:bidi w:val="0"/>
        <w:jc w:val="left"/>
        <w:rPr>
          <w:rFonts w:hint="eastAsia" w:eastAsiaTheme="minorEastAsia"/>
          <w:lang w:eastAsia="zh-CN"/>
        </w:rPr>
      </w:pPr>
    </w:p>
    <w:tbl>
      <w:tblPr>
        <w:tblStyle w:val="11"/>
        <w:tblpPr w:leftFromText="180" w:rightFromText="180" w:vertAnchor="text" w:horzAnchor="page" w:tblpXSpec="center" w:tblpY="74"/>
        <w:tblOverlap w:val="never"/>
        <w:tblW w:w="8380" w:type="dxa"/>
        <w:jc w:val="center"/>
        <w:tblLayout w:type="fixed"/>
        <w:tblCellMar>
          <w:top w:w="0" w:type="dxa"/>
          <w:left w:w="0" w:type="dxa"/>
          <w:bottom w:w="0" w:type="dxa"/>
          <w:right w:w="0" w:type="dxa"/>
        </w:tblCellMar>
      </w:tblPr>
      <w:tblGrid>
        <w:gridCol w:w="3540"/>
        <w:gridCol w:w="1267"/>
        <w:gridCol w:w="1220"/>
        <w:gridCol w:w="2353"/>
      </w:tblGrid>
      <w:tr>
        <w:tblPrEx>
          <w:tblCellMar>
            <w:top w:w="0" w:type="dxa"/>
            <w:left w:w="0" w:type="dxa"/>
            <w:bottom w:w="0" w:type="dxa"/>
            <w:right w:w="0" w:type="dxa"/>
          </w:tblCellMar>
        </w:tblPrEx>
        <w:trPr>
          <w:trHeight w:val="90" w:hRule="atLeast"/>
          <w:jc w:val="center"/>
        </w:trPr>
        <w:tc>
          <w:tcPr>
            <w:tcW w:w="8380" w:type="dxa"/>
            <w:gridSpan w:val="4"/>
            <w:tcBorders>
              <w:top w:val="nil"/>
              <w:left w:val="nil"/>
              <w:bottom w:val="single" w:color="auto" w:sz="12" w:space="0"/>
              <w:right w:val="nil"/>
            </w:tcBorders>
            <w:shd w:val="clear" w:color="auto" w:fill="auto"/>
            <w:noWrap/>
            <w:tcMar>
              <w:top w:w="15" w:type="dxa"/>
              <w:left w:w="15" w:type="dxa"/>
              <w:right w:w="15" w:type="dxa"/>
            </w:tcMar>
            <w:vAlign w:val="center"/>
          </w:tcPr>
          <w:p>
            <w:pPr>
              <w:widowControl/>
              <w:spacing w:line="480" w:lineRule="exact"/>
              <w:jc w:val="center"/>
              <w:textAlignment w:val="center"/>
              <w:rPr>
                <w:rFonts w:ascii="宋体" w:hAnsi="宋体" w:eastAsia="宋体" w:cs="宋体"/>
                <w:color w:val="auto"/>
                <w:sz w:val="24"/>
              </w:rPr>
            </w:pPr>
            <w:r>
              <w:rPr>
                <w:rFonts w:hint="eastAsia" w:ascii="黑体" w:hAnsi="黑体" w:eastAsia="黑体" w:cs="黑体"/>
                <w:color w:val="auto"/>
                <w:kern w:val="0"/>
                <w:sz w:val="30"/>
                <w:szCs w:val="30"/>
                <w:lang w:bidi="ar"/>
              </w:rPr>
              <w:t>表2  202</w:t>
            </w:r>
            <w:r>
              <w:rPr>
                <w:rFonts w:hint="eastAsia" w:ascii="黑体" w:hAnsi="黑体" w:eastAsia="黑体" w:cs="黑体"/>
                <w:color w:val="auto"/>
                <w:kern w:val="0"/>
                <w:sz w:val="30"/>
                <w:szCs w:val="30"/>
                <w:lang w:val="en-US" w:eastAsia="zh-CN" w:bidi="ar"/>
              </w:rPr>
              <w:t>2</w:t>
            </w:r>
            <w:r>
              <w:rPr>
                <w:rFonts w:hint="eastAsia" w:ascii="黑体" w:hAnsi="黑体" w:eastAsia="黑体" w:cs="黑体"/>
                <w:color w:val="auto"/>
                <w:kern w:val="0"/>
                <w:sz w:val="30"/>
                <w:szCs w:val="30"/>
                <w:lang w:bidi="ar"/>
              </w:rPr>
              <w:t>年农林牧渔业主要产品产量及其增长速度</w:t>
            </w:r>
          </w:p>
        </w:tc>
      </w:tr>
      <w:tr>
        <w:tblPrEx>
          <w:tblCellMar>
            <w:top w:w="0" w:type="dxa"/>
            <w:left w:w="0" w:type="dxa"/>
            <w:bottom w:w="0" w:type="dxa"/>
            <w:right w:w="0" w:type="dxa"/>
          </w:tblCellMar>
        </w:tblPrEx>
        <w:trPr>
          <w:trHeight w:val="90" w:hRule="atLeast"/>
          <w:jc w:val="center"/>
        </w:trPr>
        <w:tc>
          <w:tcPr>
            <w:tcW w:w="3540" w:type="dxa"/>
            <w:tcBorders>
              <w:top w:val="single" w:color="auto" w:sz="12"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宋体" w:hAnsi="宋体" w:eastAsia="宋体" w:cs="宋体"/>
                <w:b/>
                <w:color w:val="auto"/>
                <w:sz w:val="24"/>
              </w:rPr>
            </w:pPr>
            <w:r>
              <w:rPr>
                <w:rFonts w:hint="eastAsia" w:ascii="宋体" w:hAnsi="宋体" w:eastAsia="宋体" w:cs="宋体"/>
                <w:b/>
                <w:color w:val="auto"/>
                <w:kern w:val="0"/>
                <w:sz w:val="24"/>
                <w:lang w:bidi="ar"/>
              </w:rPr>
              <w:t>产品名称</w:t>
            </w:r>
          </w:p>
        </w:tc>
        <w:tc>
          <w:tcPr>
            <w:tcW w:w="1267" w:type="dxa"/>
            <w:tcBorders>
              <w:top w:val="single" w:color="auto" w:sz="12"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宋体" w:hAnsi="宋体" w:eastAsia="宋体" w:cs="宋体"/>
                <w:b/>
                <w:color w:val="auto"/>
                <w:sz w:val="24"/>
              </w:rPr>
            </w:pPr>
            <w:r>
              <w:rPr>
                <w:rFonts w:hint="eastAsia" w:ascii="宋体" w:hAnsi="宋体" w:eastAsia="宋体" w:cs="宋体"/>
                <w:b/>
                <w:color w:val="auto"/>
                <w:kern w:val="0"/>
                <w:sz w:val="24"/>
                <w:lang w:bidi="ar"/>
              </w:rPr>
              <w:t>单位</w:t>
            </w:r>
          </w:p>
        </w:tc>
        <w:tc>
          <w:tcPr>
            <w:tcW w:w="1220" w:type="dxa"/>
            <w:tcBorders>
              <w:top w:val="single" w:color="auto"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宋体" w:hAnsi="宋体" w:eastAsia="宋体" w:cs="宋体"/>
                <w:b/>
                <w:color w:val="auto"/>
                <w:sz w:val="24"/>
              </w:rPr>
            </w:pPr>
            <w:r>
              <w:rPr>
                <w:rFonts w:hint="eastAsia" w:ascii="宋体" w:hAnsi="宋体" w:eastAsia="宋体" w:cs="宋体"/>
                <w:b/>
                <w:color w:val="auto"/>
                <w:kern w:val="0"/>
                <w:sz w:val="24"/>
                <w:lang w:bidi="ar"/>
              </w:rPr>
              <w:t>绝对数</w:t>
            </w:r>
          </w:p>
        </w:tc>
        <w:tc>
          <w:tcPr>
            <w:tcW w:w="2353" w:type="dxa"/>
            <w:tcBorders>
              <w:top w:val="single" w:color="auto" w:sz="12" w:space="0"/>
              <w:left w:val="nil"/>
              <w:bottom w:val="single" w:color="000000" w:sz="4" w:space="0"/>
              <w:right w:val="nil"/>
            </w:tcBorders>
            <w:shd w:val="clear" w:color="auto" w:fill="auto"/>
            <w:noWrap/>
            <w:tcMar>
              <w:top w:w="15" w:type="dxa"/>
              <w:left w:w="15" w:type="dxa"/>
              <w:right w:w="15" w:type="dxa"/>
            </w:tcMar>
            <w:vAlign w:val="center"/>
          </w:tcPr>
          <w:p>
            <w:pPr>
              <w:widowControl/>
              <w:spacing w:line="480" w:lineRule="exact"/>
              <w:jc w:val="center"/>
              <w:textAlignment w:val="center"/>
              <w:rPr>
                <w:rFonts w:ascii="宋体" w:hAnsi="宋体" w:eastAsia="宋体" w:cs="宋体"/>
                <w:b/>
                <w:color w:val="auto"/>
                <w:sz w:val="24"/>
              </w:rPr>
            </w:pPr>
            <w:r>
              <w:rPr>
                <w:rFonts w:hint="eastAsia" w:ascii="宋体" w:hAnsi="宋体" w:eastAsia="宋体" w:cs="宋体"/>
                <w:b/>
                <w:color w:val="auto"/>
                <w:kern w:val="0"/>
                <w:sz w:val="24"/>
                <w:lang w:bidi="ar"/>
              </w:rPr>
              <w:t>比上年增减（%）</w:t>
            </w:r>
          </w:p>
        </w:tc>
      </w:tr>
      <w:tr>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蔬菜（含菜用瓜）</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right"/>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53.1</w:t>
            </w:r>
          </w:p>
        </w:tc>
        <w:tc>
          <w:tcPr>
            <w:tcW w:w="2353" w:type="dxa"/>
            <w:tcBorders>
              <w:top w:val="nil"/>
              <w:left w:val="nil"/>
              <w:bottom w:val="nil"/>
              <w:right w:val="nil"/>
            </w:tcBorders>
            <w:shd w:val="clear" w:color="auto" w:fill="auto"/>
            <w:noWrap/>
            <w:tcMar>
              <w:top w:w="15" w:type="dxa"/>
              <w:left w:w="15" w:type="dxa"/>
              <w:right w:w="15" w:type="dxa"/>
            </w:tcMar>
            <w:vAlign w:val="center"/>
          </w:tcPr>
          <w:p>
            <w:pPr>
              <w:widowControl/>
              <w:spacing w:line="480" w:lineRule="exact"/>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w:t>
            </w:r>
            <w:r>
              <w:rPr>
                <w:rFonts w:hint="eastAsia" w:ascii="宋体" w:hAnsi="宋体" w:eastAsia="宋体" w:cs="宋体"/>
                <w:color w:val="000000" w:themeColor="text1"/>
                <w:kern w:val="0"/>
                <w:sz w:val="24"/>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lang w:bidi="ar"/>
                <w14:textFill>
                  <w14:solidFill>
                    <w14:schemeClr w14:val="tx1"/>
                  </w14:solidFill>
                </w14:textFill>
              </w:rPr>
              <w:t xml:space="preserve">  </w:t>
            </w:r>
            <w:r>
              <w:rPr>
                <w:rFonts w:hint="eastAsia" w:ascii="宋体" w:hAnsi="宋体" w:eastAsia="宋体" w:cs="宋体"/>
                <w:color w:val="000000" w:themeColor="text1"/>
                <w:kern w:val="0"/>
                <w:sz w:val="24"/>
                <w:lang w:val="en-US" w:eastAsia="zh-CN" w:bidi="ar"/>
                <w14:textFill>
                  <w14:solidFill>
                    <w14:schemeClr w14:val="tx1"/>
                  </w14:solidFill>
                </w14:textFill>
              </w:rPr>
              <w:t>0.4</w:t>
            </w:r>
          </w:p>
        </w:tc>
      </w:tr>
      <w:tr>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水果</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right"/>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27.1</w:t>
            </w:r>
          </w:p>
        </w:tc>
        <w:tc>
          <w:tcPr>
            <w:tcW w:w="2353" w:type="dxa"/>
            <w:tcBorders>
              <w:top w:val="nil"/>
              <w:left w:val="nil"/>
              <w:bottom w:val="nil"/>
              <w:right w:val="nil"/>
            </w:tcBorders>
            <w:shd w:val="clear" w:color="auto" w:fill="auto"/>
            <w:noWrap/>
            <w:tcMar>
              <w:top w:w="15" w:type="dxa"/>
              <w:left w:w="15" w:type="dxa"/>
              <w:right w:w="15" w:type="dxa"/>
            </w:tcMar>
            <w:vAlign w:val="center"/>
          </w:tcPr>
          <w:p>
            <w:pPr>
              <w:widowControl/>
              <w:spacing w:line="480" w:lineRule="exact"/>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w:t>
            </w:r>
            <w:r>
              <w:rPr>
                <w:rFonts w:hint="eastAsia" w:ascii="宋体" w:hAnsi="宋体" w:eastAsia="宋体" w:cs="宋体"/>
                <w:color w:val="000000" w:themeColor="text1"/>
                <w:kern w:val="0"/>
                <w:sz w:val="24"/>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lang w:bidi="ar"/>
                <w14:textFill>
                  <w14:solidFill>
                    <w14:schemeClr w14:val="tx1"/>
                  </w14:solidFill>
                </w14:textFill>
              </w:rPr>
              <w:t xml:space="preserve"> </w:t>
            </w:r>
            <w:r>
              <w:rPr>
                <w:rFonts w:hint="eastAsia" w:ascii="宋体" w:hAnsi="宋体" w:eastAsia="宋体" w:cs="宋体"/>
                <w:color w:val="000000" w:themeColor="text1"/>
                <w:kern w:val="0"/>
                <w:sz w:val="24"/>
                <w:lang w:val="en-US" w:eastAsia="zh-CN" w:bidi="ar"/>
                <w14:textFill>
                  <w14:solidFill>
                    <w14:schemeClr w14:val="tx1"/>
                  </w14:solidFill>
                </w14:textFill>
              </w:rPr>
              <w:t>0.6</w:t>
            </w:r>
          </w:p>
        </w:tc>
      </w:tr>
      <w:tr>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其中：菠萝</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right"/>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12.1</w:t>
            </w:r>
          </w:p>
        </w:tc>
        <w:tc>
          <w:tcPr>
            <w:tcW w:w="2353" w:type="dxa"/>
            <w:tcBorders>
              <w:top w:val="nil"/>
              <w:left w:val="nil"/>
              <w:bottom w:val="nil"/>
              <w:right w:val="nil"/>
            </w:tcBorders>
            <w:shd w:val="clear" w:color="auto" w:fill="auto"/>
            <w:noWrap/>
            <w:tcMar>
              <w:top w:w="15" w:type="dxa"/>
              <w:left w:w="15" w:type="dxa"/>
              <w:right w:w="15" w:type="dxa"/>
            </w:tcMar>
            <w:vAlign w:val="center"/>
          </w:tcPr>
          <w:p>
            <w:pPr>
              <w:widowControl/>
              <w:spacing w:line="480" w:lineRule="exact"/>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w:t>
            </w:r>
            <w:r>
              <w:rPr>
                <w:rFonts w:hint="eastAsia" w:ascii="宋体" w:hAnsi="宋体" w:eastAsia="宋体" w:cs="宋体"/>
                <w:color w:val="000000" w:themeColor="text1"/>
                <w:kern w:val="0"/>
                <w:sz w:val="24"/>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lang w:bidi="ar"/>
                <w14:textFill>
                  <w14:solidFill>
                    <w14:schemeClr w14:val="tx1"/>
                  </w14:solidFill>
                </w14:textFill>
              </w:rPr>
              <w:t xml:space="preserve"> </w:t>
            </w:r>
            <w:r>
              <w:rPr>
                <w:rFonts w:hint="eastAsia" w:ascii="宋体" w:hAnsi="宋体" w:eastAsia="宋体" w:cs="宋体"/>
                <w:color w:val="000000" w:themeColor="text1"/>
                <w:kern w:val="0"/>
                <w:sz w:val="24"/>
                <w:lang w:val="en-US" w:eastAsia="zh-CN" w:bidi="ar"/>
                <w14:textFill>
                  <w14:solidFill>
                    <w14:schemeClr w14:val="tx1"/>
                  </w14:solidFill>
                </w14:textFill>
              </w:rPr>
              <w:t>3.3</w:t>
            </w:r>
          </w:p>
        </w:tc>
      </w:tr>
      <w:tr>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left"/>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w:t>
            </w:r>
            <w:r>
              <w:rPr>
                <w:rFonts w:hint="eastAsia" w:ascii="宋体" w:hAnsi="宋体" w:eastAsia="宋体" w:cs="宋体"/>
                <w:color w:val="000000" w:themeColor="text1"/>
                <w:kern w:val="0"/>
                <w:sz w:val="24"/>
                <w:lang w:val="en-US" w:eastAsia="zh-CN" w:bidi="ar"/>
                <w14:textFill>
                  <w14:solidFill>
                    <w14:schemeClr w14:val="tx1"/>
                  </w14:solidFill>
                </w14:textFill>
              </w:rPr>
              <w:t>荔枝</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right"/>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1.59</w:t>
            </w:r>
          </w:p>
        </w:tc>
        <w:tc>
          <w:tcPr>
            <w:tcW w:w="2353" w:type="dxa"/>
            <w:tcBorders>
              <w:top w:val="nil"/>
              <w:left w:val="nil"/>
              <w:bottom w:val="nil"/>
              <w:right w:val="nil"/>
            </w:tcBorders>
            <w:shd w:val="clear" w:color="auto" w:fill="auto"/>
            <w:noWrap/>
            <w:tcMar>
              <w:top w:w="15" w:type="dxa"/>
              <w:left w:w="15" w:type="dxa"/>
              <w:right w:w="15" w:type="dxa"/>
            </w:tcMar>
            <w:vAlign w:val="center"/>
          </w:tcPr>
          <w:p>
            <w:pPr>
              <w:widowControl/>
              <w:spacing w:line="480" w:lineRule="exact"/>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w:t>
            </w:r>
            <w:r>
              <w:rPr>
                <w:rFonts w:hint="eastAsia" w:ascii="宋体" w:hAnsi="宋体" w:eastAsia="宋体" w:cs="宋体"/>
                <w:color w:val="000000" w:themeColor="text1"/>
                <w:kern w:val="0"/>
                <w:sz w:val="24"/>
                <w:lang w:val="en-US" w:eastAsia="zh-CN" w:bidi="ar"/>
                <w14:textFill>
                  <w14:solidFill>
                    <w14:schemeClr w14:val="tx1"/>
                  </w14:solidFill>
                </w14:textFill>
              </w:rPr>
              <w:t xml:space="preserve"> </w:t>
            </w:r>
            <w:r>
              <w:rPr>
                <w:rFonts w:ascii="宋体" w:hAnsi="宋体" w:eastAsia="宋体" w:cs="宋体"/>
                <w:color w:val="000000" w:themeColor="text1"/>
                <w:kern w:val="0"/>
                <w:sz w:val="24"/>
                <w:lang w:bidi="ar"/>
                <w14:textFill>
                  <w14:solidFill>
                    <w14:schemeClr w14:val="tx1"/>
                  </w14:solidFill>
                </w14:textFill>
              </w:rPr>
              <w:t xml:space="preserve"> </w:t>
            </w:r>
            <w:r>
              <w:rPr>
                <w:rFonts w:hint="eastAsia" w:ascii="宋体" w:hAnsi="宋体" w:eastAsia="宋体" w:cs="宋体"/>
                <w:color w:val="000000" w:themeColor="text1"/>
                <w:kern w:val="0"/>
                <w:sz w:val="24"/>
                <w:lang w:val="en-US" w:eastAsia="zh-CN" w:bidi="ar"/>
                <w14:textFill>
                  <w14:solidFill>
                    <w14:schemeClr w14:val="tx1"/>
                  </w14:solidFill>
                </w14:textFill>
              </w:rPr>
              <w:t>-</w:t>
            </w:r>
            <w:r>
              <w:rPr>
                <w:rFonts w:ascii="宋体" w:hAnsi="宋体" w:eastAsia="宋体" w:cs="宋体"/>
                <w:color w:val="000000" w:themeColor="text1"/>
                <w:kern w:val="0"/>
                <w:sz w:val="24"/>
                <w:lang w:bidi="ar"/>
                <w14:textFill>
                  <w14:solidFill>
                    <w14:schemeClr w14:val="tx1"/>
                  </w14:solidFill>
                </w14:textFill>
              </w:rPr>
              <w:t>1</w:t>
            </w:r>
            <w:r>
              <w:rPr>
                <w:rFonts w:hint="eastAsia" w:ascii="宋体" w:hAnsi="宋体" w:eastAsia="宋体" w:cs="宋体"/>
                <w:color w:val="000000" w:themeColor="text1"/>
                <w:kern w:val="0"/>
                <w:sz w:val="24"/>
                <w:lang w:bidi="ar"/>
                <w14:textFill>
                  <w14:solidFill>
                    <w14:schemeClr w14:val="tx1"/>
                  </w14:solidFill>
                </w14:textFill>
              </w:rPr>
              <w:t>.3</w:t>
            </w:r>
          </w:p>
        </w:tc>
      </w:tr>
      <w:tr>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香蕉</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righ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3.3</w:t>
            </w:r>
            <w:r>
              <w:rPr>
                <w:rFonts w:ascii="宋体" w:hAnsi="宋体" w:eastAsia="宋体" w:cs="宋体"/>
                <w:color w:val="000000" w:themeColor="text1"/>
                <w:kern w:val="0"/>
                <w:sz w:val="24"/>
                <w:lang w:bidi="ar"/>
                <w14:textFill>
                  <w14:solidFill>
                    <w14:schemeClr w14:val="tx1"/>
                  </w14:solidFill>
                </w14:textFill>
              </w:rPr>
              <w:t>1</w:t>
            </w:r>
          </w:p>
        </w:tc>
        <w:tc>
          <w:tcPr>
            <w:tcW w:w="2353" w:type="dxa"/>
            <w:tcBorders>
              <w:top w:val="nil"/>
              <w:left w:val="nil"/>
              <w:bottom w:val="nil"/>
              <w:right w:val="nil"/>
            </w:tcBorders>
            <w:shd w:val="clear" w:color="auto" w:fill="auto"/>
            <w:noWrap/>
            <w:tcMar>
              <w:top w:w="15" w:type="dxa"/>
              <w:left w:w="15" w:type="dxa"/>
              <w:right w:w="15" w:type="dxa"/>
            </w:tcMar>
            <w:vAlign w:val="center"/>
          </w:tcPr>
          <w:p>
            <w:pPr>
              <w:widowControl/>
              <w:spacing w:line="480" w:lineRule="exact"/>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w:t>
            </w:r>
            <w:r>
              <w:rPr>
                <w:rFonts w:ascii="宋体" w:hAnsi="宋体" w:eastAsia="宋体" w:cs="宋体"/>
                <w:color w:val="000000" w:themeColor="text1"/>
                <w:kern w:val="0"/>
                <w:sz w:val="24"/>
                <w:lang w:bidi="ar"/>
                <w14:textFill>
                  <w14:solidFill>
                    <w14:schemeClr w14:val="tx1"/>
                  </w14:solidFill>
                </w14:textFill>
              </w:rPr>
              <w:t xml:space="preserve"> </w:t>
            </w:r>
            <w:r>
              <w:rPr>
                <w:rFonts w:hint="eastAsia" w:ascii="宋体" w:hAnsi="宋体" w:eastAsia="宋体" w:cs="宋体"/>
                <w:color w:val="000000" w:themeColor="text1"/>
                <w:kern w:val="0"/>
                <w:sz w:val="24"/>
                <w:lang w:val="en-US" w:eastAsia="zh-CN" w:bidi="ar"/>
                <w14:textFill>
                  <w14:solidFill>
                    <w14:schemeClr w14:val="tx1"/>
                  </w14:solidFill>
                </w14:textFill>
              </w:rPr>
              <w:t xml:space="preserve"> 6.0</w:t>
            </w:r>
          </w:p>
        </w:tc>
      </w:tr>
      <w:tr>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left"/>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w:t>
            </w:r>
            <w:r>
              <w:rPr>
                <w:rFonts w:hint="eastAsia" w:ascii="宋体" w:hAnsi="宋体" w:eastAsia="宋体" w:cs="宋体"/>
                <w:color w:val="000000" w:themeColor="text1"/>
                <w:kern w:val="0"/>
                <w:sz w:val="24"/>
                <w:lang w:val="en-US" w:eastAsia="zh-CN" w:bidi="ar"/>
                <w14:textFill>
                  <w14:solidFill>
                    <w14:schemeClr w14:val="tx1"/>
                  </w14:solidFill>
                </w14:textFill>
              </w:rPr>
              <w:t>柑橘橙柚</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right"/>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0.21</w:t>
            </w:r>
          </w:p>
        </w:tc>
        <w:tc>
          <w:tcPr>
            <w:tcW w:w="2353" w:type="dxa"/>
            <w:tcBorders>
              <w:top w:val="nil"/>
              <w:left w:val="nil"/>
              <w:bottom w:val="nil"/>
              <w:right w:val="nil"/>
            </w:tcBorders>
            <w:shd w:val="clear" w:color="auto" w:fill="auto"/>
            <w:noWrap/>
            <w:tcMar>
              <w:top w:w="15" w:type="dxa"/>
              <w:left w:w="15" w:type="dxa"/>
              <w:right w:w="15" w:type="dxa"/>
            </w:tcMar>
            <w:vAlign w:val="center"/>
          </w:tcPr>
          <w:p>
            <w:pPr>
              <w:widowControl/>
              <w:spacing w:line="480" w:lineRule="exact"/>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w:t>
            </w:r>
            <w:r>
              <w:rPr>
                <w:rFonts w:ascii="宋体" w:hAnsi="宋体" w:eastAsia="宋体" w:cs="宋体"/>
                <w:color w:val="000000" w:themeColor="text1"/>
                <w:kern w:val="0"/>
                <w:sz w:val="24"/>
                <w:lang w:bidi="ar"/>
                <w14:textFill>
                  <w14:solidFill>
                    <w14:schemeClr w14:val="tx1"/>
                  </w14:solidFill>
                </w14:textFill>
              </w:rPr>
              <w:t xml:space="preserve">  </w:t>
            </w:r>
            <w:r>
              <w:rPr>
                <w:rFonts w:hint="eastAsia" w:ascii="宋体" w:hAnsi="宋体" w:eastAsia="宋体" w:cs="宋体"/>
                <w:color w:val="000000" w:themeColor="text1"/>
                <w:kern w:val="0"/>
                <w:sz w:val="24"/>
                <w:lang w:val="en-US" w:eastAsia="zh-CN" w:bidi="ar"/>
                <w14:textFill>
                  <w14:solidFill>
                    <w14:schemeClr w14:val="tx1"/>
                  </w14:solidFill>
                </w14:textFill>
              </w:rPr>
              <w:t>18.4</w:t>
            </w:r>
          </w:p>
        </w:tc>
      </w:tr>
      <w:tr>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left"/>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w:t>
            </w:r>
            <w:r>
              <w:rPr>
                <w:rFonts w:hint="eastAsia" w:ascii="宋体" w:hAnsi="宋体" w:eastAsia="宋体" w:cs="宋体"/>
                <w:color w:val="000000" w:themeColor="text1"/>
                <w:kern w:val="0"/>
                <w:sz w:val="24"/>
                <w:lang w:val="en-US" w:eastAsia="zh-CN" w:bidi="ar"/>
                <w14:textFill>
                  <w14:solidFill>
                    <w14:schemeClr w14:val="tx1"/>
                  </w14:solidFill>
                </w14:textFill>
              </w:rPr>
              <w:t>莲雾</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right"/>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0.</w:t>
            </w:r>
            <w:r>
              <w:rPr>
                <w:rFonts w:hint="eastAsia" w:ascii="宋体" w:hAnsi="宋体" w:eastAsia="宋体" w:cs="宋体"/>
                <w:color w:val="000000" w:themeColor="text1"/>
                <w:kern w:val="0"/>
                <w:sz w:val="24"/>
                <w:lang w:val="en-US" w:eastAsia="zh-CN" w:bidi="ar"/>
                <w14:textFill>
                  <w14:solidFill>
                    <w14:schemeClr w14:val="tx1"/>
                  </w14:solidFill>
                </w14:textFill>
              </w:rPr>
              <w:t>67</w:t>
            </w:r>
          </w:p>
        </w:tc>
        <w:tc>
          <w:tcPr>
            <w:tcW w:w="2353" w:type="dxa"/>
            <w:tcBorders>
              <w:top w:val="nil"/>
              <w:left w:val="nil"/>
              <w:bottom w:val="nil"/>
              <w:right w:val="nil"/>
            </w:tcBorders>
            <w:shd w:val="clear" w:color="auto" w:fill="auto"/>
            <w:noWrap/>
            <w:tcMar>
              <w:top w:w="15" w:type="dxa"/>
              <w:left w:w="15" w:type="dxa"/>
              <w:right w:w="15" w:type="dxa"/>
            </w:tcMar>
            <w:vAlign w:val="center"/>
          </w:tcPr>
          <w:p>
            <w:pPr>
              <w:widowControl/>
              <w:spacing w:line="48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w:t>
            </w:r>
            <w:r>
              <w:rPr>
                <w:rFonts w:ascii="宋体" w:hAnsi="宋体" w:eastAsia="宋体" w:cs="宋体"/>
                <w:color w:val="000000" w:themeColor="text1"/>
                <w:kern w:val="0"/>
                <w:sz w:val="24"/>
                <w:lang w:bidi="ar"/>
                <w14:textFill>
                  <w14:solidFill>
                    <w14:schemeClr w14:val="tx1"/>
                  </w14:solidFill>
                </w14:textFill>
              </w:rPr>
              <w:t xml:space="preserve"> </w:t>
            </w:r>
            <w:r>
              <w:rPr>
                <w:rFonts w:hint="eastAsia" w:ascii="宋体" w:hAnsi="宋体" w:eastAsia="宋体" w:cs="宋体"/>
                <w:color w:val="000000" w:themeColor="text1"/>
                <w:kern w:val="0"/>
                <w:sz w:val="24"/>
                <w:lang w:bidi="ar"/>
                <w14:textFill>
                  <w14:solidFill>
                    <w14:schemeClr w14:val="tx1"/>
                  </w14:solidFill>
                </w14:textFill>
              </w:rPr>
              <w:t xml:space="preserve"> </w:t>
            </w:r>
            <w:r>
              <w:rPr>
                <w:rFonts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0</w:t>
            </w:r>
            <w:r>
              <w:rPr>
                <w:rFonts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5</w:t>
            </w:r>
          </w:p>
        </w:tc>
      </w:tr>
      <w:tr>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left"/>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w:t>
            </w:r>
            <w:r>
              <w:rPr>
                <w:rFonts w:hint="eastAsia" w:ascii="宋体" w:hAnsi="宋体" w:eastAsia="宋体" w:cs="宋体"/>
                <w:color w:val="000000" w:themeColor="text1"/>
                <w:kern w:val="0"/>
                <w:sz w:val="24"/>
                <w:lang w:val="en-US" w:eastAsia="zh-CN" w:bidi="ar"/>
                <w14:textFill>
                  <w14:solidFill>
                    <w14:schemeClr w14:val="tx1"/>
                  </w14:solidFill>
                </w14:textFill>
              </w:rPr>
              <w:t>火龙果</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right"/>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0.24</w:t>
            </w:r>
          </w:p>
        </w:tc>
        <w:tc>
          <w:tcPr>
            <w:tcW w:w="2353" w:type="dxa"/>
            <w:tcBorders>
              <w:top w:val="nil"/>
              <w:left w:val="nil"/>
              <w:bottom w:val="nil"/>
              <w:right w:val="nil"/>
            </w:tcBorders>
            <w:shd w:val="clear" w:color="auto" w:fill="auto"/>
            <w:noWrap/>
            <w:tcMar>
              <w:top w:w="15" w:type="dxa"/>
              <w:left w:w="15" w:type="dxa"/>
              <w:right w:w="15" w:type="dxa"/>
            </w:tcMar>
            <w:vAlign w:val="center"/>
          </w:tcPr>
          <w:p>
            <w:pPr>
              <w:widowControl/>
              <w:spacing w:line="480" w:lineRule="exact"/>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w:t>
            </w:r>
            <w:r>
              <w:rPr>
                <w:rFonts w:ascii="宋体" w:hAnsi="宋体" w:eastAsia="宋体" w:cs="宋体"/>
                <w:color w:val="000000" w:themeColor="text1"/>
                <w:kern w:val="0"/>
                <w:sz w:val="24"/>
                <w:lang w:bidi="ar"/>
                <w14:textFill>
                  <w14:solidFill>
                    <w14:schemeClr w14:val="tx1"/>
                  </w14:solidFill>
                </w14:textFill>
              </w:rPr>
              <w:t xml:space="preserve">  -1.</w:t>
            </w:r>
            <w:r>
              <w:rPr>
                <w:rFonts w:hint="eastAsia" w:ascii="宋体" w:hAnsi="宋体" w:eastAsia="宋体" w:cs="宋体"/>
                <w:color w:val="000000" w:themeColor="text1"/>
                <w:kern w:val="0"/>
                <w:sz w:val="24"/>
                <w:lang w:val="en-US" w:eastAsia="zh-CN" w:bidi="ar"/>
                <w14:textFill>
                  <w14:solidFill>
                    <w14:schemeClr w14:val="tx1"/>
                  </w14:solidFill>
                </w14:textFill>
              </w:rPr>
              <w:t>3</w:t>
            </w:r>
          </w:p>
        </w:tc>
      </w:tr>
      <w:tr>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left"/>
              <w:textAlignment w:val="center"/>
              <w:rPr>
                <w:rFonts w:ascii="宋体" w:hAnsi="宋体" w:eastAsia="宋体" w:cs="宋体"/>
                <w:color w:val="auto"/>
                <w:sz w:val="24"/>
              </w:rPr>
            </w:pPr>
            <w:r>
              <w:rPr>
                <w:rFonts w:hint="eastAsia" w:ascii="宋体" w:hAnsi="宋体" w:eastAsia="宋体" w:cs="宋体"/>
                <w:color w:val="auto"/>
                <w:kern w:val="0"/>
                <w:sz w:val="24"/>
                <w:lang w:bidi="ar"/>
              </w:rPr>
              <w:t>橡胶</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right"/>
              <w:textAlignment w:val="center"/>
              <w:rPr>
                <w:rFonts w:hint="eastAsia" w:ascii="宋体" w:hAnsi="宋体" w:eastAsia="宋体" w:cs="宋体"/>
                <w:color w:val="auto"/>
                <w:sz w:val="24"/>
                <w:lang w:val="en-US" w:eastAsia="zh-CN"/>
              </w:rPr>
            </w:pPr>
            <w:r>
              <w:rPr>
                <w:rFonts w:ascii="宋体" w:hAnsi="宋体" w:eastAsia="宋体" w:cs="宋体"/>
                <w:color w:val="auto"/>
                <w:kern w:val="0"/>
                <w:sz w:val="24"/>
                <w:lang w:bidi="ar"/>
              </w:rPr>
              <w:t>2.9</w:t>
            </w:r>
            <w:r>
              <w:rPr>
                <w:rFonts w:hint="eastAsia" w:ascii="宋体" w:hAnsi="宋体" w:eastAsia="宋体" w:cs="宋体"/>
                <w:color w:val="auto"/>
                <w:kern w:val="0"/>
                <w:sz w:val="24"/>
                <w:lang w:val="en-US" w:eastAsia="zh-CN" w:bidi="ar"/>
              </w:rPr>
              <w:t>3</w:t>
            </w:r>
          </w:p>
        </w:tc>
        <w:tc>
          <w:tcPr>
            <w:tcW w:w="2353" w:type="dxa"/>
            <w:tcBorders>
              <w:top w:val="nil"/>
              <w:left w:val="nil"/>
              <w:bottom w:val="nil"/>
              <w:right w:val="nil"/>
            </w:tcBorders>
            <w:shd w:val="clear" w:color="auto" w:fill="auto"/>
            <w:noWrap/>
            <w:tcMar>
              <w:top w:w="15" w:type="dxa"/>
              <w:left w:w="15" w:type="dxa"/>
              <w:right w:w="15" w:type="dxa"/>
            </w:tcMar>
            <w:vAlign w:val="center"/>
          </w:tcPr>
          <w:p>
            <w:pPr>
              <w:widowControl/>
              <w:spacing w:line="480" w:lineRule="exact"/>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bidi="ar"/>
              </w:rPr>
              <w:t xml:space="preserve">          </w:t>
            </w:r>
            <w:r>
              <w:rPr>
                <w:rFonts w:ascii="宋体" w:hAnsi="宋体" w:eastAsia="宋体" w:cs="宋体"/>
                <w:color w:val="auto"/>
                <w:kern w:val="0"/>
                <w:sz w:val="24"/>
                <w:lang w:bidi="ar"/>
              </w:rPr>
              <w:t xml:space="preserve"> </w:t>
            </w:r>
            <w:r>
              <w:rPr>
                <w:rFonts w:hint="eastAsia" w:ascii="宋体" w:hAnsi="宋体" w:eastAsia="宋体" w:cs="宋体"/>
                <w:color w:val="auto"/>
                <w:kern w:val="0"/>
                <w:sz w:val="24"/>
                <w:lang w:val="en-US" w:eastAsia="zh-CN" w:bidi="ar"/>
              </w:rPr>
              <w:t xml:space="preserve"> 0.2</w:t>
            </w:r>
          </w:p>
        </w:tc>
      </w:tr>
      <w:tr>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胡椒</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right"/>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val="en-US" w:eastAsia="zh-CN" w:bidi="ar"/>
              </w:rPr>
              <w:t>0.88</w:t>
            </w:r>
          </w:p>
        </w:tc>
        <w:tc>
          <w:tcPr>
            <w:tcW w:w="2353" w:type="dxa"/>
            <w:tcBorders>
              <w:top w:val="nil"/>
              <w:left w:val="nil"/>
              <w:bottom w:val="nil"/>
              <w:right w:val="nil"/>
            </w:tcBorders>
            <w:shd w:val="clear" w:color="auto" w:fill="auto"/>
            <w:noWrap/>
            <w:tcMar>
              <w:top w:w="15" w:type="dxa"/>
              <w:left w:w="15" w:type="dxa"/>
              <w:right w:w="15" w:type="dxa"/>
            </w:tcMar>
            <w:vAlign w:val="center"/>
          </w:tcPr>
          <w:p>
            <w:pPr>
              <w:widowControl/>
              <w:spacing w:line="480" w:lineRule="exact"/>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bidi="ar"/>
              </w:rPr>
              <w:t xml:space="preserve">          -</w:t>
            </w:r>
            <w:r>
              <w:rPr>
                <w:rFonts w:hint="eastAsia" w:ascii="宋体" w:hAnsi="宋体" w:eastAsia="宋体" w:cs="宋体"/>
                <w:color w:val="auto"/>
                <w:kern w:val="0"/>
                <w:sz w:val="24"/>
                <w:lang w:val="en-US" w:eastAsia="zh-CN" w:bidi="ar"/>
              </w:rPr>
              <w:t>25.2</w:t>
            </w:r>
          </w:p>
        </w:tc>
      </w:tr>
      <w:tr>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椰子</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亿个</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right"/>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val="en-US" w:eastAsia="zh-CN" w:bidi="ar"/>
              </w:rPr>
              <w:t>0.7</w:t>
            </w:r>
          </w:p>
        </w:tc>
        <w:tc>
          <w:tcPr>
            <w:tcW w:w="2353" w:type="dxa"/>
            <w:tcBorders>
              <w:top w:val="nil"/>
              <w:left w:val="nil"/>
              <w:bottom w:val="nil"/>
              <w:right w:val="nil"/>
            </w:tcBorders>
            <w:shd w:val="clear" w:color="auto" w:fill="auto"/>
            <w:noWrap/>
            <w:tcMar>
              <w:top w:w="15" w:type="dxa"/>
              <w:left w:w="15" w:type="dxa"/>
              <w:right w:w="15" w:type="dxa"/>
            </w:tcMar>
            <w:vAlign w:val="center"/>
          </w:tcPr>
          <w:p>
            <w:pPr>
              <w:widowControl/>
              <w:spacing w:line="480" w:lineRule="exact"/>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bidi="ar"/>
              </w:rPr>
              <w:t xml:space="preserve">           </w:t>
            </w:r>
            <w:r>
              <w:rPr>
                <w:rFonts w:hint="eastAsia" w:ascii="宋体" w:hAnsi="宋体" w:eastAsia="宋体" w:cs="宋体"/>
                <w:color w:val="auto"/>
                <w:kern w:val="0"/>
                <w:sz w:val="24"/>
                <w:lang w:val="en-US" w:eastAsia="zh-CN" w:bidi="ar"/>
              </w:rPr>
              <w:t xml:space="preserve"> 2.5</w:t>
            </w:r>
          </w:p>
        </w:tc>
      </w:tr>
      <w:tr>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left"/>
              <w:textAlignment w:val="center"/>
              <w:rPr>
                <w:rFonts w:ascii="宋体" w:hAnsi="宋体" w:eastAsia="宋体" w:cs="宋体"/>
                <w:color w:val="auto"/>
                <w:sz w:val="24"/>
              </w:rPr>
            </w:pPr>
            <w:r>
              <w:rPr>
                <w:rFonts w:hint="eastAsia" w:ascii="宋体" w:hAnsi="宋体" w:eastAsia="宋体" w:cs="宋体"/>
                <w:color w:val="auto"/>
                <w:kern w:val="0"/>
                <w:sz w:val="24"/>
                <w:lang w:bidi="ar"/>
              </w:rPr>
              <w:t>槟榔</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right"/>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val="en-US" w:eastAsia="zh-CN" w:bidi="ar"/>
              </w:rPr>
              <w:t>4.1</w:t>
            </w:r>
          </w:p>
        </w:tc>
        <w:tc>
          <w:tcPr>
            <w:tcW w:w="2353" w:type="dxa"/>
            <w:tcBorders>
              <w:top w:val="nil"/>
              <w:left w:val="nil"/>
              <w:bottom w:val="nil"/>
              <w:right w:val="nil"/>
            </w:tcBorders>
            <w:shd w:val="clear" w:color="auto" w:fill="auto"/>
            <w:noWrap/>
            <w:tcMar>
              <w:top w:w="15" w:type="dxa"/>
              <w:left w:w="15" w:type="dxa"/>
              <w:right w:w="15" w:type="dxa"/>
            </w:tcMar>
            <w:vAlign w:val="center"/>
          </w:tcPr>
          <w:p>
            <w:pPr>
              <w:widowControl/>
              <w:spacing w:line="480" w:lineRule="exact"/>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bidi="ar"/>
              </w:rPr>
              <w:t xml:space="preserve">         </w:t>
            </w:r>
            <w:r>
              <w:rPr>
                <w:rFonts w:ascii="宋体" w:hAnsi="宋体" w:eastAsia="宋体" w:cs="宋体"/>
                <w:color w:val="auto"/>
                <w:kern w:val="0"/>
                <w:sz w:val="24"/>
                <w:lang w:bidi="ar"/>
              </w:rPr>
              <w:t xml:space="preserve"> </w:t>
            </w:r>
            <w:r>
              <w:rPr>
                <w:rFonts w:hint="eastAsia" w:ascii="宋体" w:hAnsi="宋体" w:eastAsia="宋体" w:cs="宋体"/>
                <w:color w:val="auto"/>
                <w:kern w:val="0"/>
                <w:sz w:val="24"/>
                <w:lang w:val="en-US" w:eastAsia="zh-CN" w:bidi="ar"/>
              </w:rPr>
              <w:t xml:space="preserve"> </w:t>
            </w:r>
            <w:r>
              <w:rPr>
                <w:rFonts w:hint="eastAsia" w:ascii="宋体" w:hAnsi="宋体" w:eastAsia="宋体" w:cs="宋体"/>
                <w:color w:val="auto"/>
                <w:kern w:val="0"/>
                <w:sz w:val="24"/>
                <w:lang w:bidi="ar"/>
              </w:rPr>
              <w:t xml:space="preserve"> </w:t>
            </w:r>
            <w:r>
              <w:rPr>
                <w:rFonts w:hint="eastAsia" w:ascii="宋体" w:hAnsi="宋体" w:eastAsia="宋体" w:cs="宋体"/>
                <w:color w:val="auto"/>
                <w:kern w:val="0"/>
                <w:sz w:val="24"/>
                <w:lang w:val="en-US" w:eastAsia="zh-CN" w:bidi="ar"/>
              </w:rPr>
              <w:t>9.9</w:t>
            </w:r>
          </w:p>
        </w:tc>
      </w:tr>
      <w:tr>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tcMar>
              <w:top w:w="15" w:type="dxa"/>
              <w:left w:w="15" w:type="dxa"/>
              <w:right w:w="15" w:type="dxa"/>
            </w:tcMar>
            <w:vAlign w:val="center"/>
          </w:tcPr>
          <w:p>
            <w:pPr>
              <w:widowControl/>
              <w:spacing w:line="480" w:lineRule="exact"/>
              <w:jc w:val="left"/>
              <w:textAlignment w:val="center"/>
              <w:rPr>
                <w:rFonts w:ascii="宋体" w:hAnsi="宋体" w:eastAsia="宋体" w:cs="宋体"/>
                <w:color w:val="auto"/>
                <w:sz w:val="24"/>
              </w:rPr>
            </w:pPr>
            <w:r>
              <w:rPr>
                <w:rFonts w:hint="eastAsia" w:ascii="宋体" w:hAnsi="宋体" w:eastAsia="宋体" w:cs="宋体"/>
                <w:color w:val="auto"/>
                <w:kern w:val="0"/>
                <w:sz w:val="24"/>
                <w:lang w:bidi="ar"/>
              </w:rPr>
              <w:t>总肉量</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right"/>
              <w:textAlignment w:val="center"/>
              <w:rPr>
                <w:rFonts w:hint="eastAsia" w:ascii="宋体" w:hAnsi="宋体" w:eastAsia="宋体" w:cs="宋体"/>
                <w:color w:val="auto"/>
                <w:sz w:val="24"/>
                <w:lang w:eastAsia="zh-CN"/>
              </w:rPr>
            </w:pPr>
            <w:r>
              <w:rPr>
                <w:rFonts w:ascii="宋体" w:hAnsi="宋体" w:eastAsia="宋体" w:cs="宋体"/>
                <w:color w:val="auto"/>
                <w:kern w:val="0"/>
                <w:sz w:val="24"/>
                <w:lang w:bidi="ar"/>
              </w:rPr>
              <w:t>7.</w:t>
            </w:r>
            <w:r>
              <w:rPr>
                <w:rFonts w:hint="eastAsia" w:ascii="宋体" w:hAnsi="宋体" w:eastAsia="宋体" w:cs="宋体"/>
                <w:color w:val="auto"/>
                <w:kern w:val="0"/>
                <w:sz w:val="24"/>
                <w:lang w:val="en-US" w:eastAsia="zh-CN" w:bidi="ar"/>
              </w:rPr>
              <w:t>3</w:t>
            </w:r>
          </w:p>
        </w:tc>
        <w:tc>
          <w:tcPr>
            <w:tcW w:w="2353" w:type="dxa"/>
            <w:tcBorders>
              <w:top w:val="nil"/>
              <w:left w:val="nil"/>
              <w:bottom w:val="nil"/>
              <w:right w:val="nil"/>
            </w:tcBorders>
            <w:shd w:val="clear" w:color="auto" w:fill="auto"/>
            <w:noWrap/>
            <w:tcMar>
              <w:top w:w="15" w:type="dxa"/>
              <w:left w:w="15" w:type="dxa"/>
              <w:right w:w="15" w:type="dxa"/>
            </w:tcMar>
            <w:vAlign w:val="center"/>
          </w:tcPr>
          <w:p>
            <w:pPr>
              <w:widowControl/>
              <w:spacing w:line="480" w:lineRule="exact"/>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bidi="ar"/>
              </w:rPr>
              <w:t xml:space="preserve">        </w:t>
            </w:r>
            <w:r>
              <w:rPr>
                <w:rFonts w:ascii="宋体" w:hAnsi="宋体" w:eastAsia="宋体" w:cs="宋体"/>
                <w:color w:val="auto"/>
                <w:kern w:val="0"/>
                <w:sz w:val="24"/>
                <w:lang w:bidi="ar"/>
              </w:rPr>
              <w:t xml:space="preserve">  </w:t>
            </w:r>
            <w:r>
              <w:rPr>
                <w:rFonts w:hint="eastAsia" w:ascii="宋体" w:hAnsi="宋体" w:eastAsia="宋体" w:cs="宋体"/>
                <w:color w:val="auto"/>
                <w:kern w:val="0"/>
                <w:sz w:val="24"/>
                <w:lang w:bidi="ar"/>
              </w:rPr>
              <w:t xml:space="preserve"> </w:t>
            </w:r>
            <w:r>
              <w:rPr>
                <w:rFonts w:hint="eastAsia" w:ascii="宋体" w:hAnsi="宋体" w:eastAsia="宋体" w:cs="宋体"/>
                <w:color w:val="auto"/>
                <w:kern w:val="0"/>
                <w:sz w:val="24"/>
                <w:lang w:val="en-US" w:eastAsia="zh-CN" w:bidi="ar"/>
              </w:rPr>
              <w:t>-4.6</w:t>
            </w:r>
          </w:p>
        </w:tc>
      </w:tr>
      <w:tr>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left"/>
              <w:textAlignment w:val="center"/>
              <w:rPr>
                <w:rFonts w:ascii="宋体" w:hAnsi="宋体" w:eastAsia="宋体" w:cs="宋体"/>
                <w:color w:val="auto"/>
                <w:sz w:val="24"/>
              </w:rPr>
            </w:pPr>
            <w:r>
              <w:rPr>
                <w:rFonts w:hint="eastAsia" w:ascii="宋体" w:hAnsi="宋体" w:eastAsia="宋体" w:cs="宋体"/>
                <w:color w:val="auto"/>
                <w:kern w:val="0"/>
                <w:sz w:val="24"/>
                <w:lang w:bidi="ar"/>
              </w:rPr>
              <w:t xml:space="preserve">    其中：猪肉</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right"/>
              <w:textAlignment w:val="center"/>
              <w:rPr>
                <w:rFonts w:hint="eastAsia" w:ascii="宋体" w:hAnsi="宋体" w:eastAsia="宋体" w:cs="宋体"/>
                <w:color w:val="auto"/>
                <w:sz w:val="24"/>
                <w:lang w:eastAsia="zh-CN"/>
              </w:rPr>
            </w:pPr>
            <w:r>
              <w:rPr>
                <w:rFonts w:ascii="宋体" w:hAnsi="宋体" w:eastAsia="宋体" w:cs="宋体"/>
                <w:color w:val="auto"/>
                <w:kern w:val="0"/>
                <w:sz w:val="24"/>
                <w:lang w:bidi="ar"/>
              </w:rPr>
              <w:t>3.</w:t>
            </w:r>
            <w:r>
              <w:rPr>
                <w:rFonts w:hint="eastAsia" w:ascii="宋体" w:hAnsi="宋体" w:eastAsia="宋体" w:cs="宋体"/>
                <w:color w:val="auto"/>
                <w:kern w:val="0"/>
                <w:sz w:val="24"/>
                <w:lang w:val="en-US" w:eastAsia="zh-CN" w:bidi="ar"/>
              </w:rPr>
              <w:t>4</w:t>
            </w:r>
          </w:p>
        </w:tc>
        <w:tc>
          <w:tcPr>
            <w:tcW w:w="2353" w:type="dxa"/>
            <w:tcBorders>
              <w:top w:val="nil"/>
              <w:left w:val="nil"/>
              <w:bottom w:val="nil"/>
              <w:right w:val="nil"/>
            </w:tcBorders>
            <w:shd w:val="clear" w:color="auto" w:fill="auto"/>
            <w:noWrap/>
            <w:tcMar>
              <w:top w:w="15" w:type="dxa"/>
              <w:left w:w="15" w:type="dxa"/>
              <w:right w:w="15" w:type="dxa"/>
            </w:tcMar>
            <w:vAlign w:val="center"/>
          </w:tcPr>
          <w:p>
            <w:pPr>
              <w:widowControl/>
              <w:spacing w:line="480" w:lineRule="exact"/>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bidi="ar"/>
              </w:rPr>
              <w:t xml:space="preserve">        </w:t>
            </w:r>
            <w:r>
              <w:rPr>
                <w:rFonts w:ascii="宋体" w:hAnsi="宋体" w:eastAsia="宋体" w:cs="宋体"/>
                <w:color w:val="auto"/>
                <w:kern w:val="0"/>
                <w:sz w:val="24"/>
                <w:lang w:bidi="ar"/>
              </w:rPr>
              <w:t xml:space="preserve">  </w:t>
            </w:r>
            <w:r>
              <w:rPr>
                <w:rFonts w:hint="eastAsia" w:ascii="宋体" w:hAnsi="宋体" w:eastAsia="宋体" w:cs="宋体"/>
                <w:color w:val="auto"/>
                <w:kern w:val="0"/>
                <w:sz w:val="24"/>
                <w:lang w:val="en-US" w:eastAsia="zh-CN" w:bidi="ar"/>
              </w:rPr>
              <w:t xml:space="preserve"> </w:t>
            </w:r>
            <w:r>
              <w:rPr>
                <w:rFonts w:hint="eastAsia" w:ascii="宋体" w:hAnsi="宋体" w:eastAsia="宋体" w:cs="宋体"/>
                <w:color w:val="auto"/>
                <w:kern w:val="0"/>
                <w:sz w:val="24"/>
                <w:lang w:bidi="ar"/>
              </w:rPr>
              <w:t xml:space="preserve"> </w:t>
            </w:r>
            <w:r>
              <w:rPr>
                <w:rFonts w:ascii="宋体" w:hAnsi="宋体" w:eastAsia="宋体" w:cs="宋体"/>
                <w:color w:val="auto"/>
                <w:kern w:val="0"/>
                <w:sz w:val="24"/>
                <w:lang w:bidi="ar"/>
              </w:rPr>
              <w:t>3</w:t>
            </w:r>
            <w:r>
              <w:rPr>
                <w:rFonts w:hint="eastAsia" w:ascii="宋体" w:hAnsi="宋体" w:eastAsia="宋体" w:cs="宋体"/>
                <w:color w:val="auto"/>
                <w:kern w:val="0"/>
                <w:sz w:val="24"/>
                <w:lang w:val="en-US" w:eastAsia="zh-CN" w:bidi="ar"/>
              </w:rPr>
              <w:t>.2</w:t>
            </w:r>
          </w:p>
        </w:tc>
      </w:tr>
      <w:tr>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left"/>
              <w:textAlignment w:val="center"/>
              <w:rPr>
                <w:rFonts w:ascii="宋体" w:hAnsi="宋体" w:eastAsia="宋体" w:cs="宋体"/>
                <w:color w:val="auto"/>
                <w:sz w:val="24"/>
              </w:rPr>
            </w:pPr>
            <w:r>
              <w:rPr>
                <w:rFonts w:hint="eastAsia" w:ascii="宋体" w:hAnsi="宋体" w:eastAsia="宋体" w:cs="宋体"/>
                <w:color w:val="auto"/>
                <w:kern w:val="0"/>
                <w:sz w:val="24"/>
                <w:lang w:bidi="ar"/>
              </w:rPr>
              <w:t xml:space="preserve">          禽肉</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right"/>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val="en-US" w:eastAsia="zh-CN" w:bidi="ar"/>
              </w:rPr>
              <w:t>3.8</w:t>
            </w:r>
          </w:p>
        </w:tc>
        <w:tc>
          <w:tcPr>
            <w:tcW w:w="2353" w:type="dxa"/>
            <w:tcBorders>
              <w:top w:val="nil"/>
              <w:left w:val="nil"/>
              <w:bottom w:val="nil"/>
              <w:right w:val="nil"/>
            </w:tcBorders>
            <w:shd w:val="clear" w:color="auto" w:fill="auto"/>
            <w:noWrap/>
            <w:tcMar>
              <w:top w:w="15" w:type="dxa"/>
              <w:left w:w="15" w:type="dxa"/>
              <w:right w:w="15" w:type="dxa"/>
            </w:tcMar>
            <w:vAlign w:val="center"/>
          </w:tcPr>
          <w:p>
            <w:pPr>
              <w:widowControl/>
              <w:spacing w:line="480" w:lineRule="exact"/>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bidi="ar"/>
              </w:rPr>
              <w:t xml:space="preserve">         </w:t>
            </w:r>
            <w:r>
              <w:rPr>
                <w:rFonts w:ascii="宋体" w:hAnsi="宋体" w:eastAsia="宋体" w:cs="宋体"/>
                <w:color w:val="auto"/>
                <w:kern w:val="0"/>
                <w:sz w:val="24"/>
                <w:lang w:bidi="ar"/>
              </w:rPr>
              <w:t xml:space="preserve"> </w:t>
            </w:r>
            <w:r>
              <w:rPr>
                <w:rFonts w:hint="eastAsia" w:ascii="宋体" w:hAnsi="宋体" w:eastAsia="宋体" w:cs="宋体"/>
                <w:color w:val="auto"/>
                <w:kern w:val="0"/>
                <w:sz w:val="24"/>
                <w:lang w:bidi="ar"/>
              </w:rPr>
              <w:t xml:space="preserve"> -</w:t>
            </w:r>
            <w:r>
              <w:rPr>
                <w:rFonts w:hint="eastAsia" w:ascii="宋体" w:hAnsi="宋体" w:eastAsia="宋体" w:cs="宋体"/>
                <w:color w:val="auto"/>
                <w:kern w:val="0"/>
                <w:sz w:val="24"/>
                <w:lang w:val="en-US" w:eastAsia="zh-CN" w:bidi="ar"/>
              </w:rPr>
              <w:t>8.2</w:t>
            </w:r>
          </w:p>
        </w:tc>
      </w:tr>
      <w:tr>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left"/>
              <w:textAlignment w:val="center"/>
              <w:rPr>
                <w:rFonts w:ascii="宋体" w:hAnsi="宋体" w:eastAsia="宋体" w:cs="宋体"/>
                <w:color w:val="auto"/>
                <w:sz w:val="24"/>
              </w:rPr>
            </w:pPr>
            <w:r>
              <w:rPr>
                <w:rFonts w:hint="eastAsia" w:ascii="宋体" w:hAnsi="宋体" w:eastAsia="宋体" w:cs="宋体"/>
                <w:color w:val="auto"/>
                <w:kern w:val="0"/>
                <w:sz w:val="24"/>
                <w:lang w:bidi="ar"/>
              </w:rPr>
              <w:t>水产品产量</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right"/>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val="en-US" w:eastAsia="zh-CN" w:bidi="ar"/>
              </w:rPr>
              <w:t>10.7</w:t>
            </w:r>
          </w:p>
        </w:tc>
        <w:tc>
          <w:tcPr>
            <w:tcW w:w="2353" w:type="dxa"/>
            <w:tcBorders>
              <w:top w:val="nil"/>
              <w:left w:val="nil"/>
              <w:bottom w:val="nil"/>
              <w:right w:val="nil"/>
            </w:tcBorders>
            <w:shd w:val="clear" w:color="auto" w:fill="auto"/>
            <w:noWrap/>
            <w:tcMar>
              <w:top w:w="15" w:type="dxa"/>
              <w:left w:w="15" w:type="dxa"/>
              <w:right w:w="15" w:type="dxa"/>
            </w:tcMar>
            <w:vAlign w:val="center"/>
          </w:tcPr>
          <w:p>
            <w:pPr>
              <w:widowControl/>
              <w:spacing w:line="480" w:lineRule="exact"/>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bidi="ar"/>
              </w:rPr>
              <w:t xml:space="preserve">         </w:t>
            </w:r>
            <w:r>
              <w:rPr>
                <w:rFonts w:hint="eastAsia" w:ascii="宋体" w:hAnsi="宋体" w:eastAsia="宋体" w:cs="宋体"/>
                <w:color w:val="auto"/>
                <w:kern w:val="0"/>
                <w:sz w:val="24"/>
                <w:lang w:val="en-US" w:eastAsia="zh-CN" w:bidi="ar"/>
              </w:rPr>
              <w:t xml:space="preserve"> </w:t>
            </w:r>
            <w:r>
              <w:rPr>
                <w:rFonts w:hint="eastAsia" w:ascii="宋体" w:hAnsi="宋体" w:eastAsia="宋体" w:cs="宋体"/>
                <w:color w:val="auto"/>
                <w:kern w:val="0"/>
                <w:sz w:val="24"/>
                <w:lang w:bidi="ar"/>
              </w:rPr>
              <w:t xml:space="preserve"> </w:t>
            </w:r>
            <w:r>
              <w:rPr>
                <w:rFonts w:hint="eastAsia" w:ascii="宋体" w:hAnsi="宋体" w:eastAsia="宋体" w:cs="宋体"/>
                <w:color w:val="auto"/>
                <w:kern w:val="0"/>
                <w:sz w:val="24"/>
                <w:lang w:val="en-US" w:eastAsia="zh-CN" w:bidi="ar"/>
              </w:rPr>
              <w:t>23.2</w:t>
            </w:r>
          </w:p>
        </w:tc>
      </w:tr>
      <w:tr>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left"/>
              <w:textAlignment w:val="center"/>
              <w:rPr>
                <w:rFonts w:ascii="宋体" w:hAnsi="宋体" w:eastAsia="宋体" w:cs="宋体"/>
                <w:color w:val="auto"/>
                <w:sz w:val="24"/>
              </w:rPr>
            </w:pPr>
            <w:r>
              <w:rPr>
                <w:rFonts w:hint="eastAsia" w:ascii="宋体" w:hAnsi="宋体" w:eastAsia="宋体" w:cs="宋体"/>
                <w:color w:val="auto"/>
                <w:kern w:val="0"/>
                <w:sz w:val="24"/>
                <w:lang w:bidi="ar"/>
              </w:rPr>
              <w:t xml:space="preserve">    其中：海水产品</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480" w:lineRule="exact"/>
              <w:jc w:val="right"/>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val="en-US" w:eastAsia="zh-CN" w:bidi="ar"/>
              </w:rPr>
              <w:t>6.3</w:t>
            </w:r>
          </w:p>
        </w:tc>
        <w:tc>
          <w:tcPr>
            <w:tcW w:w="2353" w:type="dxa"/>
            <w:tcBorders>
              <w:top w:val="nil"/>
              <w:left w:val="nil"/>
              <w:bottom w:val="nil"/>
              <w:right w:val="nil"/>
            </w:tcBorders>
            <w:shd w:val="clear" w:color="auto" w:fill="auto"/>
            <w:noWrap/>
            <w:tcMar>
              <w:top w:w="15" w:type="dxa"/>
              <w:left w:w="15" w:type="dxa"/>
              <w:right w:w="15" w:type="dxa"/>
            </w:tcMar>
            <w:vAlign w:val="center"/>
          </w:tcPr>
          <w:p>
            <w:pPr>
              <w:widowControl/>
              <w:spacing w:line="480" w:lineRule="exact"/>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bidi="ar"/>
              </w:rPr>
              <w:t xml:space="preserve">         </w:t>
            </w:r>
            <w:r>
              <w:rPr>
                <w:rFonts w:hint="eastAsia" w:ascii="宋体" w:hAnsi="宋体" w:eastAsia="宋体" w:cs="宋体"/>
                <w:color w:val="auto"/>
                <w:kern w:val="0"/>
                <w:sz w:val="24"/>
                <w:lang w:val="en-US" w:eastAsia="zh-CN" w:bidi="ar"/>
              </w:rPr>
              <w:t xml:space="preserve">  10.7</w:t>
            </w:r>
          </w:p>
        </w:tc>
      </w:tr>
      <w:tr>
        <w:tblPrEx>
          <w:tblCellMar>
            <w:top w:w="0" w:type="dxa"/>
            <w:left w:w="0" w:type="dxa"/>
            <w:bottom w:w="0" w:type="dxa"/>
            <w:right w:w="0" w:type="dxa"/>
          </w:tblCellMar>
        </w:tblPrEx>
        <w:trPr>
          <w:trHeight w:val="90" w:hRule="atLeast"/>
          <w:jc w:val="center"/>
        </w:trPr>
        <w:tc>
          <w:tcPr>
            <w:tcW w:w="3540" w:type="dxa"/>
            <w:tcBorders>
              <w:top w:val="nil"/>
              <w:left w:val="nil"/>
              <w:bottom w:val="single" w:color="auto" w:sz="12" w:space="0"/>
              <w:right w:val="single" w:color="000000" w:sz="4" w:space="0"/>
            </w:tcBorders>
            <w:shd w:val="clear" w:color="auto" w:fill="auto"/>
            <w:noWrap/>
            <w:tcMar>
              <w:top w:w="15" w:type="dxa"/>
              <w:left w:w="15" w:type="dxa"/>
              <w:right w:w="15" w:type="dxa"/>
            </w:tcMar>
            <w:vAlign w:val="center"/>
          </w:tcPr>
          <w:p>
            <w:pPr>
              <w:widowControl/>
              <w:spacing w:line="480" w:lineRule="exact"/>
              <w:jc w:val="left"/>
              <w:textAlignment w:val="center"/>
              <w:rPr>
                <w:rFonts w:ascii="宋体" w:hAnsi="宋体" w:eastAsia="宋体" w:cs="宋体"/>
                <w:color w:val="auto"/>
                <w:sz w:val="24"/>
              </w:rPr>
            </w:pPr>
            <w:r>
              <w:rPr>
                <w:rFonts w:hint="eastAsia" w:ascii="宋体" w:hAnsi="宋体" w:eastAsia="宋体" w:cs="宋体"/>
                <w:color w:val="auto"/>
                <w:kern w:val="0"/>
                <w:sz w:val="24"/>
                <w:lang w:bidi="ar"/>
              </w:rPr>
              <w:t xml:space="preserve">         淡水产品</w:t>
            </w:r>
          </w:p>
        </w:tc>
        <w:tc>
          <w:tcPr>
            <w:tcW w:w="1267" w:type="dxa"/>
            <w:tcBorders>
              <w:top w:val="nil"/>
              <w:left w:val="nil"/>
              <w:bottom w:val="single" w:color="auto" w:sz="12" w:space="0"/>
              <w:right w:val="single" w:color="000000" w:sz="4" w:space="0"/>
            </w:tcBorders>
            <w:shd w:val="clear" w:color="auto" w:fill="auto"/>
            <w:noWrap/>
            <w:tcMar>
              <w:top w:w="15" w:type="dxa"/>
              <w:left w:w="15" w:type="dxa"/>
              <w:right w:w="15" w:type="dxa"/>
            </w:tcMar>
            <w:vAlign w:val="center"/>
          </w:tcPr>
          <w:p>
            <w:pPr>
              <w:widowControl/>
              <w:spacing w:line="480" w:lineRule="exact"/>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万吨</w:t>
            </w:r>
          </w:p>
        </w:tc>
        <w:tc>
          <w:tcPr>
            <w:tcW w:w="1220" w:type="dxa"/>
            <w:tcBorders>
              <w:top w:val="nil"/>
              <w:left w:val="nil"/>
              <w:bottom w:val="single" w:color="auto" w:sz="12" w:space="0"/>
              <w:right w:val="single" w:color="000000" w:sz="4" w:space="0"/>
            </w:tcBorders>
            <w:shd w:val="clear" w:color="auto" w:fill="auto"/>
            <w:noWrap/>
            <w:tcMar>
              <w:top w:w="15" w:type="dxa"/>
              <w:left w:w="15" w:type="dxa"/>
              <w:right w:w="15" w:type="dxa"/>
            </w:tcMar>
            <w:vAlign w:val="center"/>
          </w:tcPr>
          <w:p>
            <w:pPr>
              <w:widowControl/>
              <w:spacing w:line="480" w:lineRule="exact"/>
              <w:jc w:val="right"/>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val="en-US" w:eastAsia="zh-CN" w:bidi="ar"/>
              </w:rPr>
              <w:t>4.4</w:t>
            </w:r>
          </w:p>
        </w:tc>
        <w:tc>
          <w:tcPr>
            <w:tcW w:w="2353" w:type="dxa"/>
            <w:tcBorders>
              <w:top w:val="nil"/>
              <w:left w:val="nil"/>
              <w:bottom w:val="single" w:color="auto" w:sz="12" w:space="0"/>
              <w:right w:val="nil"/>
            </w:tcBorders>
            <w:shd w:val="clear" w:color="auto" w:fill="auto"/>
            <w:noWrap/>
            <w:tcMar>
              <w:top w:w="15" w:type="dxa"/>
              <w:left w:w="15" w:type="dxa"/>
              <w:right w:w="15" w:type="dxa"/>
            </w:tcMar>
            <w:vAlign w:val="center"/>
          </w:tcPr>
          <w:p>
            <w:pPr>
              <w:widowControl/>
              <w:spacing w:line="480" w:lineRule="exact"/>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bidi="ar"/>
              </w:rPr>
              <w:t xml:space="preserve">         </w:t>
            </w:r>
            <w:r>
              <w:rPr>
                <w:rFonts w:ascii="宋体" w:hAnsi="宋体" w:eastAsia="宋体" w:cs="宋体"/>
                <w:color w:val="auto"/>
                <w:kern w:val="0"/>
                <w:sz w:val="24"/>
                <w:lang w:bidi="ar"/>
              </w:rPr>
              <w:t xml:space="preserve"> </w:t>
            </w:r>
            <w:r>
              <w:rPr>
                <w:rFonts w:hint="eastAsia" w:ascii="宋体" w:hAnsi="宋体" w:eastAsia="宋体" w:cs="宋体"/>
                <w:color w:val="auto"/>
                <w:kern w:val="0"/>
                <w:sz w:val="24"/>
                <w:lang w:bidi="ar"/>
              </w:rPr>
              <w:t xml:space="preserve"> </w:t>
            </w:r>
            <w:r>
              <w:rPr>
                <w:rFonts w:hint="eastAsia" w:ascii="宋体" w:hAnsi="宋体" w:eastAsia="宋体" w:cs="宋体"/>
                <w:color w:val="auto"/>
                <w:kern w:val="0"/>
                <w:sz w:val="24"/>
                <w:lang w:val="en-US" w:eastAsia="zh-CN" w:bidi="ar"/>
              </w:rPr>
              <w:t>47.1</w:t>
            </w:r>
          </w:p>
        </w:tc>
      </w:tr>
    </w:tbl>
    <w:p>
      <w:pPr>
        <w:tabs>
          <w:tab w:val="left" w:pos="606"/>
        </w:tabs>
        <w:spacing w:line="520" w:lineRule="exact"/>
        <w:ind w:firstLine="672" w:firstLineChars="200"/>
        <w:jc w:val="left"/>
        <w:rPr>
          <w:rStyle w:val="13"/>
          <w:rFonts w:hint="eastAsia" w:ascii="黑体" w:hAnsi="黑体" w:eastAsia="黑体" w:cs="黑体"/>
          <w:b w:val="0"/>
          <w:color w:val="0000FF"/>
          <w:spacing w:val="8"/>
          <w:sz w:val="32"/>
          <w:szCs w:val="32"/>
        </w:rPr>
      </w:pPr>
    </w:p>
    <w:p>
      <w:pPr>
        <w:tabs>
          <w:tab w:val="left" w:pos="606"/>
        </w:tabs>
        <w:spacing w:line="520" w:lineRule="exact"/>
        <w:ind w:firstLine="672" w:firstLineChars="200"/>
        <w:jc w:val="left"/>
        <w:rPr>
          <w:rStyle w:val="13"/>
          <w:rFonts w:ascii="黑体" w:hAnsi="黑体" w:eastAsia="黑体" w:cs="黑体"/>
          <w:b w:val="0"/>
          <w:color w:val="000000" w:themeColor="text1"/>
          <w:spacing w:val="8"/>
          <w:sz w:val="32"/>
          <w:szCs w:val="32"/>
          <w14:textFill>
            <w14:solidFill>
              <w14:schemeClr w14:val="tx1"/>
            </w14:solidFill>
          </w14:textFill>
        </w:rPr>
      </w:pPr>
      <w:r>
        <w:rPr>
          <w:rStyle w:val="13"/>
          <w:rFonts w:hint="eastAsia" w:ascii="黑体" w:hAnsi="黑体" w:eastAsia="黑体" w:cs="黑体"/>
          <w:b w:val="0"/>
          <w:color w:val="000000" w:themeColor="text1"/>
          <w:spacing w:val="8"/>
          <w:sz w:val="32"/>
          <w:szCs w:val="32"/>
          <w14:textFill>
            <w14:solidFill>
              <w14:schemeClr w14:val="tx1"/>
            </w14:solidFill>
          </w14:textFill>
        </w:rPr>
        <w:t>三、工业和建筑业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全年全市工业增加值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13.54</w:t>
      </w:r>
      <w:r>
        <w:rPr>
          <w:rFonts w:hint="eastAsia" w:ascii="仿宋_GB2312" w:hAnsi="仿宋_GB2312" w:eastAsia="仿宋_GB2312" w:cs="仿宋_GB2312"/>
          <w:color w:val="000000" w:themeColor="text1"/>
          <w:sz w:val="32"/>
          <w:szCs w:val="32"/>
          <w14:textFill>
            <w14:solidFill>
              <w14:schemeClr w14:val="tx1"/>
            </w14:solidFill>
          </w14:textFill>
        </w:rPr>
        <w:t>亿元，比上年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下降1.3</w:t>
      </w:r>
      <w:r>
        <w:rPr>
          <w:rFonts w:hint="eastAsia" w:ascii="仿宋_GB2312" w:hAnsi="仿宋_GB2312" w:eastAsia="仿宋_GB2312" w:cs="仿宋_GB2312"/>
          <w:color w:val="000000" w:themeColor="text1"/>
          <w:sz w:val="32"/>
          <w:szCs w:val="32"/>
          <w14:textFill>
            <w14:solidFill>
              <w14:schemeClr w14:val="tx1"/>
            </w14:solidFill>
          </w14:textFill>
        </w:rPr>
        <w:t>%。规模以上工业增加值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下降0.8</w:t>
      </w:r>
      <w:r>
        <w:rPr>
          <w:rFonts w:hint="eastAsia" w:ascii="仿宋_GB2312" w:hAnsi="仿宋_GB2312" w:eastAsia="仿宋_GB2312" w:cs="仿宋_GB2312"/>
          <w:color w:val="000000" w:themeColor="text1"/>
          <w:sz w:val="32"/>
          <w:szCs w:val="32"/>
          <w14:textFill>
            <w14:solidFill>
              <w14:schemeClr w14:val="tx1"/>
            </w14:solidFill>
          </w14:textFill>
        </w:rPr>
        <w:t>%。规模以上工业产值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下降13.4</w:t>
      </w:r>
      <w:r>
        <w:rPr>
          <w:rFonts w:hint="eastAsia" w:ascii="仿宋_GB2312" w:hAnsi="仿宋_GB2312" w:eastAsia="仿宋_GB2312" w:cs="仿宋_GB2312"/>
          <w:color w:val="000000" w:themeColor="text1"/>
          <w:sz w:val="32"/>
          <w:szCs w:val="32"/>
          <w14:textFill>
            <w14:solidFill>
              <w14:schemeClr w14:val="tx1"/>
            </w14:solidFill>
          </w14:textFill>
        </w:rPr>
        <w:t>%。按轻重工业分，轻工业产值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下降5.2</w:t>
      </w:r>
      <w:r>
        <w:rPr>
          <w:rFonts w:hint="eastAsia" w:ascii="仿宋_GB2312" w:hAnsi="仿宋_GB2312" w:eastAsia="仿宋_GB2312" w:cs="仿宋_GB2312"/>
          <w:color w:val="000000" w:themeColor="text1"/>
          <w:sz w:val="32"/>
          <w:szCs w:val="32"/>
          <w14:textFill>
            <w14:solidFill>
              <w14:schemeClr w14:val="tx1"/>
            </w14:solidFill>
          </w14:textFill>
        </w:rPr>
        <w:t>%；重工业产值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w:t>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.3%。从经济类型看，国有企业产值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w:t>
      </w: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%；股份制企业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下降35.3</w:t>
      </w:r>
      <w:r>
        <w:rPr>
          <w:rFonts w:hint="eastAsia" w:ascii="仿宋_GB2312" w:hAnsi="仿宋_GB2312" w:eastAsia="仿宋_GB2312" w:cs="仿宋_GB2312"/>
          <w:color w:val="000000" w:themeColor="text1"/>
          <w:sz w:val="32"/>
          <w:szCs w:val="32"/>
          <w14:textFill>
            <w14:solidFill>
              <w14:schemeClr w14:val="tx1"/>
            </w14:solidFill>
          </w14:textFill>
        </w:rPr>
        <w:t>%；外商及港澳台商投资企业增长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5.4</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全年规模以上工业中，食品制造业比上年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下降37.0</w:t>
      </w:r>
      <w:r>
        <w:rPr>
          <w:rFonts w:hint="eastAsia" w:ascii="仿宋_GB2312" w:hAnsi="仿宋_GB2312" w:eastAsia="仿宋_GB2312" w:cs="仿宋_GB2312"/>
          <w:color w:val="000000" w:themeColor="text1"/>
          <w:sz w:val="32"/>
          <w:szCs w:val="32"/>
          <w14:textFill>
            <w14:solidFill>
              <w14:schemeClr w14:val="tx1"/>
            </w14:solidFill>
          </w14:textFill>
        </w:rPr>
        <w:t>%，酒、饮料和精制茶制造业增长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.7%，非金属矿物制品业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下降32.1</w:t>
      </w:r>
      <w:r>
        <w:rPr>
          <w:rFonts w:hint="eastAsia" w:ascii="仿宋_GB2312" w:hAnsi="仿宋_GB2312" w:eastAsia="仿宋_GB2312" w:cs="仿宋_GB2312"/>
          <w:color w:val="000000" w:themeColor="text1"/>
          <w:sz w:val="32"/>
          <w:szCs w:val="32"/>
          <w14:textFill>
            <w14:solidFill>
              <w14:schemeClr w14:val="tx1"/>
            </w14:solidFill>
          </w14:textFill>
        </w:rPr>
        <w:t>%，通用设备制造业下降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56.6</w:t>
      </w:r>
      <w:r>
        <w:rPr>
          <w:rFonts w:hint="eastAsia" w:ascii="仿宋_GB2312" w:hAnsi="仿宋_GB2312" w:eastAsia="仿宋_GB2312" w:cs="仿宋_GB2312"/>
          <w:color w:val="000000" w:themeColor="text1"/>
          <w:sz w:val="32"/>
          <w:szCs w:val="32"/>
          <w14:textFill>
            <w14:solidFill>
              <w14:schemeClr w14:val="tx1"/>
            </w14:solidFill>
          </w14:textFill>
        </w:rPr>
        <w:t>%，电力、热力的生产和供应业增长1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5.9</w:t>
      </w:r>
      <w:r>
        <w:rPr>
          <w:rFonts w:hint="eastAsia" w:ascii="仿宋_GB2312" w:hAnsi="仿宋_GB2312" w:eastAsia="仿宋_GB2312" w:cs="仿宋_GB2312"/>
          <w:color w:val="000000" w:themeColor="text1"/>
          <w:sz w:val="32"/>
          <w:szCs w:val="32"/>
          <w14:textFill>
            <w14:solidFill>
              <w14:schemeClr w14:val="tx1"/>
            </w14:solidFill>
          </w14:textFill>
        </w:rPr>
        <w:t>%，燃气生产和供应业增长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29.9</w:t>
      </w:r>
      <w:r>
        <w:rPr>
          <w:rFonts w:hint="eastAsia" w:ascii="仿宋_GB2312" w:hAnsi="仿宋_GB2312" w:eastAsia="仿宋_GB2312" w:cs="仿宋_GB2312"/>
          <w:color w:val="000000" w:themeColor="text1"/>
          <w:sz w:val="32"/>
          <w:szCs w:val="32"/>
          <w14:textFill>
            <w14:solidFill>
              <w14:schemeClr w14:val="tx1"/>
            </w14:solidFill>
          </w14:textFill>
        </w:rPr>
        <w:t>%，水的生产和供应业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下降3.5</w:t>
      </w:r>
      <w:r>
        <w:rPr>
          <w:rFonts w:hint="eastAsia" w:ascii="仿宋_GB2312" w:hAnsi="仿宋_GB2312" w:eastAsia="仿宋_GB2312" w:cs="仿宋_GB2312"/>
          <w:color w:val="000000" w:themeColor="text1"/>
          <w:sz w:val="32"/>
          <w:szCs w:val="32"/>
          <w14:textFill>
            <w14:solidFill>
              <w14:schemeClr w14:val="tx1"/>
            </w14:solidFill>
          </w14:textFill>
        </w:rPr>
        <w:t>%。</w:t>
      </w:r>
    </w:p>
    <w:tbl>
      <w:tblPr>
        <w:tblStyle w:val="11"/>
        <w:tblpPr w:leftFromText="180" w:rightFromText="180" w:vertAnchor="text" w:horzAnchor="page" w:tblpX="2254" w:tblpY="131"/>
        <w:tblOverlap w:val="never"/>
        <w:tblW w:w="7695" w:type="dxa"/>
        <w:tblInd w:w="0" w:type="dxa"/>
        <w:tblLayout w:type="fixed"/>
        <w:tblCellMar>
          <w:top w:w="0" w:type="dxa"/>
          <w:left w:w="0" w:type="dxa"/>
          <w:bottom w:w="0" w:type="dxa"/>
          <w:right w:w="0" w:type="dxa"/>
        </w:tblCellMar>
      </w:tblPr>
      <w:tblGrid>
        <w:gridCol w:w="3162"/>
        <w:gridCol w:w="1185"/>
        <w:gridCol w:w="1305"/>
        <w:gridCol w:w="2043"/>
      </w:tblGrid>
      <w:tr>
        <w:tblPrEx>
          <w:tblCellMar>
            <w:top w:w="0" w:type="dxa"/>
            <w:left w:w="0" w:type="dxa"/>
            <w:bottom w:w="0" w:type="dxa"/>
            <w:right w:w="0" w:type="dxa"/>
          </w:tblCellMar>
        </w:tblPrEx>
        <w:trPr>
          <w:trHeight w:val="580" w:hRule="atLeast"/>
        </w:trPr>
        <w:tc>
          <w:tcPr>
            <w:tcW w:w="7695" w:type="dxa"/>
            <w:gridSpan w:val="4"/>
            <w:tcBorders>
              <w:top w:val="nil"/>
              <w:left w:val="nil"/>
              <w:bottom w:val="single" w:color="auto" w:sz="12" w:space="0"/>
              <w:right w:val="nil"/>
            </w:tcBorders>
            <w:shd w:val="clear" w:color="auto" w:fill="auto"/>
            <w:noWrap/>
            <w:tcMar>
              <w:top w:w="15" w:type="dxa"/>
              <w:left w:w="15" w:type="dxa"/>
              <w:right w:w="15" w:type="dxa"/>
            </w:tcMar>
            <w:vAlign w:val="center"/>
          </w:tcPr>
          <w:p>
            <w:pPr>
              <w:widowControl/>
              <w:spacing w:line="520" w:lineRule="exact"/>
              <w:jc w:val="center"/>
              <w:textAlignment w:val="center"/>
              <w:rPr>
                <w:rFonts w:ascii="宋体" w:hAnsi="宋体" w:eastAsia="宋体" w:cs="宋体"/>
                <w:color w:val="000000" w:themeColor="text1"/>
                <w:sz w:val="28"/>
                <w:szCs w:val="28"/>
                <w14:textFill>
                  <w14:solidFill>
                    <w14:schemeClr w14:val="tx1"/>
                  </w14:solidFill>
                </w14:textFill>
              </w:rPr>
            </w:pPr>
            <w:r>
              <w:rPr>
                <w:rFonts w:hint="eastAsia" w:ascii="黑体" w:hAnsi="黑体" w:eastAsia="黑体" w:cs="黑体"/>
                <w:color w:val="000000" w:themeColor="text1"/>
                <w:kern w:val="0"/>
                <w:sz w:val="30"/>
                <w:szCs w:val="30"/>
                <w:lang w:bidi="ar"/>
                <w14:textFill>
                  <w14:solidFill>
                    <w14:schemeClr w14:val="tx1"/>
                  </w14:solidFill>
                </w14:textFill>
              </w:rPr>
              <w:t>表3  202</w:t>
            </w:r>
            <w:r>
              <w:rPr>
                <w:rFonts w:hint="eastAsia" w:ascii="黑体" w:hAnsi="黑体" w:eastAsia="黑体" w:cs="黑体"/>
                <w:color w:val="000000" w:themeColor="text1"/>
                <w:kern w:val="0"/>
                <w:sz w:val="30"/>
                <w:szCs w:val="30"/>
                <w:lang w:val="en-US" w:eastAsia="zh-CN" w:bidi="ar"/>
                <w14:textFill>
                  <w14:solidFill>
                    <w14:schemeClr w14:val="tx1"/>
                  </w14:solidFill>
                </w14:textFill>
              </w:rPr>
              <w:t>2</w:t>
            </w:r>
            <w:r>
              <w:rPr>
                <w:rFonts w:hint="eastAsia" w:ascii="黑体" w:hAnsi="黑体" w:eastAsia="黑体" w:cs="黑体"/>
                <w:color w:val="000000" w:themeColor="text1"/>
                <w:kern w:val="0"/>
                <w:sz w:val="30"/>
                <w:szCs w:val="30"/>
                <w:lang w:bidi="ar"/>
                <w14:textFill>
                  <w14:solidFill>
                    <w14:schemeClr w14:val="tx1"/>
                  </w14:solidFill>
                </w14:textFill>
              </w:rPr>
              <w:t>年主要工业产品产量及其增长速度</w:t>
            </w:r>
          </w:p>
        </w:tc>
      </w:tr>
      <w:tr>
        <w:tblPrEx>
          <w:tblCellMar>
            <w:top w:w="0" w:type="dxa"/>
            <w:left w:w="0" w:type="dxa"/>
            <w:bottom w:w="0" w:type="dxa"/>
            <w:right w:w="0" w:type="dxa"/>
          </w:tblCellMar>
        </w:tblPrEx>
        <w:trPr>
          <w:trHeight w:val="480" w:hRule="atLeast"/>
        </w:trPr>
        <w:tc>
          <w:tcPr>
            <w:tcW w:w="3162" w:type="dxa"/>
            <w:tcBorders>
              <w:top w:val="single" w:color="auto" w:sz="12"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20" w:lineRule="exact"/>
              <w:jc w:val="center"/>
              <w:textAlignment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产品名称</w:t>
            </w:r>
          </w:p>
        </w:tc>
        <w:tc>
          <w:tcPr>
            <w:tcW w:w="1185" w:type="dxa"/>
            <w:tcBorders>
              <w:top w:val="single" w:color="auto" w:sz="12"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20" w:lineRule="exact"/>
              <w:jc w:val="center"/>
              <w:textAlignment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单位</w:t>
            </w:r>
          </w:p>
        </w:tc>
        <w:tc>
          <w:tcPr>
            <w:tcW w:w="1305" w:type="dxa"/>
            <w:tcBorders>
              <w:top w:val="single" w:color="auto" w:sz="12"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520" w:lineRule="exact"/>
              <w:jc w:val="center"/>
              <w:textAlignment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绝对数</w:t>
            </w:r>
          </w:p>
        </w:tc>
        <w:tc>
          <w:tcPr>
            <w:tcW w:w="2043" w:type="dxa"/>
            <w:tcBorders>
              <w:top w:val="single" w:color="auto" w:sz="12"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520" w:lineRule="exact"/>
              <w:jc w:val="center"/>
              <w:textAlignment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比上年增减（%）</w:t>
            </w:r>
          </w:p>
        </w:tc>
      </w:tr>
      <w:tr>
        <w:tblPrEx>
          <w:tblCellMar>
            <w:top w:w="0" w:type="dxa"/>
            <w:left w:w="0" w:type="dxa"/>
            <w:bottom w:w="0" w:type="dxa"/>
            <w:right w:w="0" w:type="dxa"/>
          </w:tblCellMar>
        </w:tblPrEx>
        <w:trPr>
          <w:trHeight w:val="400" w:hRule="atLeast"/>
        </w:trPr>
        <w:tc>
          <w:tcPr>
            <w:tcW w:w="3162" w:type="dxa"/>
            <w:tcBorders>
              <w:top w:val="nil"/>
              <w:left w:val="nil"/>
              <w:bottom w:val="nil"/>
              <w:right w:val="nil"/>
            </w:tcBorders>
            <w:shd w:val="clear" w:color="auto" w:fill="auto"/>
            <w:noWrap/>
            <w:tcMar>
              <w:top w:w="15" w:type="dxa"/>
              <w:left w:w="15" w:type="dxa"/>
              <w:right w:w="15" w:type="dxa"/>
            </w:tcMar>
            <w:vAlign w:val="center"/>
          </w:tcPr>
          <w:p>
            <w:pPr>
              <w:widowControl/>
              <w:spacing w:line="5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自来水生产量</w:t>
            </w:r>
          </w:p>
        </w:tc>
        <w:tc>
          <w:tcPr>
            <w:tcW w:w="1185"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52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万立方米</w:t>
            </w:r>
          </w:p>
        </w:tc>
        <w:tc>
          <w:tcPr>
            <w:tcW w:w="1305"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520" w:lineRule="exact"/>
              <w:jc w:val="right"/>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3781</w:t>
            </w:r>
          </w:p>
        </w:tc>
        <w:tc>
          <w:tcPr>
            <w:tcW w:w="2043" w:type="dxa"/>
            <w:tcBorders>
              <w:top w:val="nil"/>
              <w:left w:val="nil"/>
              <w:bottom w:val="nil"/>
              <w:right w:val="nil"/>
            </w:tcBorders>
            <w:shd w:val="clear" w:color="auto" w:fill="auto"/>
            <w:noWrap/>
            <w:tcMar>
              <w:top w:w="15" w:type="dxa"/>
              <w:left w:w="15" w:type="dxa"/>
              <w:right w:w="15" w:type="dxa"/>
            </w:tcMar>
            <w:vAlign w:val="center"/>
          </w:tcPr>
          <w:p>
            <w:pPr>
              <w:widowControl/>
              <w:spacing w:line="520" w:lineRule="exact"/>
              <w:jc w:val="right"/>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-3.4</w:t>
            </w:r>
          </w:p>
        </w:tc>
      </w:tr>
      <w:tr>
        <w:tblPrEx>
          <w:tblCellMar>
            <w:top w:w="0" w:type="dxa"/>
            <w:left w:w="0" w:type="dxa"/>
            <w:bottom w:w="0" w:type="dxa"/>
            <w:right w:w="0" w:type="dxa"/>
          </w:tblCellMar>
        </w:tblPrEx>
        <w:trPr>
          <w:trHeight w:val="400" w:hRule="atLeast"/>
        </w:trPr>
        <w:tc>
          <w:tcPr>
            <w:tcW w:w="3162" w:type="dxa"/>
            <w:tcBorders>
              <w:top w:val="nil"/>
              <w:left w:val="nil"/>
              <w:bottom w:val="nil"/>
              <w:right w:val="nil"/>
            </w:tcBorders>
            <w:shd w:val="clear" w:color="auto" w:fill="auto"/>
            <w:noWrap/>
            <w:tcMar>
              <w:top w:w="15" w:type="dxa"/>
              <w:left w:w="15" w:type="dxa"/>
              <w:right w:w="15" w:type="dxa"/>
            </w:tcMar>
            <w:vAlign w:val="center"/>
          </w:tcPr>
          <w:p>
            <w:pPr>
              <w:widowControl/>
              <w:spacing w:line="5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发电量</w:t>
            </w:r>
          </w:p>
        </w:tc>
        <w:tc>
          <w:tcPr>
            <w:tcW w:w="1185"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52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万千瓦时</w:t>
            </w:r>
          </w:p>
        </w:tc>
        <w:tc>
          <w:tcPr>
            <w:tcW w:w="1305"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520" w:lineRule="exact"/>
              <w:jc w:val="right"/>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 xml:space="preserve">42429.32 </w:t>
            </w:r>
          </w:p>
        </w:tc>
        <w:tc>
          <w:tcPr>
            <w:tcW w:w="2043" w:type="dxa"/>
            <w:tcBorders>
              <w:top w:val="nil"/>
              <w:left w:val="nil"/>
              <w:bottom w:val="nil"/>
              <w:right w:val="nil"/>
            </w:tcBorders>
            <w:shd w:val="clear" w:color="auto" w:fill="auto"/>
            <w:noWrap/>
            <w:tcMar>
              <w:top w:w="15" w:type="dxa"/>
              <w:left w:w="15" w:type="dxa"/>
              <w:right w:w="15" w:type="dxa"/>
            </w:tcMar>
            <w:vAlign w:val="center"/>
          </w:tcPr>
          <w:p>
            <w:pPr>
              <w:widowControl/>
              <w:spacing w:line="520" w:lineRule="exact"/>
              <w:jc w:val="righ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15.9</w:t>
            </w:r>
            <w:r>
              <w:rPr>
                <w:rFonts w:hint="eastAsia" w:ascii="宋体" w:hAnsi="宋体" w:eastAsia="宋体" w:cs="宋体"/>
                <w:color w:val="000000" w:themeColor="text1"/>
                <w:kern w:val="0"/>
                <w:sz w:val="24"/>
                <w:lang w:bidi="ar"/>
                <w14:textFill>
                  <w14:solidFill>
                    <w14:schemeClr w14:val="tx1"/>
                  </w14:solidFill>
                </w14:textFill>
              </w:rPr>
              <w:t xml:space="preserve"> </w:t>
            </w:r>
          </w:p>
        </w:tc>
      </w:tr>
      <w:tr>
        <w:tblPrEx>
          <w:tblCellMar>
            <w:top w:w="0" w:type="dxa"/>
            <w:left w:w="0" w:type="dxa"/>
            <w:bottom w:w="0" w:type="dxa"/>
            <w:right w:w="0" w:type="dxa"/>
          </w:tblCellMar>
        </w:tblPrEx>
        <w:trPr>
          <w:trHeight w:val="400" w:hRule="atLeast"/>
        </w:trPr>
        <w:tc>
          <w:tcPr>
            <w:tcW w:w="3162" w:type="dxa"/>
            <w:tcBorders>
              <w:top w:val="nil"/>
              <w:left w:val="nil"/>
              <w:bottom w:val="nil"/>
              <w:right w:val="nil"/>
            </w:tcBorders>
            <w:shd w:val="clear" w:color="auto" w:fill="auto"/>
            <w:noWrap/>
            <w:tcMar>
              <w:top w:w="15" w:type="dxa"/>
              <w:left w:w="15" w:type="dxa"/>
              <w:right w:w="15" w:type="dxa"/>
            </w:tcMar>
            <w:vAlign w:val="center"/>
          </w:tcPr>
          <w:p>
            <w:pPr>
              <w:widowControl/>
              <w:spacing w:line="5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其中： 水力发电量</w:t>
            </w:r>
          </w:p>
        </w:tc>
        <w:tc>
          <w:tcPr>
            <w:tcW w:w="1185"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52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万千瓦时</w:t>
            </w:r>
          </w:p>
        </w:tc>
        <w:tc>
          <w:tcPr>
            <w:tcW w:w="1305" w:type="dxa"/>
            <w:tcBorders>
              <w:top w:val="nil"/>
              <w:left w:val="nil"/>
              <w:bottom w:val="nil"/>
              <w:right w:val="single" w:color="000000" w:sz="4" w:space="0"/>
            </w:tcBorders>
            <w:shd w:val="clear" w:color="auto" w:fill="auto"/>
            <w:noWrap/>
            <w:tcMar>
              <w:top w:w="15" w:type="dxa"/>
              <w:left w:w="15" w:type="dxa"/>
              <w:right w:w="15" w:type="dxa"/>
            </w:tcMar>
            <w:vAlign w:val="bottom"/>
          </w:tcPr>
          <w:p>
            <w:pPr>
              <w:widowControl/>
              <w:spacing w:line="520" w:lineRule="exact"/>
              <w:jc w:val="right"/>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default" w:ascii="宋体" w:hAnsi="宋体" w:eastAsia="宋体" w:cs="宋体"/>
                <w:color w:val="000000" w:themeColor="text1"/>
                <w:kern w:val="0"/>
                <w:sz w:val="24"/>
                <w:lang w:val="en-US" w:eastAsia="zh-CN" w:bidi="ar"/>
                <w14:textFill>
                  <w14:solidFill>
                    <w14:schemeClr w14:val="tx1"/>
                  </w14:solidFill>
                </w14:textFill>
              </w:rPr>
              <w:t>27483.56</w:t>
            </w:r>
          </w:p>
        </w:tc>
        <w:tc>
          <w:tcPr>
            <w:tcW w:w="2043" w:type="dxa"/>
            <w:tcBorders>
              <w:top w:val="nil"/>
              <w:left w:val="nil"/>
              <w:bottom w:val="nil"/>
              <w:right w:val="nil"/>
            </w:tcBorders>
            <w:shd w:val="clear" w:color="auto" w:fill="auto"/>
            <w:noWrap/>
            <w:tcMar>
              <w:top w:w="15" w:type="dxa"/>
              <w:left w:w="15" w:type="dxa"/>
              <w:right w:w="15" w:type="dxa"/>
            </w:tcMar>
            <w:vAlign w:val="center"/>
          </w:tcPr>
          <w:p>
            <w:pPr>
              <w:widowControl/>
              <w:spacing w:line="520" w:lineRule="exact"/>
              <w:jc w:val="right"/>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4.1</w:t>
            </w:r>
          </w:p>
        </w:tc>
      </w:tr>
      <w:tr>
        <w:tblPrEx>
          <w:tblCellMar>
            <w:top w:w="0" w:type="dxa"/>
            <w:left w:w="0" w:type="dxa"/>
            <w:bottom w:w="0" w:type="dxa"/>
            <w:right w:w="0" w:type="dxa"/>
          </w:tblCellMar>
        </w:tblPrEx>
        <w:trPr>
          <w:trHeight w:val="400" w:hRule="atLeast"/>
        </w:trPr>
        <w:tc>
          <w:tcPr>
            <w:tcW w:w="3162" w:type="dxa"/>
            <w:tcBorders>
              <w:top w:val="nil"/>
              <w:left w:val="nil"/>
              <w:bottom w:val="nil"/>
              <w:right w:val="nil"/>
            </w:tcBorders>
            <w:shd w:val="clear" w:color="auto" w:fill="auto"/>
            <w:noWrap/>
            <w:tcMar>
              <w:top w:w="15" w:type="dxa"/>
              <w:left w:w="15" w:type="dxa"/>
              <w:right w:w="15" w:type="dxa"/>
            </w:tcMar>
            <w:vAlign w:val="center"/>
          </w:tcPr>
          <w:p>
            <w:pPr>
              <w:widowControl/>
              <w:spacing w:line="5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商品混凝土</w:t>
            </w:r>
          </w:p>
        </w:tc>
        <w:tc>
          <w:tcPr>
            <w:tcW w:w="1185"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52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立方米</w:t>
            </w:r>
          </w:p>
        </w:tc>
        <w:tc>
          <w:tcPr>
            <w:tcW w:w="1305"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520" w:lineRule="exact"/>
              <w:jc w:val="righ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641142.71 </w:t>
            </w:r>
          </w:p>
        </w:tc>
        <w:tc>
          <w:tcPr>
            <w:tcW w:w="2043" w:type="dxa"/>
            <w:tcBorders>
              <w:top w:val="nil"/>
              <w:left w:val="nil"/>
              <w:bottom w:val="nil"/>
              <w:right w:val="nil"/>
            </w:tcBorders>
            <w:shd w:val="clear" w:color="auto" w:fill="auto"/>
            <w:noWrap/>
            <w:tcMar>
              <w:top w:w="15" w:type="dxa"/>
              <w:left w:w="15" w:type="dxa"/>
              <w:right w:w="15" w:type="dxa"/>
            </w:tcMar>
            <w:vAlign w:val="center"/>
          </w:tcPr>
          <w:p>
            <w:pPr>
              <w:widowControl/>
              <w:spacing w:line="520" w:lineRule="exact"/>
              <w:jc w:val="righ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-29.9</w:t>
            </w:r>
            <w:r>
              <w:rPr>
                <w:rFonts w:hint="eastAsia" w:ascii="宋体" w:hAnsi="宋体" w:eastAsia="宋体" w:cs="宋体"/>
                <w:color w:val="000000" w:themeColor="text1"/>
                <w:kern w:val="0"/>
                <w:sz w:val="24"/>
                <w:lang w:bidi="ar"/>
                <w14:textFill>
                  <w14:solidFill>
                    <w14:schemeClr w14:val="tx1"/>
                  </w14:solidFill>
                </w14:textFill>
              </w:rPr>
              <w:t xml:space="preserve"> </w:t>
            </w:r>
          </w:p>
        </w:tc>
      </w:tr>
      <w:tr>
        <w:tblPrEx>
          <w:tblCellMar>
            <w:top w:w="0" w:type="dxa"/>
            <w:left w:w="0" w:type="dxa"/>
            <w:bottom w:w="0" w:type="dxa"/>
            <w:right w:w="0" w:type="dxa"/>
          </w:tblCellMar>
        </w:tblPrEx>
        <w:trPr>
          <w:trHeight w:val="400" w:hRule="atLeast"/>
        </w:trPr>
        <w:tc>
          <w:tcPr>
            <w:tcW w:w="3162" w:type="dxa"/>
            <w:tcBorders>
              <w:top w:val="nil"/>
              <w:left w:val="nil"/>
              <w:bottom w:val="nil"/>
              <w:right w:val="nil"/>
            </w:tcBorders>
            <w:shd w:val="clear" w:color="auto" w:fill="auto"/>
            <w:noWrap/>
            <w:tcMar>
              <w:top w:w="15" w:type="dxa"/>
              <w:left w:w="15" w:type="dxa"/>
              <w:right w:w="15" w:type="dxa"/>
            </w:tcMar>
            <w:vAlign w:val="center"/>
          </w:tcPr>
          <w:p>
            <w:pPr>
              <w:widowControl/>
              <w:spacing w:line="5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饮料</w:t>
            </w:r>
          </w:p>
        </w:tc>
        <w:tc>
          <w:tcPr>
            <w:tcW w:w="1185"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52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吨</w:t>
            </w:r>
          </w:p>
        </w:tc>
        <w:tc>
          <w:tcPr>
            <w:tcW w:w="1305"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520" w:lineRule="exact"/>
              <w:jc w:val="righ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14511.57</w:t>
            </w:r>
          </w:p>
        </w:tc>
        <w:tc>
          <w:tcPr>
            <w:tcW w:w="2043" w:type="dxa"/>
            <w:tcBorders>
              <w:top w:val="nil"/>
              <w:left w:val="nil"/>
              <w:bottom w:val="nil"/>
              <w:right w:val="nil"/>
            </w:tcBorders>
            <w:shd w:val="clear" w:color="auto" w:fill="auto"/>
            <w:noWrap/>
            <w:tcMar>
              <w:top w:w="15" w:type="dxa"/>
              <w:left w:w="15" w:type="dxa"/>
              <w:right w:w="15" w:type="dxa"/>
            </w:tcMar>
            <w:vAlign w:val="center"/>
          </w:tcPr>
          <w:p>
            <w:pPr>
              <w:widowControl/>
              <w:spacing w:line="520" w:lineRule="exact"/>
              <w:jc w:val="right"/>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3.7</w:t>
            </w:r>
          </w:p>
        </w:tc>
      </w:tr>
      <w:tr>
        <w:tblPrEx>
          <w:tblCellMar>
            <w:top w:w="0" w:type="dxa"/>
            <w:left w:w="0" w:type="dxa"/>
            <w:bottom w:w="0" w:type="dxa"/>
            <w:right w:w="0" w:type="dxa"/>
          </w:tblCellMar>
        </w:tblPrEx>
        <w:trPr>
          <w:trHeight w:val="400" w:hRule="atLeast"/>
        </w:trPr>
        <w:tc>
          <w:tcPr>
            <w:tcW w:w="3162" w:type="dxa"/>
            <w:tcBorders>
              <w:top w:val="nil"/>
              <w:left w:val="nil"/>
              <w:bottom w:val="nil"/>
              <w:right w:val="nil"/>
            </w:tcBorders>
            <w:shd w:val="clear" w:color="auto" w:fill="auto"/>
            <w:noWrap/>
            <w:tcMar>
              <w:top w:w="15" w:type="dxa"/>
              <w:left w:w="15" w:type="dxa"/>
              <w:right w:w="15" w:type="dxa"/>
            </w:tcMar>
            <w:vAlign w:val="center"/>
          </w:tcPr>
          <w:p>
            <w:pPr>
              <w:widowControl/>
              <w:spacing w:line="5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其中：蛋白饮料</w:t>
            </w:r>
          </w:p>
        </w:tc>
        <w:tc>
          <w:tcPr>
            <w:tcW w:w="1185"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52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吨</w:t>
            </w:r>
          </w:p>
        </w:tc>
        <w:tc>
          <w:tcPr>
            <w:tcW w:w="1305"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520" w:lineRule="exact"/>
              <w:jc w:val="righ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6697.59 </w:t>
            </w:r>
          </w:p>
        </w:tc>
        <w:tc>
          <w:tcPr>
            <w:tcW w:w="2043" w:type="dxa"/>
            <w:tcBorders>
              <w:top w:val="nil"/>
              <w:left w:val="nil"/>
              <w:bottom w:val="nil"/>
              <w:right w:val="nil"/>
            </w:tcBorders>
            <w:shd w:val="clear" w:color="auto" w:fill="auto"/>
            <w:noWrap/>
            <w:tcMar>
              <w:top w:w="15" w:type="dxa"/>
              <w:left w:w="15" w:type="dxa"/>
              <w:right w:w="15" w:type="dxa"/>
            </w:tcMar>
            <w:vAlign w:val="center"/>
          </w:tcPr>
          <w:p>
            <w:pPr>
              <w:widowControl/>
              <w:spacing w:line="520" w:lineRule="exact"/>
              <w:jc w:val="righ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-3.5</w:t>
            </w:r>
            <w:r>
              <w:rPr>
                <w:rFonts w:hint="eastAsia" w:ascii="宋体" w:hAnsi="宋体" w:eastAsia="宋体" w:cs="宋体"/>
                <w:color w:val="000000" w:themeColor="text1"/>
                <w:kern w:val="0"/>
                <w:sz w:val="24"/>
                <w:lang w:bidi="ar"/>
                <w14:textFill>
                  <w14:solidFill>
                    <w14:schemeClr w14:val="tx1"/>
                  </w14:solidFill>
                </w14:textFill>
              </w:rPr>
              <w:t xml:space="preserve"> </w:t>
            </w:r>
          </w:p>
        </w:tc>
      </w:tr>
      <w:tr>
        <w:tblPrEx>
          <w:tblCellMar>
            <w:top w:w="0" w:type="dxa"/>
            <w:left w:w="0" w:type="dxa"/>
            <w:bottom w:w="0" w:type="dxa"/>
            <w:right w:w="0" w:type="dxa"/>
          </w:tblCellMar>
        </w:tblPrEx>
        <w:trPr>
          <w:trHeight w:val="400" w:hRule="atLeast"/>
        </w:trPr>
        <w:tc>
          <w:tcPr>
            <w:tcW w:w="3162" w:type="dxa"/>
            <w:tcBorders>
              <w:top w:val="nil"/>
              <w:left w:val="nil"/>
              <w:bottom w:val="nil"/>
              <w:right w:val="nil"/>
            </w:tcBorders>
            <w:shd w:val="clear" w:color="auto" w:fill="auto"/>
            <w:noWrap/>
            <w:tcMar>
              <w:top w:w="15" w:type="dxa"/>
              <w:left w:w="15" w:type="dxa"/>
              <w:right w:w="15" w:type="dxa"/>
            </w:tcMar>
            <w:vAlign w:val="center"/>
          </w:tcPr>
          <w:p>
            <w:pPr>
              <w:widowControl/>
              <w:spacing w:line="520" w:lineRule="exact"/>
              <w:ind w:firstLine="960" w:firstLineChars="400"/>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果汁和蔬菜汁类饮料</w:t>
            </w:r>
          </w:p>
        </w:tc>
        <w:tc>
          <w:tcPr>
            <w:tcW w:w="1185"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52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吨</w:t>
            </w:r>
          </w:p>
        </w:tc>
        <w:tc>
          <w:tcPr>
            <w:tcW w:w="1305"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520" w:lineRule="exact"/>
              <w:jc w:val="righ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7730 </w:t>
            </w:r>
          </w:p>
        </w:tc>
        <w:tc>
          <w:tcPr>
            <w:tcW w:w="2043" w:type="dxa"/>
            <w:tcBorders>
              <w:top w:val="nil"/>
              <w:left w:val="nil"/>
              <w:bottom w:val="nil"/>
              <w:right w:val="nil"/>
            </w:tcBorders>
            <w:shd w:val="clear" w:color="auto" w:fill="auto"/>
            <w:noWrap/>
            <w:tcMar>
              <w:top w:w="15" w:type="dxa"/>
              <w:left w:w="15" w:type="dxa"/>
              <w:right w:w="15" w:type="dxa"/>
            </w:tcMar>
            <w:vAlign w:val="center"/>
          </w:tcPr>
          <w:p>
            <w:pPr>
              <w:widowControl/>
              <w:spacing w:line="520" w:lineRule="exact"/>
              <w:jc w:val="right"/>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12.2</w:t>
            </w:r>
          </w:p>
        </w:tc>
      </w:tr>
      <w:tr>
        <w:tblPrEx>
          <w:tblCellMar>
            <w:top w:w="0" w:type="dxa"/>
            <w:left w:w="0" w:type="dxa"/>
            <w:bottom w:w="0" w:type="dxa"/>
            <w:right w:w="0" w:type="dxa"/>
          </w:tblCellMar>
        </w:tblPrEx>
        <w:trPr>
          <w:trHeight w:val="400" w:hRule="atLeast"/>
        </w:trPr>
        <w:tc>
          <w:tcPr>
            <w:tcW w:w="3162" w:type="dxa"/>
            <w:tcBorders>
              <w:top w:val="nil"/>
              <w:left w:val="nil"/>
              <w:bottom w:val="nil"/>
              <w:right w:val="nil"/>
            </w:tcBorders>
            <w:shd w:val="clear" w:color="auto" w:fill="auto"/>
            <w:noWrap/>
            <w:tcMar>
              <w:top w:w="15" w:type="dxa"/>
              <w:left w:w="15" w:type="dxa"/>
              <w:right w:w="15" w:type="dxa"/>
            </w:tcMar>
            <w:vAlign w:val="center"/>
          </w:tcPr>
          <w:p>
            <w:pPr>
              <w:widowControl/>
              <w:spacing w:line="5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焙烤松脆食品</w:t>
            </w:r>
          </w:p>
        </w:tc>
        <w:tc>
          <w:tcPr>
            <w:tcW w:w="1185"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52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吨</w:t>
            </w:r>
          </w:p>
        </w:tc>
        <w:tc>
          <w:tcPr>
            <w:tcW w:w="1305"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520" w:lineRule="exact"/>
              <w:jc w:val="righ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55.65</w:t>
            </w:r>
          </w:p>
        </w:tc>
        <w:tc>
          <w:tcPr>
            <w:tcW w:w="2043" w:type="dxa"/>
            <w:tcBorders>
              <w:top w:val="nil"/>
              <w:left w:val="nil"/>
              <w:bottom w:val="nil"/>
              <w:right w:val="nil"/>
            </w:tcBorders>
            <w:shd w:val="clear" w:color="auto" w:fill="auto"/>
            <w:noWrap/>
            <w:tcMar>
              <w:top w:w="15" w:type="dxa"/>
              <w:left w:w="15" w:type="dxa"/>
              <w:right w:w="15" w:type="dxa"/>
            </w:tcMar>
            <w:vAlign w:val="center"/>
          </w:tcPr>
          <w:p>
            <w:pPr>
              <w:widowControl/>
              <w:spacing w:line="520" w:lineRule="exact"/>
              <w:jc w:val="right"/>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-15.7</w:t>
            </w:r>
          </w:p>
        </w:tc>
      </w:tr>
      <w:tr>
        <w:tblPrEx>
          <w:tblCellMar>
            <w:top w:w="0" w:type="dxa"/>
            <w:left w:w="0" w:type="dxa"/>
            <w:bottom w:w="0" w:type="dxa"/>
            <w:right w:w="0" w:type="dxa"/>
          </w:tblCellMar>
        </w:tblPrEx>
        <w:trPr>
          <w:trHeight w:val="400" w:hRule="atLeast"/>
        </w:trPr>
        <w:tc>
          <w:tcPr>
            <w:tcW w:w="3162" w:type="dxa"/>
            <w:tcBorders>
              <w:top w:val="nil"/>
              <w:left w:val="nil"/>
              <w:bottom w:val="single" w:color="auto" w:sz="12" w:space="0"/>
              <w:right w:val="nil"/>
            </w:tcBorders>
            <w:shd w:val="clear" w:color="auto" w:fill="auto"/>
            <w:noWrap/>
            <w:tcMar>
              <w:top w:w="15" w:type="dxa"/>
              <w:left w:w="15" w:type="dxa"/>
              <w:right w:w="15" w:type="dxa"/>
            </w:tcMar>
            <w:vAlign w:val="center"/>
          </w:tcPr>
          <w:p>
            <w:pPr>
              <w:widowControl/>
              <w:spacing w:line="520" w:lineRule="exact"/>
              <w:jc w:val="left"/>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糖果</w:t>
            </w:r>
          </w:p>
        </w:tc>
        <w:tc>
          <w:tcPr>
            <w:tcW w:w="1185" w:type="dxa"/>
            <w:tcBorders>
              <w:top w:val="nil"/>
              <w:left w:val="single" w:color="000000" w:sz="4" w:space="0"/>
              <w:bottom w:val="single" w:color="auto" w:sz="12" w:space="0"/>
              <w:right w:val="single" w:color="000000" w:sz="4" w:space="0"/>
            </w:tcBorders>
            <w:shd w:val="clear" w:color="auto" w:fill="auto"/>
            <w:noWrap/>
            <w:tcMar>
              <w:top w:w="15" w:type="dxa"/>
              <w:left w:w="15" w:type="dxa"/>
              <w:right w:w="15" w:type="dxa"/>
            </w:tcMar>
            <w:vAlign w:val="center"/>
          </w:tcPr>
          <w:p>
            <w:pPr>
              <w:widowControl/>
              <w:spacing w:line="520" w:lineRule="exact"/>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吨</w:t>
            </w:r>
          </w:p>
        </w:tc>
        <w:tc>
          <w:tcPr>
            <w:tcW w:w="1305" w:type="dxa"/>
            <w:tcBorders>
              <w:top w:val="nil"/>
              <w:left w:val="nil"/>
              <w:bottom w:val="single" w:color="auto" w:sz="12" w:space="0"/>
              <w:right w:val="single" w:color="000000" w:sz="4" w:space="0"/>
            </w:tcBorders>
            <w:shd w:val="clear" w:color="auto" w:fill="auto"/>
            <w:noWrap/>
            <w:tcMar>
              <w:top w:w="15" w:type="dxa"/>
              <w:left w:w="15" w:type="dxa"/>
              <w:right w:w="15" w:type="dxa"/>
            </w:tcMar>
            <w:vAlign w:val="center"/>
          </w:tcPr>
          <w:p>
            <w:pPr>
              <w:widowControl/>
              <w:spacing w:line="520" w:lineRule="exact"/>
              <w:jc w:val="right"/>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148.12</w:t>
            </w:r>
          </w:p>
        </w:tc>
        <w:tc>
          <w:tcPr>
            <w:tcW w:w="2043" w:type="dxa"/>
            <w:tcBorders>
              <w:top w:val="nil"/>
              <w:left w:val="nil"/>
              <w:bottom w:val="single" w:color="auto" w:sz="12" w:space="0"/>
              <w:right w:val="nil"/>
            </w:tcBorders>
            <w:shd w:val="clear" w:color="auto" w:fill="auto"/>
            <w:noWrap/>
            <w:tcMar>
              <w:top w:w="15" w:type="dxa"/>
              <w:left w:w="15" w:type="dxa"/>
              <w:right w:w="15" w:type="dxa"/>
            </w:tcMar>
            <w:vAlign w:val="center"/>
          </w:tcPr>
          <w:p>
            <w:pPr>
              <w:widowControl/>
              <w:spacing w:line="520" w:lineRule="exact"/>
              <w:jc w:val="right"/>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-48.2</w:t>
            </w:r>
          </w:p>
        </w:tc>
      </w:tr>
    </w:tbl>
    <w:p>
      <w:pPr>
        <w:tabs>
          <w:tab w:val="left" w:pos="726"/>
        </w:tabs>
        <w:spacing w:line="520" w:lineRule="exact"/>
        <w:ind w:firstLine="640" w:firstLineChars="200"/>
        <w:rPr>
          <w:rFonts w:hint="eastAsia" w:ascii="仿宋_GB2312" w:hAnsi="仿宋_GB2312" w:eastAsia="仿宋_GB2312" w:cs="仿宋_GB2312"/>
          <w:color w:val="0000FF"/>
          <w:sz w:val="32"/>
          <w:szCs w:val="32"/>
          <w:shd w:val="clear" w:color="auto" w:fill="FFFFFF"/>
        </w:rPr>
      </w:pPr>
    </w:p>
    <w:p>
      <w:pPr>
        <w:tabs>
          <w:tab w:val="left" w:pos="726"/>
        </w:tabs>
        <w:spacing w:line="520" w:lineRule="exact"/>
        <w:ind w:firstLine="640" w:firstLineChars="200"/>
        <w:rPr>
          <w:rFonts w:hint="eastAsia" w:ascii="仿宋_GB2312" w:hAnsi="仿宋_GB2312" w:eastAsia="仿宋_GB2312" w:cs="仿宋_GB2312"/>
          <w:color w:val="0000FF"/>
          <w:sz w:val="32"/>
          <w:szCs w:val="32"/>
          <w:shd w:val="clear" w:color="auto" w:fill="FFFFFF"/>
        </w:rPr>
      </w:pPr>
    </w:p>
    <w:p>
      <w:pPr>
        <w:tabs>
          <w:tab w:val="left" w:pos="726"/>
        </w:tabs>
        <w:spacing w:line="520" w:lineRule="exact"/>
        <w:ind w:firstLine="640" w:firstLineChars="200"/>
        <w:rPr>
          <w:rFonts w:hint="eastAsia" w:ascii="仿宋_GB2312" w:hAnsi="仿宋_GB2312" w:eastAsia="仿宋_GB2312" w:cs="仿宋_GB2312"/>
          <w:color w:val="0000FF"/>
          <w:sz w:val="32"/>
          <w:szCs w:val="32"/>
          <w:shd w:val="clear" w:color="auto" w:fill="FFFFFF"/>
        </w:rPr>
      </w:pPr>
    </w:p>
    <w:p>
      <w:pPr>
        <w:tabs>
          <w:tab w:val="left" w:pos="726"/>
        </w:tabs>
        <w:spacing w:line="520" w:lineRule="exact"/>
        <w:ind w:firstLine="640" w:firstLineChars="200"/>
        <w:rPr>
          <w:rFonts w:hint="eastAsia" w:ascii="仿宋_GB2312" w:hAnsi="仿宋_GB2312" w:eastAsia="仿宋_GB2312" w:cs="仿宋_GB2312"/>
          <w:color w:val="0000FF"/>
          <w:sz w:val="32"/>
          <w:szCs w:val="32"/>
          <w:shd w:val="clear" w:color="auto" w:fill="FFFFFF"/>
        </w:rPr>
      </w:pPr>
    </w:p>
    <w:p>
      <w:pPr>
        <w:tabs>
          <w:tab w:val="left" w:pos="726"/>
        </w:tabs>
        <w:spacing w:line="520" w:lineRule="exact"/>
        <w:ind w:firstLine="640" w:firstLineChars="200"/>
        <w:rPr>
          <w:rFonts w:hint="eastAsia" w:ascii="仿宋_GB2312" w:hAnsi="仿宋_GB2312" w:eastAsia="仿宋_GB2312" w:cs="仿宋_GB2312"/>
          <w:color w:val="0000FF"/>
          <w:sz w:val="32"/>
          <w:szCs w:val="32"/>
          <w:shd w:val="clear" w:color="auto" w:fill="FFFFFF"/>
        </w:rPr>
      </w:pPr>
    </w:p>
    <w:p>
      <w:pPr>
        <w:tabs>
          <w:tab w:val="left" w:pos="726"/>
        </w:tabs>
        <w:spacing w:line="520" w:lineRule="exact"/>
        <w:ind w:firstLine="640" w:firstLineChars="200"/>
        <w:rPr>
          <w:rFonts w:hint="eastAsia" w:ascii="仿宋_GB2312" w:hAnsi="仿宋_GB2312" w:eastAsia="仿宋_GB2312" w:cs="仿宋_GB2312"/>
          <w:color w:val="0000FF"/>
          <w:sz w:val="32"/>
          <w:szCs w:val="32"/>
          <w:shd w:val="clear" w:color="auto" w:fill="FFFFFF"/>
        </w:rPr>
      </w:pPr>
    </w:p>
    <w:p>
      <w:pPr>
        <w:tabs>
          <w:tab w:val="left" w:pos="726"/>
        </w:tabs>
        <w:spacing w:line="520" w:lineRule="exact"/>
        <w:ind w:firstLine="640" w:firstLineChars="200"/>
        <w:rPr>
          <w:rFonts w:hint="eastAsia" w:ascii="仿宋_GB2312" w:hAnsi="仿宋_GB2312" w:eastAsia="仿宋_GB2312" w:cs="仿宋_GB2312"/>
          <w:color w:val="0000FF"/>
          <w:sz w:val="32"/>
          <w:szCs w:val="32"/>
          <w:shd w:val="clear" w:color="auto" w:fill="FFFFFF"/>
        </w:rPr>
      </w:pPr>
    </w:p>
    <w:p>
      <w:pPr>
        <w:tabs>
          <w:tab w:val="left" w:pos="726"/>
        </w:tabs>
        <w:spacing w:line="520" w:lineRule="exact"/>
        <w:ind w:firstLine="640" w:firstLineChars="200"/>
        <w:rPr>
          <w:rFonts w:hint="eastAsia" w:ascii="仿宋_GB2312" w:hAnsi="仿宋_GB2312" w:eastAsia="仿宋_GB2312" w:cs="仿宋_GB2312"/>
          <w:color w:val="0000FF"/>
          <w:sz w:val="32"/>
          <w:szCs w:val="32"/>
          <w:shd w:val="clear" w:color="auto" w:fill="FFFFFF"/>
        </w:rPr>
      </w:pPr>
    </w:p>
    <w:p>
      <w:pPr>
        <w:tabs>
          <w:tab w:val="left" w:pos="726"/>
        </w:tabs>
        <w:spacing w:line="520" w:lineRule="exact"/>
        <w:ind w:firstLine="640" w:firstLineChars="200"/>
        <w:rPr>
          <w:rFonts w:hint="eastAsia" w:ascii="仿宋_GB2312" w:hAnsi="仿宋_GB2312" w:eastAsia="仿宋_GB2312" w:cs="仿宋_GB2312"/>
          <w:color w:val="0000FF"/>
          <w:sz w:val="32"/>
          <w:szCs w:val="32"/>
          <w:shd w:val="clear" w:color="auto" w:fill="FFFFFF"/>
        </w:rPr>
      </w:pPr>
    </w:p>
    <w:p>
      <w:pPr>
        <w:tabs>
          <w:tab w:val="left" w:pos="726"/>
        </w:tabs>
        <w:spacing w:line="520" w:lineRule="exact"/>
        <w:ind w:firstLine="640" w:firstLineChars="200"/>
        <w:rPr>
          <w:rFonts w:hint="eastAsia" w:ascii="仿宋_GB2312" w:hAnsi="仿宋_GB2312" w:eastAsia="仿宋_GB2312" w:cs="仿宋_GB2312"/>
          <w:color w:val="0000FF"/>
          <w:sz w:val="32"/>
          <w:szCs w:val="32"/>
          <w:shd w:val="clear" w:color="auto" w:fill="FFFFFF"/>
        </w:rPr>
      </w:pPr>
    </w:p>
    <w:p>
      <w:pPr>
        <w:tabs>
          <w:tab w:val="left" w:pos="726"/>
        </w:tabs>
        <w:spacing w:line="520" w:lineRule="exact"/>
        <w:ind w:firstLine="640" w:firstLineChars="200"/>
        <w:rPr>
          <w:rFonts w:hint="eastAsia" w:ascii="仿宋_GB2312" w:hAnsi="仿宋_GB2312" w:eastAsia="仿宋_GB2312" w:cs="仿宋_GB2312"/>
          <w:color w:val="0000FF"/>
          <w:sz w:val="32"/>
          <w:szCs w:val="32"/>
          <w:shd w:val="clear" w:color="auto" w:fill="FFFFFF"/>
        </w:rPr>
      </w:pPr>
    </w:p>
    <w:p>
      <w:pPr>
        <w:tabs>
          <w:tab w:val="left" w:pos="726"/>
        </w:tabs>
        <w:spacing w:line="520" w:lineRule="exact"/>
        <w:ind w:firstLine="640" w:firstLineChars="200"/>
        <w:rPr>
          <w:rFonts w:hint="eastAsia" w:ascii="仿宋_GB2312" w:hAnsi="仿宋_GB2312" w:eastAsia="仿宋_GB2312" w:cs="仿宋_GB2312"/>
          <w:color w:val="0000FF"/>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全年规模以上工业企业营业收入比上年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下降12.4</w:t>
      </w:r>
      <w:r>
        <w:rPr>
          <w:rFonts w:hint="eastAsia" w:ascii="仿宋_GB2312" w:hAnsi="仿宋_GB2312" w:eastAsia="仿宋_GB2312" w:cs="仿宋_GB2312"/>
          <w:color w:val="000000" w:themeColor="text1"/>
          <w:sz w:val="32"/>
          <w:szCs w:val="32"/>
          <w14:textFill>
            <w14:solidFill>
              <w14:schemeClr w14:val="tx1"/>
            </w14:solidFill>
          </w14:textFill>
        </w:rPr>
        <w:t>%，每百元营业收入中的成本增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加3.1</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，营业利润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率为6.1%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全年全市建筑业增加值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33.09</w:t>
      </w:r>
      <w:r>
        <w:rPr>
          <w:rFonts w:hint="eastAsia" w:ascii="仿宋_GB2312" w:hAnsi="仿宋_GB2312" w:eastAsia="仿宋_GB2312" w:cs="仿宋_GB2312"/>
          <w:color w:val="000000" w:themeColor="text1"/>
          <w:sz w:val="32"/>
          <w:szCs w:val="32"/>
          <w14:textFill>
            <w14:solidFill>
              <w14:schemeClr w14:val="tx1"/>
            </w14:solidFill>
          </w14:textFill>
        </w:rPr>
        <w:t>亿元，比上年增长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w:t>
      </w:r>
      <w:r>
        <w:rPr>
          <w:rFonts w:hint="eastAsia" w:ascii="仿宋_GB2312" w:hAnsi="仿宋_GB2312" w:eastAsia="仿宋_GB2312" w:cs="仿宋_GB2312"/>
          <w:color w:val="000000" w:themeColor="text1"/>
          <w:sz w:val="32"/>
          <w:szCs w:val="32"/>
          <w14:textFill>
            <w14:solidFill>
              <w14:schemeClr w14:val="tx1"/>
            </w14:solidFill>
          </w14:textFill>
        </w:rPr>
        <w:t>市具有资质等级的建筑企业单位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家，新增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全年实现利润总额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3391</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下降41.8</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20" w:lineRule="exact"/>
        <w:ind w:firstLine="672" w:firstLineChars="200"/>
        <w:jc w:val="left"/>
        <w:rPr>
          <w:rStyle w:val="13"/>
          <w:rFonts w:ascii="黑体" w:hAnsi="黑体" w:eastAsia="黑体" w:cs="黑体"/>
          <w:b w:val="0"/>
          <w:color w:val="000000" w:themeColor="text1"/>
          <w:spacing w:val="8"/>
          <w:sz w:val="32"/>
          <w:szCs w:val="32"/>
          <w14:textFill>
            <w14:solidFill>
              <w14:schemeClr w14:val="tx1"/>
            </w14:solidFill>
          </w14:textFill>
        </w:rPr>
      </w:pPr>
      <w:r>
        <w:rPr>
          <w:rStyle w:val="13"/>
          <w:rFonts w:hint="eastAsia" w:ascii="黑体" w:hAnsi="黑体" w:eastAsia="黑体" w:cs="黑体"/>
          <w:b w:val="0"/>
          <w:color w:val="000000" w:themeColor="text1"/>
          <w:spacing w:val="8"/>
          <w:sz w:val="32"/>
          <w:szCs w:val="32"/>
          <w14:textFill>
            <w14:solidFill>
              <w14:schemeClr w14:val="tx1"/>
            </w14:solidFill>
          </w14:textFill>
        </w:rPr>
        <w:t>四、服务业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全年全市批发和零售业增加值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38.7</w:t>
      </w:r>
      <w:r>
        <w:rPr>
          <w:rFonts w:hint="eastAsia" w:ascii="仿宋_GB2312" w:hAnsi="仿宋_GB2312" w:eastAsia="仿宋_GB2312" w:cs="仿宋_GB2312"/>
          <w:color w:val="000000" w:themeColor="text1"/>
          <w:sz w:val="32"/>
          <w:szCs w:val="32"/>
          <w14:textFill>
            <w14:solidFill>
              <w14:schemeClr w14:val="tx1"/>
            </w14:solidFill>
          </w14:textFill>
        </w:rPr>
        <w:t>亿元，比上年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下降10.3</w:t>
      </w:r>
      <w:r>
        <w:rPr>
          <w:rFonts w:hint="eastAsia" w:ascii="仿宋_GB2312" w:hAnsi="仿宋_GB2312" w:eastAsia="仿宋_GB2312" w:cs="仿宋_GB2312"/>
          <w:color w:val="000000" w:themeColor="text1"/>
          <w:sz w:val="32"/>
          <w:szCs w:val="32"/>
          <w14:textFill>
            <w14:solidFill>
              <w14:schemeClr w14:val="tx1"/>
            </w14:solidFill>
          </w14:textFill>
        </w:rPr>
        <w:t>%；交通运输、仓储和邮政业增加值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9.3</w:t>
      </w:r>
      <w:r>
        <w:rPr>
          <w:rFonts w:hint="eastAsia" w:ascii="仿宋_GB2312" w:hAnsi="仿宋_GB2312" w:eastAsia="仿宋_GB2312" w:cs="仿宋_GB2312"/>
          <w:color w:val="000000" w:themeColor="text1"/>
          <w:sz w:val="32"/>
          <w:szCs w:val="32"/>
          <w14:textFill>
            <w14:solidFill>
              <w14:schemeClr w14:val="tx1"/>
            </w14:solidFill>
          </w14:textFill>
        </w:rPr>
        <w:t>亿元，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下降13.8</w:t>
      </w:r>
      <w:r>
        <w:rPr>
          <w:rFonts w:hint="eastAsia" w:ascii="仿宋_GB2312" w:hAnsi="仿宋_GB2312" w:eastAsia="仿宋_GB2312" w:cs="仿宋_GB2312"/>
          <w:color w:val="000000" w:themeColor="text1"/>
          <w:sz w:val="32"/>
          <w:szCs w:val="32"/>
          <w14:textFill>
            <w14:solidFill>
              <w14:schemeClr w14:val="tx1"/>
            </w14:solidFill>
          </w14:textFill>
        </w:rPr>
        <w:t>%；住宿和餐饮业增加值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19.9</w:t>
      </w:r>
      <w:r>
        <w:rPr>
          <w:rFonts w:hint="eastAsia" w:ascii="仿宋_GB2312" w:hAnsi="仿宋_GB2312" w:eastAsia="仿宋_GB2312" w:cs="仿宋_GB2312"/>
          <w:color w:val="000000" w:themeColor="text1"/>
          <w:sz w:val="32"/>
          <w:szCs w:val="32"/>
          <w14:textFill>
            <w14:solidFill>
              <w14:schemeClr w14:val="tx1"/>
            </w14:solidFill>
          </w14:textFill>
        </w:rPr>
        <w:t>亿元，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下降10.2</w:t>
      </w:r>
      <w:r>
        <w:rPr>
          <w:rFonts w:hint="eastAsia" w:ascii="仿宋_GB2312" w:hAnsi="仿宋_GB2312" w:eastAsia="仿宋_GB2312" w:cs="仿宋_GB2312"/>
          <w:color w:val="000000" w:themeColor="text1"/>
          <w:sz w:val="32"/>
          <w:szCs w:val="32"/>
          <w14:textFill>
            <w14:solidFill>
              <w14:schemeClr w14:val="tx1"/>
            </w14:solidFill>
          </w14:textFill>
        </w:rPr>
        <w:t>%；金融业增加值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14.2</w:t>
      </w:r>
      <w:r>
        <w:rPr>
          <w:rFonts w:hint="eastAsia" w:ascii="仿宋_GB2312" w:hAnsi="仿宋_GB2312" w:eastAsia="仿宋_GB2312" w:cs="仿宋_GB2312"/>
          <w:color w:val="000000" w:themeColor="text1"/>
          <w:sz w:val="32"/>
          <w:szCs w:val="32"/>
          <w14:textFill>
            <w14:solidFill>
              <w14:schemeClr w14:val="tx1"/>
            </w14:solidFill>
          </w14:textFill>
        </w:rPr>
        <w:t>亿元，增长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%；房地产业增加值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30.3</w:t>
      </w:r>
      <w:r>
        <w:rPr>
          <w:rFonts w:hint="eastAsia" w:ascii="仿宋_GB2312" w:hAnsi="仿宋_GB2312" w:eastAsia="仿宋_GB2312" w:cs="仿宋_GB2312"/>
          <w:color w:val="000000" w:themeColor="text1"/>
          <w:sz w:val="32"/>
          <w:szCs w:val="32"/>
          <w14:textFill>
            <w14:solidFill>
              <w14:schemeClr w14:val="tx1"/>
            </w14:solidFill>
          </w14:textFill>
        </w:rPr>
        <w:t>亿元，增长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%；其他服务业增加值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64.3</w:t>
      </w:r>
      <w:r>
        <w:rPr>
          <w:rFonts w:hint="eastAsia" w:ascii="仿宋_GB2312" w:hAnsi="仿宋_GB2312" w:eastAsia="仿宋_GB2312" w:cs="仿宋_GB2312"/>
          <w:color w:val="000000" w:themeColor="text1"/>
          <w:sz w:val="32"/>
          <w:szCs w:val="32"/>
          <w14:textFill>
            <w14:solidFill>
              <w14:schemeClr w14:val="tx1"/>
            </w14:solidFill>
          </w14:textFill>
        </w:rPr>
        <w:t>亿元，增长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5.9</w:t>
      </w:r>
      <w:r>
        <w:rPr>
          <w:rFonts w:hint="eastAsia" w:ascii="仿宋_GB2312" w:hAnsi="仿宋_GB2312" w:eastAsia="仿宋_GB2312" w:cs="仿宋_GB2312"/>
          <w:color w:val="000000" w:themeColor="text1"/>
          <w:sz w:val="32"/>
          <w:szCs w:val="32"/>
          <w14:textFill>
            <w14:solidFill>
              <w14:schemeClr w14:val="tx1"/>
            </w14:solidFill>
          </w14:textFill>
        </w:rPr>
        <w:t>%。全年规模以上服务业企业营业收入增长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12.0</w:t>
      </w:r>
      <w:r>
        <w:rPr>
          <w:rFonts w:hint="eastAsia" w:ascii="仿宋_GB2312" w:hAnsi="仿宋_GB2312" w:eastAsia="仿宋_GB2312" w:cs="仿宋_GB2312"/>
          <w:color w:val="000000" w:themeColor="text1"/>
          <w:sz w:val="32"/>
          <w:szCs w:val="32"/>
          <w14:textFill>
            <w14:solidFill>
              <w14:schemeClr w14:val="tx1"/>
            </w14:solidFill>
          </w14:textFill>
        </w:rPr>
        <w:t>%，每百元营业收入中的成本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增加6.99</w:t>
      </w:r>
      <w:r>
        <w:rPr>
          <w:rFonts w:hint="eastAsia" w:ascii="仿宋_GB2312" w:hAnsi="仿宋_GB2312" w:eastAsia="仿宋_GB2312" w:cs="仿宋_GB2312"/>
          <w:color w:val="000000" w:themeColor="text1"/>
          <w:sz w:val="32"/>
          <w:szCs w:val="32"/>
          <w14:textFill>
            <w14:solidFill>
              <w14:schemeClr w14:val="tx1"/>
            </w14:solidFill>
          </w14:textFill>
        </w:rPr>
        <w:t>元，营业利润亏损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14:textFill>
            <w14:solidFill>
              <w14:schemeClr w14:val="tx1"/>
            </w14:solidFill>
          </w14:textFill>
        </w:rPr>
        <w:t>亿元。</w:t>
      </w:r>
    </w:p>
    <w:p>
      <w:pPr>
        <w:tabs>
          <w:tab w:val="left" w:pos="726"/>
        </w:tabs>
        <w:spacing w:line="520" w:lineRule="exact"/>
        <w:ind w:firstLine="640" w:firstLineChars="200"/>
        <w:rPr>
          <w:rFonts w:ascii="仿宋_GB2312" w:hAnsi="仿宋_GB2312" w:eastAsia="仿宋_GB2312" w:cs="仿宋_GB2312"/>
          <w:color w:val="0000FF"/>
          <w:sz w:val="32"/>
          <w:szCs w:val="32"/>
          <w:shd w:val="clear" w:color="auto" w:fill="FFFFFF"/>
        </w:rPr>
      </w:pPr>
      <w:r>
        <w:rPr>
          <w:rFonts w:hint="eastAsia" w:ascii="仿宋_GB2312" w:hAnsi="仿宋_GB2312" w:eastAsia="仿宋_GB2312" w:cs="仿宋_GB2312"/>
          <w:color w:val="000000" w:themeColor="text1"/>
          <w:sz w:val="32"/>
          <w:szCs w:val="32"/>
          <w14:textFill>
            <w14:solidFill>
              <w14:schemeClr w14:val="tx1"/>
            </w14:solidFill>
          </w14:textFill>
        </w:rPr>
        <w:t>全年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全市</w:t>
      </w:r>
      <w:r>
        <w:rPr>
          <w:rFonts w:hint="eastAsia" w:ascii="仿宋_GB2312" w:hAnsi="仿宋_GB2312" w:eastAsia="仿宋_GB2312" w:cs="仿宋_GB2312"/>
          <w:color w:val="000000" w:themeColor="text1"/>
          <w:sz w:val="32"/>
          <w:szCs w:val="32"/>
          <w14:textFill>
            <w14:solidFill>
              <w14:schemeClr w14:val="tx1"/>
            </w14:solidFill>
          </w14:textFill>
        </w:rPr>
        <w:t>货物运输量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221</w:t>
      </w:r>
      <w:r>
        <w:rPr>
          <w:rFonts w:hint="eastAsia" w:ascii="仿宋_GB2312" w:hAnsi="仿宋_GB2312" w:eastAsia="仿宋_GB2312" w:cs="仿宋_GB2312"/>
          <w:color w:val="000000" w:themeColor="text1"/>
          <w:sz w:val="32"/>
          <w:szCs w:val="32"/>
          <w14:textFill>
            <w14:solidFill>
              <w14:schemeClr w14:val="tx1"/>
            </w14:solidFill>
          </w14:textFill>
        </w:rPr>
        <w:t>5万吨，货物运输周转量11065万吨公里。全年旅客运输量19045万人，旅客运输周转量73800万人公里。全年博鳌机场旅客吞吐量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44.76</w:t>
      </w:r>
      <w:r>
        <w:rPr>
          <w:rFonts w:hint="eastAsia" w:ascii="仿宋_GB2312" w:hAnsi="仿宋_GB2312" w:eastAsia="仿宋_GB2312" w:cs="仿宋_GB2312"/>
          <w:color w:val="000000" w:themeColor="text1"/>
          <w:sz w:val="32"/>
          <w:szCs w:val="32"/>
          <w14:textFill>
            <w14:solidFill>
              <w14:schemeClr w14:val="tx1"/>
            </w14:solidFill>
          </w14:textFill>
        </w:rPr>
        <w:t>万人次，比上年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下降36.3</w:t>
      </w:r>
      <w:r>
        <w:rPr>
          <w:rFonts w:hint="eastAsia" w:ascii="仿宋_GB2312" w:hAnsi="仿宋_GB2312" w:eastAsia="仿宋_GB2312" w:cs="仿宋_GB2312"/>
          <w:color w:val="000000" w:themeColor="text1"/>
          <w:sz w:val="32"/>
          <w:szCs w:val="32"/>
          <w14:textFill>
            <w14:solidFill>
              <w14:schemeClr w14:val="tx1"/>
            </w14:solidFill>
          </w14:textFill>
        </w:rPr>
        <w:t>%；货邮吞吐量1458.44吨，增长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8.6</w:t>
      </w:r>
      <w:r>
        <w:rPr>
          <w:rFonts w:hint="eastAsia" w:ascii="仿宋_GB2312" w:hAnsi="仿宋_GB2312" w:eastAsia="仿宋_GB2312" w:cs="仿宋_GB2312"/>
          <w:color w:val="000000" w:themeColor="text1"/>
          <w:sz w:val="32"/>
          <w:szCs w:val="32"/>
          <w14:textFill>
            <w14:solidFill>
              <w14:schemeClr w14:val="tx1"/>
            </w14:solidFill>
          </w14:textFill>
        </w:rPr>
        <w:t>%。</w:t>
      </w:r>
    </w:p>
    <w:tbl>
      <w:tblPr>
        <w:tblStyle w:val="11"/>
        <w:tblW w:w="8300" w:type="dxa"/>
        <w:jc w:val="center"/>
        <w:tblLayout w:type="fixed"/>
        <w:tblCellMar>
          <w:top w:w="0" w:type="dxa"/>
          <w:left w:w="0" w:type="dxa"/>
          <w:bottom w:w="0" w:type="dxa"/>
          <w:right w:w="0" w:type="dxa"/>
        </w:tblCellMar>
      </w:tblPr>
      <w:tblGrid>
        <w:gridCol w:w="2538"/>
        <w:gridCol w:w="1469"/>
        <w:gridCol w:w="1563"/>
        <w:gridCol w:w="2730"/>
      </w:tblGrid>
      <w:tr>
        <w:tblPrEx>
          <w:tblCellMar>
            <w:top w:w="0" w:type="dxa"/>
            <w:left w:w="0" w:type="dxa"/>
            <w:bottom w:w="0" w:type="dxa"/>
            <w:right w:w="0" w:type="dxa"/>
          </w:tblCellMar>
        </w:tblPrEx>
        <w:trPr>
          <w:trHeight w:val="719" w:hRule="atLeast"/>
          <w:jc w:val="center"/>
        </w:trPr>
        <w:tc>
          <w:tcPr>
            <w:tcW w:w="8300" w:type="dxa"/>
            <w:gridSpan w:val="4"/>
            <w:tcBorders>
              <w:top w:val="nil"/>
              <w:left w:val="nil"/>
              <w:bottom w:val="single" w:color="auto" w:sz="12" w:space="0"/>
              <w:right w:val="nil"/>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黑体" w:hAnsi="黑体" w:eastAsia="黑体" w:cs="黑体"/>
                <w:color w:val="000000" w:themeColor="text1"/>
                <w:kern w:val="0"/>
                <w:sz w:val="30"/>
                <w:szCs w:val="30"/>
                <w:lang w:bidi="ar"/>
                <w14:textFill>
                  <w14:solidFill>
                    <w14:schemeClr w14:val="tx1"/>
                  </w14:solidFill>
                </w14:textFill>
              </w:rPr>
              <w:t>表4   202</w:t>
            </w:r>
            <w:r>
              <w:rPr>
                <w:rFonts w:hint="eastAsia" w:ascii="黑体" w:hAnsi="黑体" w:eastAsia="黑体" w:cs="黑体"/>
                <w:color w:val="000000" w:themeColor="text1"/>
                <w:kern w:val="0"/>
                <w:sz w:val="30"/>
                <w:szCs w:val="30"/>
                <w:lang w:val="en-US" w:eastAsia="zh-CN" w:bidi="ar"/>
                <w14:textFill>
                  <w14:solidFill>
                    <w14:schemeClr w14:val="tx1"/>
                  </w14:solidFill>
                </w14:textFill>
              </w:rPr>
              <w:t>2</w:t>
            </w:r>
            <w:r>
              <w:rPr>
                <w:rFonts w:hint="eastAsia" w:ascii="黑体" w:hAnsi="黑体" w:eastAsia="黑体" w:cs="黑体"/>
                <w:color w:val="000000" w:themeColor="text1"/>
                <w:kern w:val="0"/>
                <w:sz w:val="30"/>
                <w:szCs w:val="30"/>
                <w:lang w:bidi="ar"/>
                <w14:textFill>
                  <w14:solidFill>
                    <w14:schemeClr w14:val="tx1"/>
                  </w14:solidFill>
                </w14:textFill>
              </w:rPr>
              <w:t>年运输方式旅客和货物运输情况</w:t>
            </w:r>
          </w:p>
        </w:tc>
      </w:tr>
      <w:tr>
        <w:tblPrEx>
          <w:tblCellMar>
            <w:top w:w="0" w:type="dxa"/>
            <w:left w:w="0" w:type="dxa"/>
            <w:bottom w:w="0" w:type="dxa"/>
            <w:right w:w="0" w:type="dxa"/>
          </w:tblCellMar>
        </w:tblPrEx>
        <w:trPr>
          <w:trHeight w:val="632" w:hRule="atLeast"/>
          <w:jc w:val="center"/>
        </w:trPr>
        <w:tc>
          <w:tcPr>
            <w:tcW w:w="2538" w:type="dxa"/>
            <w:tcBorders>
              <w:top w:val="single" w:color="auto" w:sz="12"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指标</w:t>
            </w:r>
          </w:p>
        </w:tc>
        <w:tc>
          <w:tcPr>
            <w:tcW w:w="1469" w:type="dxa"/>
            <w:tcBorders>
              <w:top w:val="single" w:color="auto" w:sz="12"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单位</w:t>
            </w:r>
          </w:p>
        </w:tc>
        <w:tc>
          <w:tcPr>
            <w:tcW w:w="1563" w:type="dxa"/>
            <w:tcBorders>
              <w:top w:val="single" w:color="auto" w:sz="12"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绝对数</w:t>
            </w:r>
          </w:p>
        </w:tc>
        <w:tc>
          <w:tcPr>
            <w:tcW w:w="2730" w:type="dxa"/>
            <w:tcBorders>
              <w:top w:val="single" w:color="auto" w:sz="12"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比上年增减（%）</w:t>
            </w:r>
          </w:p>
        </w:tc>
      </w:tr>
      <w:tr>
        <w:tblPrEx>
          <w:tblCellMar>
            <w:top w:w="0" w:type="dxa"/>
            <w:left w:w="0" w:type="dxa"/>
            <w:bottom w:w="0" w:type="dxa"/>
            <w:right w:w="0" w:type="dxa"/>
          </w:tblCellMar>
        </w:tblPrEx>
        <w:trPr>
          <w:trHeight w:val="600" w:hRule="atLeast"/>
          <w:jc w:val="center"/>
        </w:trPr>
        <w:tc>
          <w:tcPr>
            <w:tcW w:w="2538" w:type="dxa"/>
            <w:tcBorders>
              <w:top w:val="nil"/>
              <w:left w:val="nil"/>
              <w:bottom w:val="nil"/>
              <w:right w:val="nil"/>
            </w:tcBorders>
            <w:shd w:val="clear" w:color="auto" w:fill="auto"/>
            <w:noWrap/>
            <w:tcMar>
              <w:top w:w="15" w:type="dxa"/>
              <w:left w:w="15" w:type="dxa"/>
              <w:right w:w="15" w:type="dxa"/>
            </w:tcMar>
            <w:vAlign w:val="bottom"/>
          </w:tcPr>
          <w:p>
            <w:pPr>
              <w:widowControl/>
              <w:spacing w:line="560" w:lineRule="exact"/>
              <w:jc w:val="left"/>
              <w:textAlignment w:val="bottom"/>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一、公路</w:t>
            </w:r>
          </w:p>
        </w:tc>
        <w:tc>
          <w:tcPr>
            <w:tcW w:w="146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563" w:type="dxa"/>
            <w:tcBorders>
              <w:top w:val="nil"/>
              <w:left w:val="nil"/>
              <w:bottom w:val="nil"/>
              <w:right w:val="single" w:color="000000" w:sz="4" w:space="0"/>
            </w:tcBorders>
            <w:shd w:val="clear" w:color="auto" w:fill="auto"/>
            <w:noWrap/>
            <w:tcMar>
              <w:top w:w="15" w:type="dxa"/>
              <w:left w:w="15" w:type="dxa"/>
              <w:right w:w="15" w:type="dxa"/>
            </w:tcMar>
            <w:vAlign w:val="bottom"/>
          </w:tcPr>
          <w:p>
            <w:pPr>
              <w:spacing w:line="560" w:lineRule="exact"/>
              <w:jc w:val="right"/>
              <w:rPr>
                <w:rFonts w:ascii="宋体" w:hAnsi="宋体" w:eastAsia="宋体" w:cs="宋体"/>
                <w:color w:val="000000" w:themeColor="text1"/>
                <w:sz w:val="24"/>
                <w14:textFill>
                  <w14:solidFill>
                    <w14:schemeClr w14:val="tx1"/>
                  </w14:solidFill>
                </w14:textFill>
              </w:rPr>
            </w:pPr>
          </w:p>
        </w:tc>
        <w:tc>
          <w:tcPr>
            <w:tcW w:w="2730" w:type="dxa"/>
            <w:tcBorders>
              <w:top w:val="nil"/>
              <w:left w:val="nil"/>
              <w:bottom w:val="nil"/>
              <w:right w:val="nil"/>
            </w:tcBorders>
            <w:shd w:val="clear" w:color="auto" w:fill="auto"/>
            <w:noWrap/>
            <w:tcMar>
              <w:top w:w="15" w:type="dxa"/>
              <w:left w:w="15" w:type="dxa"/>
              <w:right w:w="15" w:type="dxa"/>
            </w:tcMar>
            <w:vAlign w:val="center"/>
          </w:tcPr>
          <w:p>
            <w:pPr>
              <w:spacing w:line="560" w:lineRule="exact"/>
              <w:jc w:val="right"/>
              <w:rPr>
                <w:rFonts w:ascii="宋体" w:hAnsi="宋体" w:eastAsia="宋体"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600" w:hRule="atLeast"/>
          <w:jc w:val="center"/>
        </w:trPr>
        <w:tc>
          <w:tcPr>
            <w:tcW w:w="2538" w:type="dxa"/>
            <w:tcBorders>
              <w:top w:val="nil"/>
              <w:left w:val="nil"/>
              <w:bottom w:val="nil"/>
              <w:right w:val="nil"/>
            </w:tcBorders>
            <w:shd w:val="clear" w:color="auto" w:fill="auto"/>
            <w:noWrap/>
            <w:tcMar>
              <w:top w:w="15" w:type="dxa"/>
              <w:left w:w="15" w:type="dxa"/>
              <w:right w:w="15" w:type="dxa"/>
            </w:tcMar>
            <w:vAlign w:val="bottom"/>
          </w:tcPr>
          <w:p>
            <w:pPr>
              <w:widowControl/>
              <w:spacing w:line="560" w:lineRule="exact"/>
              <w:jc w:val="left"/>
              <w:textAlignment w:val="bottom"/>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货运量</w:t>
            </w:r>
          </w:p>
        </w:tc>
        <w:tc>
          <w:tcPr>
            <w:tcW w:w="146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万吨</w:t>
            </w:r>
          </w:p>
        </w:tc>
        <w:tc>
          <w:tcPr>
            <w:tcW w:w="1563"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560" w:lineRule="exact"/>
              <w:jc w:val="right"/>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221</w:t>
            </w:r>
          </w:p>
        </w:tc>
        <w:tc>
          <w:tcPr>
            <w:tcW w:w="27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-14.0 </w:t>
            </w:r>
          </w:p>
        </w:tc>
      </w:tr>
      <w:tr>
        <w:tblPrEx>
          <w:tblCellMar>
            <w:top w:w="0" w:type="dxa"/>
            <w:left w:w="0" w:type="dxa"/>
            <w:bottom w:w="0" w:type="dxa"/>
            <w:right w:w="0" w:type="dxa"/>
          </w:tblCellMar>
        </w:tblPrEx>
        <w:trPr>
          <w:trHeight w:val="600" w:hRule="atLeast"/>
          <w:jc w:val="center"/>
        </w:trPr>
        <w:tc>
          <w:tcPr>
            <w:tcW w:w="2538" w:type="dxa"/>
            <w:tcBorders>
              <w:top w:val="nil"/>
              <w:left w:val="nil"/>
              <w:bottom w:val="nil"/>
              <w:right w:val="nil"/>
            </w:tcBorders>
            <w:shd w:val="clear" w:color="auto" w:fill="auto"/>
            <w:noWrap/>
            <w:tcMar>
              <w:top w:w="15" w:type="dxa"/>
              <w:left w:w="15" w:type="dxa"/>
              <w:right w:w="15" w:type="dxa"/>
            </w:tcMar>
            <w:vAlign w:val="bottom"/>
          </w:tcPr>
          <w:p>
            <w:pPr>
              <w:widowControl/>
              <w:spacing w:line="560" w:lineRule="exact"/>
              <w:jc w:val="left"/>
              <w:textAlignment w:val="bottom"/>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货物周转量</w:t>
            </w:r>
          </w:p>
        </w:tc>
        <w:tc>
          <w:tcPr>
            <w:tcW w:w="146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万吨公里</w:t>
            </w:r>
          </w:p>
        </w:tc>
        <w:tc>
          <w:tcPr>
            <w:tcW w:w="1563"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560" w:lineRule="exact"/>
              <w:jc w:val="right"/>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11065</w:t>
            </w:r>
          </w:p>
        </w:tc>
        <w:tc>
          <w:tcPr>
            <w:tcW w:w="27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-13.1 </w:t>
            </w:r>
          </w:p>
        </w:tc>
      </w:tr>
      <w:tr>
        <w:tblPrEx>
          <w:tblCellMar>
            <w:top w:w="0" w:type="dxa"/>
            <w:left w:w="0" w:type="dxa"/>
            <w:bottom w:w="0" w:type="dxa"/>
            <w:right w:w="0" w:type="dxa"/>
          </w:tblCellMar>
        </w:tblPrEx>
        <w:trPr>
          <w:trHeight w:val="600" w:hRule="atLeast"/>
          <w:jc w:val="center"/>
        </w:trPr>
        <w:tc>
          <w:tcPr>
            <w:tcW w:w="2538" w:type="dxa"/>
            <w:tcBorders>
              <w:top w:val="nil"/>
              <w:left w:val="nil"/>
              <w:bottom w:val="nil"/>
              <w:right w:val="nil"/>
            </w:tcBorders>
            <w:shd w:val="clear" w:color="auto" w:fill="auto"/>
            <w:noWrap/>
            <w:tcMar>
              <w:top w:w="15" w:type="dxa"/>
              <w:left w:w="15" w:type="dxa"/>
              <w:right w:w="15" w:type="dxa"/>
            </w:tcMar>
            <w:vAlign w:val="bottom"/>
          </w:tcPr>
          <w:p>
            <w:pPr>
              <w:widowControl/>
              <w:spacing w:line="560" w:lineRule="exact"/>
              <w:jc w:val="left"/>
              <w:textAlignment w:val="bottom"/>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客运量</w:t>
            </w:r>
          </w:p>
        </w:tc>
        <w:tc>
          <w:tcPr>
            <w:tcW w:w="146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万人</w:t>
            </w:r>
          </w:p>
        </w:tc>
        <w:tc>
          <w:tcPr>
            <w:tcW w:w="1563"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560" w:lineRule="exact"/>
              <w:jc w:val="right"/>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103</w:t>
            </w:r>
          </w:p>
        </w:tc>
        <w:tc>
          <w:tcPr>
            <w:tcW w:w="27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-29.0 </w:t>
            </w:r>
          </w:p>
        </w:tc>
      </w:tr>
      <w:tr>
        <w:tblPrEx>
          <w:tblCellMar>
            <w:top w:w="0" w:type="dxa"/>
            <w:left w:w="0" w:type="dxa"/>
            <w:bottom w:w="0" w:type="dxa"/>
            <w:right w:w="0" w:type="dxa"/>
          </w:tblCellMar>
        </w:tblPrEx>
        <w:trPr>
          <w:trHeight w:val="600" w:hRule="atLeast"/>
          <w:jc w:val="center"/>
        </w:trPr>
        <w:tc>
          <w:tcPr>
            <w:tcW w:w="2538" w:type="dxa"/>
            <w:tcBorders>
              <w:top w:val="nil"/>
              <w:left w:val="nil"/>
              <w:bottom w:val="nil"/>
              <w:right w:val="nil"/>
            </w:tcBorders>
            <w:shd w:val="clear" w:color="auto" w:fill="auto"/>
            <w:noWrap/>
            <w:tcMar>
              <w:top w:w="15" w:type="dxa"/>
              <w:left w:w="15" w:type="dxa"/>
              <w:right w:w="15" w:type="dxa"/>
            </w:tcMar>
            <w:vAlign w:val="bottom"/>
          </w:tcPr>
          <w:p>
            <w:pPr>
              <w:widowControl/>
              <w:spacing w:line="560" w:lineRule="exact"/>
              <w:jc w:val="left"/>
              <w:textAlignment w:val="bottom"/>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旅客周转量</w:t>
            </w:r>
          </w:p>
        </w:tc>
        <w:tc>
          <w:tcPr>
            <w:tcW w:w="146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万人公里</w:t>
            </w:r>
          </w:p>
        </w:tc>
        <w:tc>
          <w:tcPr>
            <w:tcW w:w="1563"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560" w:lineRule="exact"/>
              <w:jc w:val="right"/>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6665</w:t>
            </w:r>
          </w:p>
        </w:tc>
        <w:tc>
          <w:tcPr>
            <w:tcW w:w="27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-24.6 </w:t>
            </w:r>
          </w:p>
        </w:tc>
      </w:tr>
      <w:tr>
        <w:tblPrEx>
          <w:tblCellMar>
            <w:top w:w="0" w:type="dxa"/>
            <w:left w:w="0" w:type="dxa"/>
            <w:bottom w:w="0" w:type="dxa"/>
            <w:right w:w="0" w:type="dxa"/>
          </w:tblCellMar>
        </w:tblPrEx>
        <w:trPr>
          <w:trHeight w:val="600" w:hRule="atLeast"/>
          <w:jc w:val="center"/>
        </w:trPr>
        <w:tc>
          <w:tcPr>
            <w:tcW w:w="2538" w:type="dxa"/>
            <w:tcBorders>
              <w:top w:val="nil"/>
              <w:left w:val="nil"/>
              <w:bottom w:val="nil"/>
              <w:right w:val="nil"/>
            </w:tcBorders>
            <w:shd w:val="clear" w:color="auto" w:fill="auto"/>
            <w:noWrap/>
            <w:tcMar>
              <w:top w:w="15" w:type="dxa"/>
              <w:left w:w="15" w:type="dxa"/>
              <w:right w:w="15" w:type="dxa"/>
            </w:tcMar>
            <w:vAlign w:val="bottom"/>
          </w:tcPr>
          <w:p>
            <w:pPr>
              <w:widowControl/>
              <w:spacing w:line="560" w:lineRule="exact"/>
              <w:jc w:val="left"/>
              <w:textAlignment w:val="bottom"/>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二、水运</w:t>
            </w:r>
          </w:p>
        </w:tc>
        <w:tc>
          <w:tcPr>
            <w:tcW w:w="146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563"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560" w:lineRule="exact"/>
              <w:jc w:val="right"/>
              <w:rPr>
                <w:rFonts w:ascii="宋体" w:hAnsi="宋体" w:eastAsia="宋体" w:cs="宋体"/>
                <w:color w:val="000000" w:themeColor="text1"/>
                <w:sz w:val="24"/>
                <w14:textFill>
                  <w14:solidFill>
                    <w14:schemeClr w14:val="tx1"/>
                  </w14:solidFill>
                </w14:textFill>
              </w:rPr>
            </w:pPr>
          </w:p>
        </w:tc>
        <w:tc>
          <w:tcPr>
            <w:tcW w:w="2730" w:type="dxa"/>
            <w:tcBorders>
              <w:top w:val="nil"/>
              <w:left w:val="nil"/>
              <w:bottom w:val="nil"/>
              <w:right w:val="nil"/>
            </w:tcBorders>
            <w:shd w:val="clear" w:color="auto" w:fill="auto"/>
            <w:noWrap/>
            <w:tcMar>
              <w:top w:w="15" w:type="dxa"/>
              <w:left w:w="15" w:type="dxa"/>
              <w:right w:w="15" w:type="dxa"/>
            </w:tcMar>
            <w:vAlign w:val="center"/>
          </w:tcPr>
          <w:p>
            <w:pPr>
              <w:spacing w:line="560" w:lineRule="exact"/>
              <w:jc w:val="right"/>
              <w:rPr>
                <w:rFonts w:ascii="宋体" w:hAnsi="宋体" w:eastAsia="宋体"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600" w:hRule="atLeast"/>
          <w:jc w:val="center"/>
        </w:trPr>
        <w:tc>
          <w:tcPr>
            <w:tcW w:w="2538" w:type="dxa"/>
            <w:tcBorders>
              <w:top w:val="nil"/>
              <w:left w:val="nil"/>
              <w:bottom w:val="nil"/>
              <w:right w:val="nil"/>
            </w:tcBorders>
            <w:shd w:val="clear" w:color="auto" w:fill="auto"/>
            <w:noWrap/>
            <w:tcMar>
              <w:top w:w="15" w:type="dxa"/>
              <w:left w:w="15" w:type="dxa"/>
              <w:right w:w="15" w:type="dxa"/>
            </w:tcMar>
            <w:vAlign w:val="bottom"/>
          </w:tcPr>
          <w:p>
            <w:pPr>
              <w:widowControl/>
              <w:spacing w:line="560" w:lineRule="exact"/>
              <w:jc w:val="left"/>
              <w:textAlignment w:val="bottom"/>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货运量</w:t>
            </w:r>
          </w:p>
        </w:tc>
        <w:tc>
          <w:tcPr>
            <w:tcW w:w="146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万吨</w:t>
            </w:r>
          </w:p>
        </w:tc>
        <w:tc>
          <w:tcPr>
            <w:tcW w:w="1563"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560" w:lineRule="exact"/>
              <w:jc w:val="righ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w:t>
            </w:r>
          </w:p>
        </w:tc>
        <w:tc>
          <w:tcPr>
            <w:tcW w:w="2730" w:type="dxa"/>
            <w:tcBorders>
              <w:top w:val="nil"/>
              <w:left w:val="nil"/>
              <w:bottom w:val="nil"/>
              <w:right w:val="nil"/>
            </w:tcBorders>
            <w:shd w:val="clear" w:color="auto" w:fill="auto"/>
            <w:noWrap/>
            <w:tcMar>
              <w:top w:w="15" w:type="dxa"/>
              <w:left w:w="15" w:type="dxa"/>
              <w:right w:w="15" w:type="dxa"/>
            </w:tcMar>
            <w:vAlign w:val="center"/>
          </w:tcPr>
          <w:p>
            <w:pPr>
              <w:widowControl/>
              <w:spacing w:line="560" w:lineRule="exact"/>
              <w:jc w:val="righ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w:t>
            </w:r>
          </w:p>
        </w:tc>
      </w:tr>
      <w:tr>
        <w:tblPrEx>
          <w:tblCellMar>
            <w:top w:w="0" w:type="dxa"/>
            <w:left w:w="0" w:type="dxa"/>
            <w:bottom w:w="0" w:type="dxa"/>
            <w:right w:w="0" w:type="dxa"/>
          </w:tblCellMar>
        </w:tblPrEx>
        <w:trPr>
          <w:trHeight w:val="600" w:hRule="atLeast"/>
          <w:jc w:val="center"/>
        </w:trPr>
        <w:tc>
          <w:tcPr>
            <w:tcW w:w="2538" w:type="dxa"/>
            <w:tcBorders>
              <w:top w:val="nil"/>
              <w:left w:val="nil"/>
              <w:bottom w:val="nil"/>
              <w:right w:val="nil"/>
            </w:tcBorders>
            <w:shd w:val="clear" w:color="auto" w:fill="auto"/>
            <w:noWrap/>
            <w:tcMar>
              <w:top w:w="15" w:type="dxa"/>
              <w:left w:w="15" w:type="dxa"/>
              <w:right w:w="15" w:type="dxa"/>
            </w:tcMar>
            <w:vAlign w:val="bottom"/>
          </w:tcPr>
          <w:p>
            <w:pPr>
              <w:widowControl/>
              <w:spacing w:line="560" w:lineRule="exact"/>
              <w:jc w:val="left"/>
              <w:textAlignment w:val="bottom"/>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货物周转量</w:t>
            </w:r>
          </w:p>
        </w:tc>
        <w:tc>
          <w:tcPr>
            <w:tcW w:w="146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万吨公里</w:t>
            </w:r>
          </w:p>
        </w:tc>
        <w:tc>
          <w:tcPr>
            <w:tcW w:w="1563"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560" w:lineRule="exact"/>
              <w:jc w:val="right"/>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w:t>
            </w:r>
          </w:p>
        </w:tc>
        <w:tc>
          <w:tcPr>
            <w:tcW w:w="2730" w:type="dxa"/>
            <w:tcBorders>
              <w:top w:val="nil"/>
              <w:left w:val="nil"/>
              <w:bottom w:val="nil"/>
              <w:right w:val="nil"/>
            </w:tcBorders>
            <w:shd w:val="clear" w:color="auto" w:fill="auto"/>
            <w:noWrap/>
            <w:tcMar>
              <w:top w:w="15" w:type="dxa"/>
              <w:left w:w="15" w:type="dxa"/>
              <w:right w:w="15" w:type="dxa"/>
            </w:tcMar>
            <w:vAlign w:val="center"/>
          </w:tcPr>
          <w:p>
            <w:pPr>
              <w:widowControl/>
              <w:spacing w:line="560" w:lineRule="exact"/>
              <w:jc w:val="righ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w:t>
            </w:r>
          </w:p>
        </w:tc>
      </w:tr>
      <w:tr>
        <w:tblPrEx>
          <w:tblCellMar>
            <w:top w:w="0" w:type="dxa"/>
            <w:left w:w="0" w:type="dxa"/>
            <w:bottom w:w="0" w:type="dxa"/>
            <w:right w:w="0" w:type="dxa"/>
          </w:tblCellMar>
        </w:tblPrEx>
        <w:trPr>
          <w:trHeight w:val="600" w:hRule="atLeast"/>
          <w:jc w:val="center"/>
        </w:trPr>
        <w:tc>
          <w:tcPr>
            <w:tcW w:w="2538" w:type="dxa"/>
            <w:tcBorders>
              <w:top w:val="nil"/>
              <w:left w:val="nil"/>
              <w:bottom w:val="nil"/>
              <w:right w:val="nil"/>
            </w:tcBorders>
            <w:shd w:val="clear" w:color="auto" w:fill="auto"/>
            <w:noWrap/>
            <w:tcMar>
              <w:top w:w="15" w:type="dxa"/>
              <w:left w:w="15" w:type="dxa"/>
              <w:right w:w="15" w:type="dxa"/>
            </w:tcMar>
            <w:vAlign w:val="bottom"/>
          </w:tcPr>
          <w:p>
            <w:pPr>
              <w:widowControl/>
              <w:spacing w:line="560" w:lineRule="exact"/>
              <w:jc w:val="left"/>
              <w:textAlignment w:val="bottom"/>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客运量</w:t>
            </w:r>
          </w:p>
        </w:tc>
        <w:tc>
          <w:tcPr>
            <w:tcW w:w="146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万人</w:t>
            </w:r>
          </w:p>
        </w:tc>
        <w:tc>
          <w:tcPr>
            <w:tcW w:w="1563"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560" w:lineRule="exact"/>
              <w:jc w:val="right"/>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18942</w:t>
            </w:r>
          </w:p>
        </w:tc>
        <w:tc>
          <w:tcPr>
            <w:tcW w:w="2730" w:type="dxa"/>
            <w:tcBorders>
              <w:top w:val="nil"/>
              <w:left w:val="nil"/>
              <w:bottom w:val="nil"/>
              <w:right w:val="nil"/>
            </w:tcBorders>
            <w:shd w:val="clear" w:color="auto" w:fill="auto"/>
            <w:noWrap/>
            <w:tcMar>
              <w:top w:w="15" w:type="dxa"/>
              <w:left w:w="15" w:type="dxa"/>
              <w:right w:w="15" w:type="dxa"/>
            </w:tcMar>
            <w:vAlign w:val="top"/>
          </w:tcPr>
          <w:p>
            <w:pPr>
              <w:widowControl/>
              <w:spacing w:line="560" w:lineRule="exact"/>
              <w:jc w:val="right"/>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 xml:space="preserve">75668.0 </w:t>
            </w:r>
          </w:p>
        </w:tc>
      </w:tr>
      <w:tr>
        <w:tblPrEx>
          <w:tblCellMar>
            <w:top w:w="0" w:type="dxa"/>
            <w:left w:w="0" w:type="dxa"/>
            <w:bottom w:w="0" w:type="dxa"/>
            <w:right w:w="0" w:type="dxa"/>
          </w:tblCellMar>
        </w:tblPrEx>
        <w:trPr>
          <w:trHeight w:val="600" w:hRule="atLeast"/>
          <w:jc w:val="center"/>
        </w:trPr>
        <w:tc>
          <w:tcPr>
            <w:tcW w:w="2538" w:type="dxa"/>
            <w:tcBorders>
              <w:top w:val="nil"/>
              <w:left w:val="nil"/>
              <w:bottom w:val="nil"/>
              <w:right w:val="nil"/>
            </w:tcBorders>
            <w:shd w:val="clear" w:color="auto" w:fill="auto"/>
            <w:noWrap/>
            <w:tcMar>
              <w:top w:w="15" w:type="dxa"/>
              <w:left w:w="15" w:type="dxa"/>
              <w:right w:w="15" w:type="dxa"/>
            </w:tcMar>
            <w:vAlign w:val="bottom"/>
          </w:tcPr>
          <w:p>
            <w:pPr>
              <w:widowControl/>
              <w:spacing w:line="560" w:lineRule="exact"/>
              <w:jc w:val="left"/>
              <w:textAlignment w:val="bottom"/>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旅客周转量</w:t>
            </w:r>
          </w:p>
        </w:tc>
        <w:tc>
          <w:tcPr>
            <w:tcW w:w="146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万人公里</w:t>
            </w:r>
          </w:p>
        </w:tc>
        <w:tc>
          <w:tcPr>
            <w:tcW w:w="1563"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560" w:lineRule="exact"/>
              <w:jc w:val="right"/>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67135</w:t>
            </w:r>
          </w:p>
        </w:tc>
        <w:tc>
          <w:tcPr>
            <w:tcW w:w="2730" w:type="dxa"/>
            <w:tcBorders>
              <w:top w:val="nil"/>
              <w:left w:val="nil"/>
              <w:bottom w:val="nil"/>
              <w:right w:val="nil"/>
            </w:tcBorders>
            <w:shd w:val="clear" w:color="auto" w:fill="auto"/>
            <w:noWrap/>
            <w:tcMar>
              <w:top w:w="15" w:type="dxa"/>
              <w:left w:w="15" w:type="dxa"/>
              <w:right w:w="15" w:type="dxa"/>
            </w:tcMar>
            <w:vAlign w:val="top"/>
          </w:tcPr>
          <w:p>
            <w:pPr>
              <w:widowControl/>
              <w:spacing w:line="560" w:lineRule="exact"/>
              <w:jc w:val="right"/>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 xml:space="preserve">73674.7 </w:t>
            </w:r>
          </w:p>
        </w:tc>
      </w:tr>
      <w:tr>
        <w:tblPrEx>
          <w:tblCellMar>
            <w:top w:w="0" w:type="dxa"/>
            <w:left w:w="0" w:type="dxa"/>
            <w:bottom w:w="0" w:type="dxa"/>
            <w:right w:w="0" w:type="dxa"/>
          </w:tblCellMar>
        </w:tblPrEx>
        <w:trPr>
          <w:trHeight w:val="600" w:hRule="atLeast"/>
          <w:jc w:val="center"/>
        </w:trPr>
        <w:tc>
          <w:tcPr>
            <w:tcW w:w="2538" w:type="dxa"/>
            <w:tcBorders>
              <w:top w:val="nil"/>
              <w:left w:val="nil"/>
              <w:bottom w:val="nil"/>
              <w:right w:val="nil"/>
            </w:tcBorders>
            <w:shd w:val="clear" w:color="auto" w:fill="auto"/>
            <w:noWrap/>
            <w:tcMar>
              <w:top w:w="15" w:type="dxa"/>
              <w:left w:w="15" w:type="dxa"/>
              <w:right w:w="15" w:type="dxa"/>
            </w:tcMar>
            <w:vAlign w:val="center"/>
          </w:tcPr>
          <w:p>
            <w:pPr>
              <w:widowControl/>
              <w:spacing w:line="56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三、空运</w:t>
            </w:r>
          </w:p>
        </w:tc>
        <w:tc>
          <w:tcPr>
            <w:tcW w:w="146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560" w:lineRule="exact"/>
              <w:jc w:val="center"/>
              <w:rPr>
                <w:rFonts w:ascii="宋体" w:hAnsi="宋体" w:eastAsia="宋体" w:cs="宋体"/>
                <w:color w:val="000000" w:themeColor="text1"/>
                <w:sz w:val="24"/>
                <w14:textFill>
                  <w14:solidFill>
                    <w14:schemeClr w14:val="tx1"/>
                  </w14:solidFill>
                </w14:textFill>
              </w:rPr>
            </w:pPr>
          </w:p>
        </w:tc>
        <w:tc>
          <w:tcPr>
            <w:tcW w:w="1563"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560" w:lineRule="exact"/>
              <w:jc w:val="right"/>
              <w:rPr>
                <w:rFonts w:ascii="宋体" w:hAnsi="宋体" w:eastAsia="宋体" w:cs="宋体"/>
                <w:color w:val="000000" w:themeColor="text1"/>
                <w:sz w:val="24"/>
                <w14:textFill>
                  <w14:solidFill>
                    <w14:schemeClr w14:val="tx1"/>
                  </w14:solidFill>
                </w14:textFill>
              </w:rPr>
            </w:pPr>
          </w:p>
        </w:tc>
        <w:tc>
          <w:tcPr>
            <w:tcW w:w="2730" w:type="dxa"/>
            <w:tcBorders>
              <w:top w:val="nil"/>
              <w:left w:val="nil"/>
              <w:bottom w:val="nil"/>
              <w:right w:val="nil"/>
            </w:tcBorders>
            <w:shd w:val="clear" w:color="auto" w:fill="auto"/>
            <w:noWrap/>
            <w:tcMar>
              <w:top w:w="15" w:type="dxa"/>
              <w:left w:w="15" w:type="dxa"/>
              <w:right w:w="15" w:type="dxa"/>
            </w:tcMar>
            <w:vAlign w:val="center"/>
          </w:tcPr>
          <w:p>
            <w:pPr>
              <w:spacing w:line="560" w:lineRule="exact"/>
              <w:jc w:val="right"/>
              <w:rPr>
                <w:rFonts w:ascii="宋体" w:hAnsi="宋体" w:eastAsia="宋体"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600" w:hRule="atLeast"/>
          <w:jc w:val="center"/>
        </w:trPr>
        <w:tc>
          <w:tcPr>
            <w:tcW w:w="2538" w:type="dxa"/>
            <w:tcBorders>
              <w:top w:val="nil"/>
              <w:left w:val="nil"/>
              <w:bottom w:val="nil"/>
              <w:right w:val="nil"/>
            </w:tcBorders>
            <w:shd w:val="clear" w:color="auto" w:fill="auto"/>
            <w:noWrap/>
            <w:tcMar>
              <w:top w:w="15" w:type="dxa"/>
              <w:left w:w="15" w:type="dxa"/>
              <w:right w:w="15" w:type="dxa"/>
            </w:tcMar>
            <w:vAlign w:val="center"/>
          </w:tcPr>
          <w:p>
            <w:pPr>
              <w:widowControl/>
              <w:spacing w:line="56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旅客吞吐量</w:t>
            </w:r>
          </w:p>
        </w:tc>
        <w:tc>
          <w:tcPr>
            <w:tcW w:w="146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万人次</w:t>
            </w:r>
          </w:p>
        </w:tc>
        <w:tc>
          <w:tcPr>
            <w:tcW w:w="1563" w:type="dxa"/>
            <w:tcBorders>
              <w:top w:val="nil"/>
              <w:left w:val="nil"/>
              <w:bottom w:val="nil"/>
              <w:right w:val="single" w:color="000000" w:sz="4" w:space="0"/>
            </w:tcBorders>
            <w:shd w:val="clear" w:color="auto" w:fill="auto"/>
            <w:tcMar>
              <w:top w:w="15" w:type="dxa"/>
              <w:left w:w="15" w:type="dxa"/>
              <w:right w:w="15" w:type="dxa"/>
            </w:tcMar>
            <w:vAlign w:val="bottom"/>
          </w:tcPr>
          <w:p>
            <w:pPr>
              <w:widowControl/>
              <w:spacing w:line="560" w:lineRule="exact"/>
              <w:jc w:val="right"/>
              <w:textAlignment w:val="bottom"/>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44.76</w:t>
            </w:r>
          </w:p>
        </w:tc>
        <w:tc>
          <w:tcPr>
            <w:tcW w:w="2730" w:type="dxa"/>
            <w:tcBorders>
              <w:top w:val="nil"/>
              <w:left w:val="nil"/>
              <w:bottom w:val="nil"/>
              <w:right w:val="nil"/>
            </w:tcBorders>
            <w:shd w:val="clear" w:color="auto" w:fill="auto"/>
            <w:noWrap/>
            <w:tcMar>
              <w:top w:w="15" w:type="dxa"/>
              <w:left w:w="15" w:type="dxa"/>
              <w:right w:w="15" w:type="dxa"/>
            </w:tcMar>
            <w:vAlign w:val="center"/>
          </w:tcPr>
          <w:p>
            <w:pPr>
              <w:widowControl/>
              <w:spacing w:line="560" w:lineRule="exact"/>
              <w:jc w:val="right"/>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-36.3</w:t>
            </w:r>
          </w:p>
        </w:tc>
      </w:tr>
      <w:tr>
        <w:tblPrEx>
          <w:tblCellMar>
            <w:top w:w="0" w:type="dxa"/>
            <w:left w:w="0" w:type="dxa"/>
            <w:bottom w:w="0" w:type="dxa"/>
            <w:right w:w="0" w:type="dxa"/>
          </w:tblCellMar>
        </w:tblPrEx>
        <w:trPr>
          <w:trHeight w:val="632" w:hRule="atLeast"/>
          <w:jc w:val="center"/>
        </w:trPr>
        <w:tc>
          <w:tcPr>
            <w:tcW w:w="2538" w:type="dxa"/>
            <w:tcBorders>
              <w:top w:val="nil"/>
              <w:left w:val="nil"/>
              <w:bottom w:val="single" w:color="auto" w:sz="12" w:space="0"/>
              <w:right w:val="nil"/>
            </w:tcBorders>
            <w:shd w:val="clear" w:color="auto" w:fill="auto"/>
            <w:noWrap/>
            <w:tcMar>
              <w:top w:w="15" w:type="dxa"/>
              <w:left w:w="15" w:type="dxa"/>
              <w:right w:w="15" w:type="dxa"/>
            </w:tcMar>
            <w:vAlign w:val="center"/>
          </w:tcPr>
          <w:p>
            <w:pPr>
              <w:widowControl/>
              <w:spacing w:line="56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货邮吞吐量</w:t>
            </w:r>
          </w:p>
        </w:tc>
        <w:tc>
          <w:tcPr>
            <w:tcW w:w="1469" w:type="dxa"/>
            <w:tcBorders>
              <w:top w:val="nil"/>
              <w:left w:val="single" w:color="000000" w:sz="4" w:space="0"/>
              <w:bottom w:val="single" w:color="auto" w:sz="12"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吨</w:t>
            </w:r>
          </w:p>
        </w:tc>
        <w:tc>
          <w:tcPr>
            <w:tcW w:w="1563" w:type="dxa"/>
            <w:tcBorders>
              <w:top w:val="nil"/>
              <w:left w:val="nil"/>
              <w:bottom w:val="single" w:color="auto" w:sz="12" w:space="0"/>
              <w:right w:val="single" w:color="000000" w:sz="4" w:space="0"/>
            </w:tcBorders>
            <w:shd w:val="clear" w:color="auto" w:fill="auto"/>
            <w:tcMar>
              <w:top w:w="15" w:type="dxa"/>
              <w:left w:w="15" w:type="dxa"/>
              <w:right w:w="15" w:type="dxa"/>
            </w:tcMar>
            <w:vAlign w:val="bottom"/>
          </w:tcPr>
          <w:p>
            <w:pPr>
              <w:widowControl/>
              <w:spacing w:line="560" w:lineRule="exact"/>
              <w:jc w:val="right"/>
              <w:textAlignment w:val="bottom"/>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1458.44 </w:t>
            </w:r>
          </w:p>
        </w:tc>
        <w:tc>
          <w:tcPr>
            <w:tcW w:w="2730" w:type="dxa"/>
            <w:tcBorders>
              <w:top w:val="nil"/>
              <w:left w:val="nil"/>
              <w:bottom w:val="single" w:color="auto" w:sz="12" w:space="0"/>
              <w:right w:val="nil"/>
            </w:tcBorders>
            <w:shd w:val="clear" w:color="auto" w:fill="auto"/>
            <w:noWrap/>
            <w:tcMar>
              <w:top w:w="15" w:type="dxa"/>
              <w:left w:w="15" w:type="dxa"/>
              <w:right w:w="15" w:type="dxa"/>
            </w:tcMar>
            <w:vAlign w:val="center"/>
          </w:tcPr>
          <w:p>
            <w:pPr>
              <w:widowControl/>
              <w:spacing w:line="560" w:lineRule="exact"/>
              <w:jc w:val="right"/>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8.6</w:t>
            </w:r>
          </w:p>
        </w:tc>
      </w:tr>
    </w:tbl>
    <w:p>
      <w:pPr>
        <w:numPr>
          <w:ilvl w:val="0"/>
          <w:numId w:val="0"/>
        </w:numPr>
        <w:spacing w:line="520" w:lineRule="exact"/>
        <w:ind w:firstLine="672" w:firstLineChars="200"/>
        <w:jc w:val="left"/>
        <w:rPr>
          <w:rStyle w:val="13"/>
          <w:rFonts w:hint="eastAsia" w:ascii="黑体" w:hAnsi="黑体" w:eastAsia="黑体" w:cs="黑体"/>
          <w:b w:val="0"/>
          <w:color w:val="000000" w:themeColor="text1"/>
          <w:spacing w:val="8"/>
          <w:sz w:val="32"/>
          <w:szCs w:val="32"/>
          <w14:textFill>
            <w14:solidFill>
              <w14:schemeClr w14:val="tx1"/>
            </w14:solidFill>
          </w14:textFill>
        </w:rPr>
      </w:pPr>
      <w:r>
        <w:rPr>
          <w:rStyle w:val="13"/>
          <w:rFonts w:hint="eastAsia" w:ascii="黑体" w:hAnsi="黑体" w:eastAsia="黑体" w:cs="黑体"/>
          <w:b w:val="0"/>
          <w:color w:val="000000" w:themeColor="text1"/>
          <w:spacing w:val="8"/>
          <w:sz w:val="32"/>
          <w:szCs w:val="32"/>
          <w:lang w:val="en-US" w:eastAsia="zh-CN"/>
          <w14:textFill>
            <w14:solidFill>
              <w14:schemeClr w14:val="tx1"/>
            </w14:solidFill>
          </w14:textFill>
        </w:rPr>
        <w:t>五、</w:t>
      </w:r>
      <w:r>
        <w:rPr>
          <w:rStyle w:val="13"/>
          <w:rFonts w:hint="eastAsia" w:ascii="黑体" w:hAnsi="黑体" w:eastAsia="黑体" w:cs="黑体"/>
          <w:b w:val="0"/>
          <w:color w:val="000000" w:themeColor="text1"/>
          <w:spacing w:val="8"/>
          <w:sz w:val="32"/>
          <w:szCs w:val="32"/>
          <w14:textFill>
            <w14:solidFill>
              <w14:schemeClr w14:val="tx1"/>
            </w14:solidFill>
          </w14:textFill>
        </w:rPr>
        <w:t>国内贸易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全市</w:t>
      </w:r>
      <w:r>
        <w:rPr>
          <w:rFonts w:hint="eastAsia" w:ascii="仿宋_GB2312" w:hAnsi="仿宋_GB2312" w:eastAsia="仿宋_GB2312" w:cs="仿宋_GB2312"/>
          <w:color w:val="000000" w:themeColor="text1"/>
          <w:sz w:val="32"/>
          <w:szCs w:val="32"/>
          <w14:textFill>
            <w14:solidFill>
              <w14:schemeClr w14:val="tx1"/>
            </w14:solidFill>
          </w14:textFill>
        </w:rPr>
        <w:t>社会消费品零售总额119.7亿元，比上年下降7.0%。按经营地统计，城镇消费品零售额108.3亿元，下降6.5%；乡村消费品零售额11.4亿元，下降11.6%。按消费类型统计，商品零售额102.36亿元，下降6.5%；餐饮收入额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17.36</w:t>
      </w:r>
      <w:r>
        <w:rPr>
          <w:rFonts w:hint="eastAsia" w:ascii="仿宋_GB2312" w:hAnsi="仿宋_GB2312" w:eastAsia="仿宋_GB2312" w:cs="仿宋_GB2312"/>
          <w:color w:val="000000" w:themeColor="text1"/>
          <w:sz w:val="32"/>
          <w:szCs w:val="32"/>
          <w14:textFill>
            <w14:solidFill>
              <w14:schemeClr w14:val="tx1"/>
            </w14:solidFill>
          </w14:textFill>
        </w:rPr>
        <w:t>亿元，下降9.7%。</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限额以上企业商品零售中，粮油食品类零售额比上年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下降26.4</w:t>
      </w:r>
      <w:r>
        <w:rPr>
          <w:rFonts w:hint="eastAsia" w:ascii="仿宋_GB2312" w:hAnsi="仿宋_GB2312" w:eastAsia="仿宋_GB2312" w:cs="仿宋_GB2312"/>
          <w:color w:val="000000" w:themeColor="text1"/>
          <w:sz w:val="32"/>
          <w:szCs w:val="32"/>
          <w14:textFill>
            <w14:solidFill>
              <w14:schemeClr w14:val="tx1"/>
            </w14:solidFill>
          </w14:textFill>
        </w:rPr>
        <w:t>%，饮料类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增长26.5</w:t>
      </w:r>
      <w:r>
        <w:rPr>
          <w:rFonts w:hint="default" w:ascii="仿宋_GB2312" w:hAnsi="仿宋_GB2312" w:eastAsia="仿宋_GB2312" w:cs="仿宋_GB2312"/>
          <w:color w:val="000000" w:themeColor="text1"/>
          <w:sz w:val="32"/>
          <w:szCs w:val="32"/>
          <w:lang w:val="en-US"/>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，烟酒类下降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default" w:ascii="仿宋_GB2312" w:hAnsi="仿宋_GB2312" w:eastAsia="仿宋_GB2312" w:cs="仿宋_GB2312"/>
          <w:color w:val="000000" w:themeColor="text1"/>
          <w:sz w:val="32"/>
          <w:szCs w:val="32"/>
          <w:lang w:val="en-US"/>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，服装鞋帽针纺织品类下降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49.5</w:t>
      </w:r>
      <w:r>
        <w:rPr>
          <w:rFonts w:hint="eastAsia" w:ascii="仿宋_GB2312" w:hAnsi="仿宋_GB2312" w:eastAsia="仿宋_GB2312" w:cs="仿宋_GB2312"/>
          <w:color w:val="000000" w:themeColor="text1"/>
          <w:sz w:val="32"/>
          <w:szCs w:val="32"/>
          <w14:textFill>
            <w14:solidFill>
              <w14:schemeClr w14:val="tx1"/>
            </w14:solidFill>
          </w14:textFill>
        </w:rPr>
        <w:t>%，化妆品类下降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48.4</w:t>
      </w:r>
      <w:r>
        <w:rPr>
          <w:rFonts w:hint="eastAsia" w:ascii="仿宋_GB2312" w:hAnsi="仿宋_GB2312" w:eastAsia="仿宋_GB2312" w:cs="仿宋_GB2312"/>
          <w:color w:val="000000" w:themeColor="text1"/>
          <w:sz w:val="32"/>
          <w:szCs w:val="32"/>
          <w14:textFill>
            <w14:solidFill>
              <w14:schemeClr w14:val="tx1"/>
            </w14:solidFill>
          </w14:textFill>
        </w:rPr>
        <w:t>%，金银珠宝类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增长48.2</w:t>
      </w:r>
      <w:r>
        <w:rPr>
          <w:rFonts w:hint="eastAsia" w:ascii="仿宋_GB2312" w:hAnsi="仿宋_GB2312" w:eastAsia="仿宋_GB2312" w:cs="仿宋_GB2312"/>
          <w:color w:val="000000" w:themeColor="text1"/>
          <w:sz w:val="32"/>
          <w:szCs w:val="32"/>
          <w14:textFill>
            <w14:solidFill>
              <w14:schemeClr w14:val="tx1"/>
            </w14:solidFill>
          </w14:textFill>
        </w:rPr>
        <w:t>%，日用品类下降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.4%，家用电器和音像器材类下降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w:t>
      </w:r>
      <w:r>
        <w:rPr>
          <w:rFonts w:hint="eastAsia" w:ascii="仿宋_GB2312" w:hAnsi="仿宋_GB2312" w:eastAsia="仿宋_GB2312" w:cs="仿宋_GB2312"/>
          <w:color w:val="000000" w:themeColor="text1"/>
          <w:sz w:val="32"/>
          <w:szCs w:val="32"/>
          <w14:textFill>
            <w14:solidFill>
              <w14:schemeClr w14:val="tx1"/>
            </w14:solidFill>
          </w14:textFill>
        </w:rPr>
        <w:t>%，通讯器材类增长1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5.9</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石油及制品类增长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建筑及装潢材料类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下降73.0%，汽车类下降4.3</w:t>
      </w:r>
      <w:r>
        <w:rPr>
          <w:rFonts w:hint="eastAsia" w:ascii="仿宋_GB2312" w:hAnsi="仿宋_GB2312" w:eastAsia="仿宋_GB2312" w:cs="仿宋_GB2312"/>
          <w:color w:val="000000" w:themeColor="text1"/>
          <w:sz w:val="32"/>
          <w:szCs w:val="32"/>
          <w14:textFill>
            <w14:solidFill>
              <w14:schemeClr w14:val="tx1"/>
            </w14:solidFill>
          </w14:textFill>
        </w:rPr>
        <w:t>%。</w:t>
      </w:r>
    </w:p>
    <w:p>
      <w:pPr>
        <w:tabs>
          <w:tab w:val="left" w:pos="741"/>
        </w:tabs>
        <w:spacing w:line="520" w:lineRule="exact"/>
        <w:rPr>
          <w:rStyle w:val="13"/>
          <w:rFonts w:ascii="黑体" w:hAnsi="黑体" w:eastAsia="黑体" w:cs="黑体"/>
          <w:b w:val="0"/>
          <w:color w:val="000000" w:themeColor="text1"/>
          <w:spacing w:val="8"/>
          <w:sz w:val="32"/>
          <w:szCs w:val="32"/>
          <w14:textFill>
            <w14:solidFill>
              <w14:schemeClr w14:val="tx1"/>
            </w14:solidFill>
          </w14:textFill>
        </w:rPr>
      </w:pPr>
      <w:r>
        <w:rPr>
          <w:rFonts w:hint="eastAsia" w:ascii="仿宋" w:hAnsi="仿宋" w:eastAsia="仿宋" w:cs="仿宋"/>
          <w:color w:val="0000FF"/>
          <w:sz w:val="32"/>
          <w:szCs w:val="32"/>
        </w:rPr>
        <w:drawing>
          <wp:anchor distT="0" distB="0" distL="114300" distR="114300" simplePos="0" relativeHeight="251662336" behindDoc="1" locked="0" layoutInCell="1" allowOverlap="1">
            <wp:simplePos x="0" y="0"/>
            <wp:positionH relativeFrom="column">
              <wp:posOffset>156210</wp:posOffset>
            </wp:positionH>
            <wp:positionV relativeFrom="paragraph">
              <wp:posOffset>76200</wp:posOffset>
            </wp:positionV>
            <wp:extent cx="5233035" cy="3538855"/>
            <wp:effectExtent l="0" t="0" r="5715" b="61595"/>
            <wp:wrapTight wrapText="bothSides">
              <wp:wrapPolygon>
                <wp:start x="0" y="0"/>
                <wp:lineTo x="0" y="21511"/>
                <wp:lineTo x="21545" y="21511"/>
                <wp:lineTo x="21545" y="0"/>
                <wp:lineTo x="0" y="0"/>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s="仿宋"/>
          <w:color w:val="0000FF"/>
          <w:sz w:val="32"/>
          <w:szCs w:val="32"/>
          <w:lang w:val="en-US" w:eastAsia="zh-CN"/>
        </w:rPr>
        <w:t xml:space="preserve">    </w:t>
      </w:r>
      <w:r>
        <w:rPr>
          <w:rStyle w:val="13"/>
          <w:rFonts w:hint="eastAsia" w:ascii="黑体" w:hAnsi="黑体" w:eastAsia="黑体" w:cs="黑体"/>
          <w:b w:val="0"/>
          <w:color w:val="000000" w:themeColor="text1"/>
          <w:spacing w:val="8"/>
          <w:sz w:val="32"/>
          <w:szCs w:val="32"/>
          <w14:textFill>
            <w14:solidFill>
              <w14:schemeClr w14:val="tx1"/>
            </w14:solidFill>
          </w14:textFill>
        </w:rPr>
        <w:t>六、固定资产投资</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全市</w:t>
      </w:r>
      <w:r>
        <w:rPr>
          <w:rFonts w:hint="eastAsia" w:ascii="仿宋_GB2312" w:hAnsi="仿宋_GB2312" w:eastAsia="仿宋_GB2312" w:cs="仿宋_GB2312"/>
          <w:color w:val="000000" w:themeColor="text1"/>
          <w:sz w:val="32"/>
          <w:szCs w:val="32"/>
          <w14:textFill>
            <w14:solidFill>
              <w14:schemeClr w14:val="tx1"/>
            </w14:solidFill>
          </w14:textFill>
        </w:rPr>
        <w:t>固定资产投资比上年增长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%。其中，非房地产开发投资增长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.5%。分产业看，第一产业投资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下降27.3</w:t>
      </w:r>
      <w:r>
        <w:rPr>
          <w:rFonts w:hint="eastAsia" w:ascii="仿宋_GB2312" w:hAnsi="仿宋_GB2312" w:eastAsia="仿宋_GB2312" w:cs="仿宋_GB2312"/>
          <w:color w:val="000000" w:themeColor="text1"/>
          <w:sz w:val="32"/>
          <w:szCs w:val="32"/>
          <w14:textFill>
            <w14:solidFill>
              <w14:schemeClr w14:val="tx1"/>
            </w14:solidFill>
          </w14:textFill>
        </w:rPr>
        <w:t>%；第二产业投资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下降0.2</w:t>
      </w:r>
      <w:r>
        <w:rPr>
          <w:rFonts w:hint="eastAsia" w:ascii="仿宋_GB2312" w:hAnsi="仿宋_GB2312" w:eastAsia="仿宋_GB2312" w:cs="仿宋_GB2312"/>
          <w:color w:val="000000" w:themeColor="text1"/>
          <w:sz w:val="32"/>
          <w:szCs w:val="32"/>
          <w14:textFill>
            <w14:solidFill>
              <w14:schemeClr w14:val="tx1"/>
            </w14:solidFill>
          </w14:textFill>
        </w:rPr>
        <w:t>%；第三产业投资增长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%。民间固定资产投资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下降28.5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，占固定资产投资比重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43.0%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基础设施投资增长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41.9</w:t>
      </w:r>
      <w:r>
        <w:rPr>
          <w:rFonts w:hint="eastAsia" w:ascii="仿宋_GB2312" w:hAnsi="仿宋_GB2312" w:eastAsia="仿宋_GB2312" w:cs="仿宋_GB2312"/>
          <w:color w:val="000000" w:themeColor="text1"/>
          <w:sz w:val="32"/>
          <w:szCs w:val="32"/>
          <w14:textFill>
            <w14:solidFill>
              <w14:schemeClr w14:val="tx1"/>
            </w14:solidFill>
          </w14:textFill>
        </w:rPr>
        <w:t>%。全年中央投资项目9个，完成投资占年度投资计划的100%；省重点项目3个，完成投资占年度投资计划的141.2%；市重点项目109个，完成投资占年度投资计划的105%。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color w:val="0000FF"/>
          <w:sz w:val="32"/>
          <w:szCs w:val="32"/>
          <w:shd w:val="clear" w:color="auto" w:fill="FFFFFF"/>
        </w:rPr>
      </w:pPr>
      <w:r>
        <w:rPr>
          <w:rFonts w:hint="eastAsia" w:ascii="仿宋_GB2312" w:hAnsi="仿宋_GB2312" w:eastAsia="仿宋_GB2312" w:cs="仿宋_GB2312"/>
          <w:color w:val="000000" w:themeColor="text1"/>
          <w:sz w:val="32"/>
          <w:szCs w:val="32"/>
          <w14:textFill>
            <w14:solidFill>
              <w14:schemeClr w14:val="tx1"/>
            </w14:solidFill>
          </w14:textFill>
        </w:rPr>
        <w:t>全年房地产开发投资比上年下降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.6%。房地产项目房屋施工面积3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05.17</w:t>
      </w:r>
      <w:r>
        <w:rPr>
          <w:rFonts w:hint="eastAsia" w:ascii="仿宋_GB2312" w:hAnsi="仿宋_GB2312" w:eastAsia="仿宋_GB2312" w:cs="仿宋_GB2312"/>
          <w:color w:val="000000" w:themeColor="text1"/>
          <w:sz w:val="32"/>
          <w:szCs w:val="32"/>
          <w14:textFill>
            <w14:solidFill>
              <w14:schemeClr w14:val="tx1"/>
            </w14:solidFill>
          </w14:textFill>
        </w:rPr>
        <w:t>万平方米，下降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6.6</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其中本年新开工面积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32.11</w:t>
      </w:r>
      <w:r>
        <w:rPr>
          <w:rFonts w:hint="eastAsia" w:ascii="仿宋_GB2312" w:hAnsi="仿宋_GB2312" w:eastAsia="仿宋_GB2312" w:cs="仿宋_GB2312"/>
          <w:color w:val="000000" w:themeColor="text1"/>
          <w:sz w:val="32"/>
          <w:szCs w:val="32"/>
          <w14:textFill>
            <w14:solidFill>
              <w14:schemeClr w14:val="tx1"/>
            </w14:solidFill>
          </w14:textFill>
        </w:rPr>
        <w:t>万平方米，下降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57.2</w:t>
      </w:r>
      <w:r>
        <w:rPr>
          <w:rFonts w:hint="eastAsia" w:ascii="仿宋_GB2312" w:hAnsi="仿宋_GB2312" w:eastAsia="仿宋_GB2312" w:cs="仿宋_GB2312"/>
          <w:color w:val="000000" w:themeColor="text1"/>
          <w:sz w:val="32"/>
          <w:szCs w:val="32"/>
          <w14:textFill>
            <w14:solidFill>
              <w14:schemeClr w14:val="tx1"/>
            </w14:solidFill>
          </w14:textFill>
        </w:rPr>
        <w:t>%。房屋销售面积34.8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万平方米，增长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0.2</w:t>
      </w:r>
      <w:r>
        <w:rPr>
          <w:rFonts w:hint="eastAsia" w:ascii="仿宋_GB2312" w:hAnsi="仿宋_GB2312" w:eastAsia="仿宋_GB2312" w:cs="仿宋_GB2312"/>
          <w:color w:val="000000" w:themeColor="text1"/>
          <w:sz w:val="32"/>
          <w:szCs w:val="32"/>
          <w14:textFill>
            <w14:solidFill>
              <w14:schemeClr w14:val="tx1"/>
            </w14:solidFill>
          </w14:textFill>
        </w:rPr>
        <w:t>%；房屋销售额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44.8</w:t>
      </w:r>
      <w:r>
        <w:rPr>
          <w:rFonts w:hint="eastAsia" w:ascii="仿宋_GB2312" w:hAnsi="仿宋_GB2312" w:eastAsia="仿宋_GB2312" w:cs="仿宋_GB2312"/>
          <w:color w:val="000000" w:themeColor="text1"/>
          <w:sz w:val="32"/>
          <w:szCs w:val="32"/>
          <w14:textFill>
            <w14:solidFill>
              <w14:schemeClr w14:val="tx1"/>
            </w14:solidFill>
          </w14:textFill>
        </w:rPr>
        <w:t>亿元，下降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9.0</w:t>
      </w:r>
      <w:r>
        <w:rPr>
          <w:rFonts w:hint="eastAsia" w:ascii="仿宋_GB2312" w:hAnsi="仿宋_GB2312" w:eastAsia="仿宋_GB2312" w:cs="仿宋_GB2312"/>
          <w:color w:val="000000" w:themeColor="text1"/>
          <w:sz w:val="32"/>
          <w:szCs w:val="32"/>
          <w14:textFill>
            <w14:solidFill>
              <w14:schemeClr w14:val="tx1"/>
            </w14:solidFill>
          </w14:textFill>
        </w:rPr>
        <w:t>%。</w:t>
      </w:r>
    </w:p>
    <w:tbl>
      <w:tblPr>
        <w:tblStyle w:val="11"/>
        <w:tblpPr w:leftFromText="180" w:rightFromText="180" w:vertAnchor="text" w:horzAnchor="page" w:tblpX="1654" w:tblpY="307"/>
        <w:tblOverlap w:val="never"/>
        <w:tblW w:w="8560" w:type="dxa"/>
        <w:jc w:val="center"/>
        <w:tblLayout w:type="fixed"/>
        <w:tblCellMar>
          <w:top w:w="0" w:type="dxa"/>
          <w:left w:w="0" w:type="dxa"/>
          <w:bottom w:w="0" w:type="dxa"/>
          <w:right w:w="0" w:type="dxa"/>
        </w:tblCellMar>
      </w:tblPr>
      <w:tblGrid>
        <w:gridCol w:w="2694"/>
        <w:gridCol w:w="1323"/>
        <w:gridCol w:w="3217"/>
        <w:gridCol w:w="1326"/>
      </w:tblGrid>
      <w:tr>
        <w:tblPrEx>
          <w:tblCellMar>
            <w:top w:w="0" w:type="dxa"/>
            <w:left w:w="0" w:type="dxa"/>
            <w:bottom w:w="0" w:type="dxa"/>
            <w:right w:w="0" w:type="dxa"/>
          </w:tblCellMar>
        </w:tblPrEx>
        <w:trPr>
          <w:trHeight w:val="689" w:hRule="atLeast"/>
          <w:jc w:val="center"/>
        </w:trPr>
        <w:tc>
          <w:tcPr>
            <w:tcW w:w="8560" w:type="dxa"/>
            <w:gridSpan w:val="4"/>
            <w:tcBorders>
              <w:top w:val="nil"/>
              <w:left w:val="nil"/>
              <w:bottom w:val="single" w:color="auto" w:sz="12" w:space="0"/>
              <w:right w:val="nil"/>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themeColor="text1"/>
                <w:sz w:val="28"/>
                <w:szCs w:val="28"/>
                <w14:textFill>
                  <w14:solidFill>
                    <w14:schemeClr w14:val="tx1"/>
                  </w14:solidFill>
                </w14:textFill>
              </w:rPr>
            </w:pPr>
            <w:r>
              <w:rPr>
                <w:rFonts w:hint="eastAsia" w:ascii="黑体" w:hAnsi="黑体" w:eastAsia="黑体" w:cs="黑体"/>
                <w:color w:val="000000" w:themeColor="text1"/>
                <w:kern w:val="0"/>
                <w:sz w:val="30"/>
                <w:szCs w:val="30"/>
                <w:lang w:bidi="ar"/>
                <w14:textFill>
                  <w14:solidFill>
                    <w14:schemeClr w14:val="tx1"/>
                  </w14:solidFill>
                </w14:textFill>
              </w:rPr>
              <w:t>表</w:t>
            </w:r>
            <w:r>
              <w:rPr>
                <w:rFonts w:hint="eastAsia" w:ascii="黑体" w:hAnsi="黑体" w:eastAsia="黑体" w:cs="黑体"/>
                <w:color w:val="000000" w:themeColor="text1"/>
                <w:kern w:val="0"/>
                <w:sz w:val="30"/>
                <w:szCs w:val="30"/>
                <w:lang w:val="en-US" w:eastAsia="zh-CN" w:bidi="ar"/>
                <w14:textFill>
                  <w14:solidFill>
                    <w14:schemeClr w14:val="tx1"/>
                  </w14:solidFill>
                </w14:textFill>
              </w:rPr>
              <w:t>5</w:t>
            </w:r>
            <w:r>
              <w:rPr>
                <w:rFonts w:hint="eastAsia" w:ascii="黑体" w:hAnsi="黑体" w:eastAsia="黑体" w:cs="黑体"/>
                <w:color w:val="000000" w:themeColor="text1"/>
                <w:kern w:val="0"/>
                <w:sz w:val="30"/>
                <w:szCs w:val="30"/>
                <w:lang w:bidi="ar"/>
                <w14:textFill>
                  <w14:solidFill>
                    <w14:schemeClr w14:val="tx1"/>
                  </w14:solidFill>
                </w14:textFill>
              </w:rPr>
              <w:t xml:space="preserve">  202</w:t>
            </w:r>
            <w:r>
              <w:rPr>
                <w:rFonts w:hint="eastAsia" w:ascii="黑体" w:hAnsi="黑体" w:eastAsia="黑体" w:cs="黑体"/>
                <w:color w:val="000000" w:themeColor="text1"/>
                <w:kern w:val="0"/>
                <w:sz w:val="30"/>
                <w:szCs w:val="30"/>
                <w:lang w:val="en-US" w:eastAsia="zh-CN" w:bidi="ar"/>
                <w14:textFill>
                  <w14:solidFill>
                    <w14:schemeClr w14:val="tx1"/>
                  </w14:solidFill>
                </w14:textFill>
              </w:rPr>
              <w:t>2</w:t>
            </w:r>
            <w:r>
              <w:rPr>
                <w:rFonts w:hint="eastAsia" w:ascii="黑体" w:hAnsi="黑体" w:eastAsia="黑体" w:cs="黑体"/>
                <w:color w:val="000000" w:themeColor="text1"/>
                <w:kern w:val="0"/>
                <w:sz w:val="30"/>
                <w:szCs w:val="30"/>
                <w:lang w:bidi="ar"/>
                <w14:textFill>
                  <w14:solidFill>
                    <w14:schemeClr w14:val="tx1"/>
                  </w14:solidFill>
                </w14:textFill>
              </w:rPr>
              <w:t>年分行业固定资产投资(不含农户)增长速度</w:t>
            </w:r>
          </w:p>
        </w:tc>
      </w:tr>
      <w:tr>
        <w:tblPrEx>
          <w:tblCellMar>
            <w:top w:w="0" w:type="dxa"/>
            <w:left w:w="0" w:type="dxa"/>
            <w:bottom w:w="0" w:type="dxa"/>
            <w:right w:w="0" w:type="dxa"/>
          </w:tblCellMar>
        </w:tblPrEx>
        <w:trPr>
          <w:trHeight w:val="1081" w:hRule="atLeast"/>
          <w:jc w:val="center"/>
        </w:trPr>
        <w:tc>
          <w:tcPr>
            <w:tcW w:w="2694" w:type="dxa"/>
            <w:tcBorders>
              <w:top w:val="single" w:color="auto" w:sz="12" w:space="0"/>
              <w:left w:val="nil"/>
              <w:bottom w:val="single" w:color="000000" w:sz="4" w:space="0"/>
              <w:right w:val="nil"/>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行业</w:t>
            </w:r>
          </w:p>
        </w:tc>
        <w:tc>
          <w:tcPr>
            <w:tcW w:w="1323" w:type="dxa"/>
            <w:tcBorders>
              <w:top w:val="single" w:color="auto"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eastAsia="宋体" w:cs="宋体"/>
                <w:b/>
                <w:color w:val="000000" w:themeColor="text1"/>
                <w:kern w:val="0"/>
                <w:sz w:val="24"/>
                <w:lang w:eastAsia="zh-CN"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比上年增长</w:t>
            </w:r>
          </w:p>
          <w:p>
            <w:pPr>
              <w:widowControl/>
              <w:spacing w:line="320" w:lineRule="exact"/>
              <w:jc w:val="center"/>
              <w:textAlignment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w:t>
            </w:r>
          </w:p>
        </w:tc>
        <w:tc>
          <w:tcPr>
            <w:tcW w:w="3217" w:type="dxa"/>
            <w:tcBorders>
              <w:top w:val="single" w:color="auto" w:sz="12"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行业</w:t>
            </w:r>
          </w:p>
        </w:tc>
        <w:tc>
          <w:tcPr>
            <w:tcW w:w="1326" w:type="dxa"/>
            <w:tcBorders>
              <w:top w:val="single" w:color="auto" w:sz="12" w:space="0"/>
              <w:left w:val="single" w:color="000000" w:sz="4" w:space="0"/>
              <w:bottom w:val="nil"/>
              <w:right w:val="nil"/>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eastAsia="宋体" w:cs="宋体"/>
                <w:b/>
                <w:color w:val="000000" w:themeColor="text1"/>
                <w:kern w:val="0"/>
                <w:sz w:val="24"/>
                <w:lang w:eastAsia="zh-CN"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比上年增长</w:t>
            </w:r>
          </w:p>
          <w:p>
            <w:pPr>
              <w:widowControl/>
              <w:spacing w:line="320" w:lineRule="exact"/>
              <w:jc w:val="center"/>
              <w:textAlignment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w:t>
            </w:r>
          </w:p>
        </w:tc>
      </w:tr>
      <w:tr>
        <w:tblPrEx>
          <w:tblCellMar>
            <w:top w:w="0" w:type="dxa"/>
            <w:left w:w="0" w:type="dxa"/>
            <w:bottom w:w="0" w:type="dxa"/>
            <w:right w:w="0" w:type="dxa"/>
          </w:tblCellMar>
        </w:tblPrEx>
        <w:trPr>
          <w:trHeight w:val="381" w:hRule="atLeast"/>
          <w:jc w:val="center"/>
        </w:trPr>
        <w:tc>
          <w:tcPr>
            <w:tcW w:w="2694" w:type="dxa"/>
            <w:tcBorders>
              <w:top w:val="nil"/>
              <w:left w:val="nil"/>
              <w:bottom w:val="nil"/>
              <w:right w:val="nil"/>
            </w:tcBorders>
            <w:shd w:val="clear" w:color="auto" w:fill="auto"/>
            <w:noWrap/>
            <w:tcMar>
              <w:top w:w="15" w:type="dxa"/>
              <w:left w:w="15" w:type="dxa"/>
              <w:right w:w="15" w:type="dxa"/>
            </w:tcMar>
            <w:vAlign w:val="center"/>
          </w:tcPr>
          <w:p>
            <w:pPr>
              <w:widowControl/>
              <w:spacing w:line="320" w:lineRule="exact"/>
              <w:jc w:val="left"/>
              <w:textAlignment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总计</w:t>
            </w:r>
          </w:p>
        </w:tc>
        <w:tc>
          <w:tcPr>
            <w:tcW w:w="1323"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20" w:lineRule="exact"/>
              <w:jc w:val="right"/>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1.6</w:t>
            </w:r>
          </w:p>
        </w:tc>
        <w:tc>
          <w:tcPr>
            <w:tcW w:w="3217" w:type="dxa"/>
            <w:tcBorders>
              <w:top w:val="nil"/>
              <w:left w:val="nil"/>
              <w:bottom w:val="nil"/>
              <w:right w:val="nil"/>
            </w:tcBorders>
            <w:shd w:val="clear" w:color="auto" w:fill="auto"/>
            <w:noWrap/>
            <w:tcMar>
              <w:top w:w="15" w:type="dxa"/>
              <w:left w:w="15" w:type="dxa"/>
              <w:right w:w="15" w:type="dxa"/>
            </w:tcMar>
            <w:vAlign w:val="center"/>
          </w:tcPr>
          <w:p>
            <w:pPr>
              <w:widowControl/>
              <w:spacing w:line="3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住宿和餐饮业</w:t>
            </w:r>
          </w:p>
        </w:tc>
        <w:tc>
          <w:tcPr>
            <w:tcW w:w="1326"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widowControl/>
              <w:spacing w:line="320" w:lineRule="exact"/>
              <w:jc w:val="right"/>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65.4</w:t>
            </w:r>
          </w:p>
        </w:tc>
      </w:tr>
      <w:tr>
        <w:tblPrEx>
          <w:tblCellMar>
            <w:top w:w="0" w:type="dxa"/>
            <w:left w:w="0" w:type="dxa"/>
            <w:bottom w:w="0" w:type="dxa"/>
            <w:right w:w="0" w:type="dxa"/>
          </w:tblCellMar>
        </w:tblPrEx>
        <w:trPr>
          <w:trHeight w:val="360" w:hRule="atLeast"/>
          <w:jc w:val="center"/>
        </w:trPr>
        <w:tc>
          <w:tcPr>
            <w:tcW w:w="2694" w:type="dxa"/>
            <w:tcBorders>
              <w:top w:val="nil"/>
              <w:left w:val="nil"/>
              <w:bottom w:val="nil"/>
              <w:right w:val="nil"/>
            </w:tcBorders>
            <w:shd w:val="clear" w:color="auto" w:fill="auto"/>
            <w:noWrap/>
            <w:tcMar>
              <w:top w:w="15" w:type="dxa"/>
              <w:left w:w="15" w:type="dxa"/>
              <w:right w:w="15" w:type="dxa"/>
            </w:tcMar>
            <w:vAlign w:val="center"/>
          </w:tcPr>
          <w:p>
            <w:pPr>
              <w:widowControl/>
              <w:spacing w:line="3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农林牧渔业</w:t>
            </w:r>
          </w:p>
        </w:tc>
        <w:tc>
          <w:tcPr>
            <w:tcW w:w="1323"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20" w:lineRule="exact"/>
              <w:jc w:val="righ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-27.3</w:t>
            </w:r>
          </w:p>
        </w:tc>
        <w:tc>
          <w:tcPr>
            <w:tcW w:w="3217" w:type="dxa"/>
            <w:tcBorders>
              <w:top w:val="nil"/>
              <w:left w:val="nil"/>
              <w:bottom w:val="nil"/>
              <w:right w:val="nil"/>
            </w:tcBorders>
            <w:shd w:val="clear" w:color="auto" w:fill="auto"/>
            <w:noWrap/>
            <w:tcMar>
              <w:top w:w="15" w:type="dxa"/>
              <w:left w:w="15" w:type="dxa"/>
              <w:right w:w="15" w:type="dxa"/>
            </w:tcMar>
            <w:vAlign w:val="center"/>
          </w:tcPr>
          <w:p>
            <w:pPr>
              <w:widowControl/>
              <w:spacing w:line="3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金融业</w:t>
            </w:r>
          </w:p>
        </w:tc>
        <w:tc>
          <w:tcPr>
            <w:tcW w:w="1326" w:type="dxa"/>
            <w:tcBorders>
              <w:top w:val="nil"/>
              <w:left w:val="single" w:color="000000" w:sz="4" w:space="0"/>
              <w:bottom w:val="nil"/>
              <w:right w:val="nil"/>
            </w:tcBorders>
            <w:shd w:val="clear" w:color="auto" w:fill="auto"/>
            <w:noWrap/>
            <w:tcMar>
              <w:top w:w="15" w:type="dxa"/>
              <w:left w:w="15" w:type="dxa"/>
              <w:right w:w="15" w:type="dxa"/>
            </w:tcMar>
            <w:vAlign w:val="center"/>
          </w:tcPr>
          <w:p>
            <w:pPr>
              <w:widowControl/>
              <w:spacing w:line="320" w:lineRule="exact"/>
              <w:jc w:val="righ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w:t>
            </w:r>
          </w:p>
        </w:tc>
      </w:tr>
      <w:tr>
        <w:tblPrEx>
          <w:tblCellMar>
            <w:top w:w="0" w:type="dxa"/>
            <w:left w:w="0" w:type="dxa"/>
            <w:bottom w:w="0" w:type="dxa"/>
            <w:right w:w="0" w:type="dxa"/>
          </w:tblCellMar>
        </w:tblPrEx>
        <w:trPr>
          <w:trHeight w:val="360" w:hRule="atLeast"/>
          <w:jc w:val="center"/>
        </w:trPr>
        <w:tc>
          <w:tcPr>
            <w:tcW w:w="2694" w:type="dxa"/>
            <w:tcBorders>
              <w:top w:val="nil"/>
              <w:left w:val="nil"/>
              <w:bottom w:val="nil"/>
              <w:right w:val="nil"/>
            </w:tcBorders>
            <w:shd w:val="clear" w:color="auto" w:fill="auto"/>
            <w:noWrap/>
            <w:tcMar>
              <w:top w:w="15" w:type="dxa"/>
              <w:left w:w="15" w:type="dxa"/>
              <w:right w:w="15" w:type="dxa"/>
            </w:tcMar>
            <w:vAlign w:val="center"/>
          </w:tcPr>
          <w:p>
            <w:pPr>
              <w:widowControl/>
              <w:spacing w:line="3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采矿业</w:t>
            </w:r>
          </w:p>
        </w:tc>
        <w:tc>
          <w:tcPr>
            <w:tcW w:w="1323"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20" w:lineRule="exact"/>
              <w:jc w:val="righ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w:t>
            </w:r>
          </w:p>
        </w:tc>
        <w:tc>
          <w:tcPr>
            <w:tcW w:w="3217" w:type="dxa"/>
            <w:tcBorders>
              <w:top w:val="nil"/>
              <w:left w:val="nil"/>
              <w:bottom w:val="nil"/>
              <w:right w:val="nil"/>
            </w:tcBorders>
            <w:shd w:val="clear" w:color="auto" w:fill="auto"/>
            <w:noWrap/>
            <w:tcMar>
              <w:top w:w="15" w:type="dxa"/>
              <w:left w:w="15" w:type="dxa"/>
              <w:right w:w="15" w:type="dxa"/>
            </w:tcMar>
            <w:vAlign w:val="center"/>
          </w:tcPr>
          <w:p>
            <w:pPr>
              <w:widowControl/>
              <w:spacing w:line="3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房地产业</w:t>
            </w:r>
          </w:p>
        </w:tc>
        <w:tc>
          <w:tcPr>
            <w:tcW w:w="1326" w:type="dxa"/>
            <w:tcBorders>
              <w:top w:val="nil"/>
              <w:left w:val="single" w:color="000000" w:sz="4" w:space="0"/>
              <w:bottom w:val="nil"/>
              <w:right w:val="nil"/>
            </w:tcBorders>
            <w:shd w:val="clear" w:color="auto" w:fill="auto"/>
            <w:noWrap/>
            <w:tcMar>
              <w:top w:w="15" w:type="dxa"/>
              <w:left w:w="15" w:type="dxa"/>
              <w:right w:w="15" w:type="dxa"/>
            </w:tcMar>
            <w:vAlign w:val="center"/>
          </w:tcPr>
          <w:p>
            <w:pPr>
              <w:widowControl/>
              <w:spacing w:line="320" w:lineRule="exact"/>
              <w:jc w:val="right"/>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12.0</w:t>
            </w:r>
          </w:p>
        </w:tc>
      </w:tr>
      <w:tr>
        <w:tblPrEx>
          <w:tblCellMar>
            <w:top w:w="0" w:type="dxa"/>
            <w:left w:w="0" w:type="dxa"/>
            <w:bottom w:w="0" w:type="dxa"/>
            <w:right w:w="0" w:type="dxa"/>
          </w:tblCellMar>
        </w:tblPrEx>
        <w:trPr>
          <w:trHeight w:val="360" w:hRule="atLeast"/>
          <w:jc w:val="center"/>
        </w:trPr>
        <w:tc>
          <w:tcPr>
            <w:tcW w:w="2694" w:type="dxa"/>
            <w:tcBorders>
              <w:top w:val="nil"/>
              <w:left w:val="nil"/>
              <w:bottom w:val="nil"/>
              <w:right w:val="nil"/>
            </w:tcBorders>
            <w:shd w:val="clear" w:color="auto" w:fill="auto"/>
            <w:noWrap/>
            <w:tcMar>
              <w:top w:w="15" w:type="dxa"/>
              <w:left w:w="15" w:type="dxa"/>
              <w:right w:w="15" w:type="dxa"/>
            </w:tcMar>
            <w:vAlign w:val="center"/>
          </w:tcPr>
          <w:p>
            <w:pPr>
              <w:widowControl/>
              <w:spacing w:line="3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制造业</w:t>
            </w:r>
          </w:p>
        </w:tc>
        <w:tc>
          <w:tcPr>
            <w:tcW w:w="1323"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20" w:lineRule="exact"/>
              <w:jc w:val="right"/>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-41.2</w:t>
            </w:r>
          </w:p>
        </w:tc>
        <w:tc>
          <w:tcPr>
            <w:tcW w:w="3217" w:type="dxa"/>
            <w:tcBorders>
              <w:top w:val="nil"/>
              <w:left w:val="nil"/>
              <w:bottom w:val="nil"/>
              <w:right w:val="nil"/>
            </w:tcBorders>
            <w:shd w:val="clear" w:color="auto" w:fill="auto"/>
            <w:noWrap/>
            <w:tcMar>
              <w:top w:w="15" w:type="dxa"/>
              <w:left w:w="15" w:type="dxa"/>
              <w:right w:w="15" w:type="dxa"/>
            </w:tcMar>
            <w:vAlign w:val="center"/>
          </w:tcPr>
          <w:p>
            <w:pPr>
              <w:widowControl/>
              <w:spacing w:line="3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租赁和商务服务业</w:t>
            </w:r>
          </w:p>
        </w:tc>
        <w:tc>
          <w:tcPr>
            <w:tcW w:w="1326" w:type="dxa"/>
            <w:tcBorders>
              <w:top w:val="nil"/>
              <w:left w:val="single" w:color="000000" w:sz="4" w:space="0"/>
              <w:bottom w:val="nil"/>
              <w:right w:val="nil"/>
            </w:tcBorders>
            <w:shd w:val="clear" w:color="auto" w:fill="auto"/>
            <w:noWrap/>
            <w:tcMar>
              <w:top w:w="15" w:type="dxa"/>
              <w:left w:w="15" w:type="dxa"/>
              <w:right w:w="15" w:type="dxa"/>
            </w:tcMar>
            <w:vAlign w:val="center"/>
          </w:tcPr>
          <w:p>
            <w:pPr>
              <w:widowControl/>
              <w:spacing w:line="320" w:lineRule="exact"/>
              <w:jc w:val="right"/>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-9.4</w:t>
            </w:r>
          </w:p>
        </w:tc>
      </w:tr>
      <w:tr>
        <w:tblPrEx>
          <w:tblCellMar>
            <w:top w:w="0" w:type="dxa"/>
            <w:left w:w="0" w:type="dxa"/>
            <w:bottom w:w="0" w:type="dxa"/>
            <w:right w:w="0" w:type="dxa"/>
          </w:tblCellMar>
        </w:tblPrEx>
        <w:trPr>
          <w:trHeight w:val="360" w:hRule="atLeast"/>
          <w:jc w:val="center"/>
        </w:trPr>
        <w:tc>
          <w:tcPr>
            <w:tcW w:w="2694" w:type="dxa"/>
            <w:vMerge w:val="restart"/>
            <w:tcBorders>
              <w:top w:val="nil"/>
              <w:left w:val="nil"/>
              <w:bottom w:val="nil"/>
              <w:right w:val="nil"/>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电力、燃气及水的生产和供应业</w:t>
            </w:r>
          </w:p>
        </w:tc>
        <w:tc>
          <w:tcPr>
            <w:tcW w:w="1323" w:type="dxa"/>
            <w:vMerge w:val="restar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20" w:lineRule="exact"/>
              <w:jc w:val="right"/>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43.4</w:t>
            </w:r>
          </w:p>
        </w:tc>
        <w:tc>
          <w:tcPr>
            <w:tcW w:w="3217" w:type="dxa"/>
            <w:tcBorders>
              <w:top w:val="nil"/>
              <w:left w:val="nil"/>
              <w:bottom w:val="nil"/>
              <w:right w:val="nil"/>
            </w:tcBorders>
            <w:shd w:val="clear" w:color="auto" w:fill="auto"/>
            <w:noWrap/>
            <w:tcMar>
              <w:top w:w="15" w:type="dxa"/>
              <w:left w:w="15" w:type="dxa"/>
              <w:right w:w="15" w:type="dxa"/>
            </w:tcMar>
            <w:vAlign w:val="center"/>
          </w:tcPr>
          <w:p>
            <w:pPr>
              <w:widowControl/>
              <w:spacing w:line="3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科学研究和技术服务业</w:t>
            </w:r>
          </w:p>
        </w:tc>
        <w:tc>
          <w:tcPr>
            <w:tcW w:w="1326" w:type="dxa"/>
            <w:tcBorders>
              <w:top w:val="nil"/>
              <w:left w:val="single" w:color="000000" w:sz="4" w:space="0"/>
              <w:bottom w:val="nil"/>
              <w:right w:val="nil"/>
            </w:tcBorders>
            <w:shd w:val="clear" w:color="auto" w:fill="auto"/>
            <w:noWrap/>
            <w:tcMar>
              <w:top w:w="15" w:type="dxa"/>
              <w:left w:w="15" w:type="dxa"/>
              <w:right w:w="15" w:type="dxa"/>
            </w:tcMar>
            <w:vAlign w:val="center"/>
          </w:tcPr>
          <w:p>
            <w:pPr>
              <w:widowControl/>
              <w:spacing w:line="320" w:lineRule="exact"/>
              <w:jc w:val="right"/>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-30.4</w:t>
            </w:r>
          </w:p>
        </w:tc>
      </w:tr>
      <w:tr>
        <w:tblPrEx>
          <w:tblCellMar>
            <w:top w:w="0" w:type="dxa"/>
            <w:left w:w="0" w:type="dxa"/>
            <w:bottom w:w="0" w:type="dxa"/>
            <w:right w:w="0" w:type="dxa"/>
          </w:tblCellMar>
        </w:tblPrEx>
        <w:trPr>
          <w:trHeight w:val="689" w:hRule="atLeast"/>
          <w:jc w:val="center"/>
        </w:trPr>
        <w:tc>
          <w:tcPr>
            <w:tcW w:w="2694" w:type="dxa"/>
            <w:vMerge w:val="continue"/>
            <w:tcBorders>
              <w:top w:val="nil"/>
              <w:left w:val="nil"/>
              <w:bottom w:val="nil"/>
              <w:right w:val="nil"/>
            </w:tcBorders>
            <w:shd w:val="clear" w:color="auto" w:fill="auto"/>
            <w:tcMar>
              <w:top w:w="15" w:type="dxa"/>
              <w:left w:w="15" w:type="dxa"/>
              <w:right w:w="15" w:type="dxa"/>
            </w:tcMar>
            <w:vAlign w:val="center"/>
          </w:tcPr>
          <w:p>
            <w:pPr>
              <w:spacing w:line="320" w:lineRule="exact"/>
              <w:jc w:val="left"/>
              <w:rPr>
                <w:rFonts w:ascii="宋体" w:hAnsi="宋体" w:eastAsia="宋体" w:cs="宋体"/>
                <w:color w:val="000000" w:themeColor="text1"/>
                <w:sz w:val="24"/>
                <w14:textFill>
                  <w14:solidFill>
                    <w14:schemeClr w14:val="tx1"/>
                  </w14:solidFill>
                </w14:textFill>
              </w:rPr>
            </w:pPr>
          </w:p>
        </w:tc>
        <w:tc>
          <w:tcPr>
            <w:tcW w:w="1323"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320" w:lineRule="exact"/>
              <w:jc w:val="right"/>
              <w:rPr>
                <w:rFonts w:ascii="宋体" w:hAnsi="宋体" w:eastAsia="宋体" w:cs="宋体"/>
                <w:color w:val="000000" w:themeColor="text1"/>
                <w:sz w:val="24"/>
                <w14:textFill>
                  <w14:solidFill>
                    <w14:schemeClr w14:val="tx1"/>
                  </w14:solidFill>
                </w14:textFill>
              </w:rPr>
            </w:pPr>
          </w:p>
        </w:tc>
        <w:tc>
          <w:tcPr>
            <w:tcW w:w="3217" w:type="dxa"/>
            <w:tcBorders>
              <w:top w:val="nil"/>
              <w:left w:val="nil"/>
              <w:bottom w:val="nil"/>
              <w:right w:val="nil"/>
            </w:tcBorders>
            <w:shd w:val="clear" w:color="auto" w:fill="auto"/>
            <w:noWrap/>
            <w:tcMar>
              <w:top w:w="15" w:type="dxa"/>
              <w:left w:w="15" w:type="dxa"/>
              <w:right w:w="15" w:type="dxa"/>
            </w:tcMar>
            <w:vAlign w:val="center"/>
          </w:tcPr>
          <w:p>
            <w:pPr>
              <w:widowControl/>
              <w:spacing w:line="3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水利、环境和公共设施管理业</w:t>
            </w:r>
          </w:p>
        </w:tc>
        <w:tc>
          <w:tcPr>
            <w:tcW w:w="1326" w:type="dxa"/>
            <w:tcBorders>
              <w:top w:val="nil"/>
              <w:left w:val="single" w:color="000000" w:sz="4" w:space="0"/>
              <w:bottom w:val="nil"/>
              <w:right w:val="nil"/>
            </w:tcBorders>
            <w:shd w:val="clear" w:color="auto" w:fill="auto"/>
            <w:noWrap/>
            <w:tcMar>
              <w:top w:w="15" w:type="dxa"/>
              <w:left w:w="15" w:type="dxa"/>
              <w:right w:w="15" w:type="dxa"/>
            </w:tcMar>
            <w:vAlign w:val="center"/>
          </w:tcPr>
          <w:p>
            <w:pPr>
              <w:widowControl/>
              <w:spacing w:line="320" w:lineRule="exact"/>
              <w:jc w:val="right"/>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6</w:t>
            </w:r>
            <w:r>
              <w:rPr>
                <w:rFonts w:hint="eastAsia" w:ascii="宋体" w:hAnsi="宋体" w:eastAsia="宋体" w:cs="宋体"/>
                <w:color w:val="000000" w:themeColor="text1"/>
                <w:kern w:val="0"/>
                <w:sz w:val="24"/>
                <w:lang w:val="en-US" w:eastAsia="zh-CN" w:bidi="ar"/>
                <w14:textFill>
                  <w14:solidFill>
                    <w14:schemeClr w14:val="tx1"/>
                  </w14:solidFill>
                </w14:textFill>
              </w:rPr>
              <w:t>2.6</w:t>
            </w:r>
          </w:p>
        </w:tc>
      </w:tr>
      <w:tr>
        <w:tblPrEx>
          <w:tblCellMar>
            <w:top w:w="0" w:type="dxa"/>
            <w:left w:w="0" w:type="dxa"/>
            <w:bottom w:w="0" w:type="dxa"/>
            <w:right w:w="0" w:type="dxa"/>
          </w:tblCellMar>
        </w:tblPrEx>
        <w:trPr>
          <w:trHeight w:val="360" w:hRule="atLeast"/>
          <w:jc w:val="center"/>
        </w:trPr>
        <w:tc>
          <w:tcPr>
            <w:tcW w:w="2694" w:type="dxa"/>
            <w:tcBorders>
              <w:top w:val="nil"/>
              <w:left w:val="nil"/>
              <w:bottom w:val="nil"/>
              <w:right w:val="nil"/>
            </w:tcBorders>
            <w:shd w:val="clear" w:color="auto" w:fill="auto"/>
            <w:noWrap/>
            <w:tcMar>
              <w:top w:w="15" w:type="dxa"/>
              <w:left w:w="15" w:type="dxa"/>
              <w:right w:w="15" w:type="dxa"/>
            </w:tcMar>
            <w:vAlign w:val="center"/>
          </w:tcPr>
          <w:p>
            <w:pPr>
              <w:widowControl/>
              <w:spacing w:line="3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建筑业</w:t>
            </w:r>
          </w:p>
        </w:tc>
        <w:tc>
          <w:tcPr>
            <w:tcW w:w="1323"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20" w:lineRule="exact"/>
              <w:jc w:val="right"/>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-100</w:t>
            </w:r>
          </w:p>
        </w:tc>
        <w:tc>
          <w:tcPr>
            <w:tcW w:w="3217" w:type="dxa"/>
            <w:tcBorders>
              <w:top w:val="nil"/>
              <w:left w:val="nil"/>
              <w:bottom w:val="nil"/>
              <w:right w:val="nil"/>
            </w:tcBorders>
            <w:shd w:val="clear" w:color="auto" w:fill="auto"/>
            <w:noWrap/>
            <w:tcMar>
              <w:top w:w="15" w:type="dxa"/>
              <w:left w:w="15" w:type="dxa"/>
              <w:right w:w="15" w:type="dxa"/>
            </w:tcMar>
            <w:vAlign w:val="center"/>
          </w:tcPr>
          <w:p>
            <w:pPr>
              <w:widowControl/>
              <w:spacing w:line="3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居民服务和其他服务业</w:t>
            </w:r>
          </w:p>
        </w:tc>
        <w:tc>
          <w:tcPr>
            <w:tcW w:w="1326" w:type="dxa"/>
            <w:tcBorders>
              <w:top w:val="nil"/>
              <w:left w:val="single" w:color="000000" w:sz="4" w:space="0"/>
              <w:bottom w:val="nil"/>
              <w:right w:val="nil"/>
            </w:tcBorders>
            <w:shd w:val="clear" w:color="auto" w:fill="auto"/>
            <w:noWrap/>
            <w:tcMar>
              <w:top w:w="15" w:type="dxa"/>
              <w:left w:w="15" w:type="dxa"/>
              <w:right w:w="15" w:type="dxa"/>
            </w:tcMar>
            <w:vAlign w:val="center"/>
          </w:tcPr>
          <w:p>
            <w:pPr>
              <w:widowControl/>
              <w:spacing w:line="320" w:lineRule="exact"/>
              <w:jc w:val="righ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w:t>
            </w:r>
          </w:p>
        </w:tc>
      </w:tr>
      <w:tr>
        <w:tblPrEx>
          <w:tblCellMar>
            <w:top w:w="0" w:type="dxa"/>
            <w:left w:w="0" w:type="dxa"/>
            <w:bottom w:w="0" w:type="dxa"/>
            <w:right w:w="0" w:type="dxa"/>
          </w:tblCellMar>
        </w:tblPrEx>
        <w:trPr>
          <w:trHeight w:val="360" w:hRule="atLeast"/>
          <w:jc w:val="center"/>
        </w:trPr>
        <w:tc>
          <w:tcPr>
            <w:tcW w:w="2694" w:type="dxa"/>
            <w:vMerge w:val="restart"/>
            <w:tcBorders>
              <w:top w:val="nil"/>
              <w:left w:val="nil"/>
              <w:bottom w:val="nil"/>
              <w:right w:val="nil"/>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交通运输、仓储和邮政业</w:t>
            </w:r>
          </w:p>
        </w:tc>
        <w:tc>
          <w:tcPr>
            <w:tcW w:w="1323" w:type="dxa"/>
            <w:vMerge w:val="restar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20" w:lineRule="exact"/>
              <w:jc w:val="right"/>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-12.3</w:t>
            </w:r>
          </w:p>
        </w:tc>
        <w:tc>
          <w:tcPr>
            <w:tcW w:w="3217" w:type="dxa"/>
            <w:tcBorders>
              <w:top w:val="nil"/>
              <w:left w:val="nil"/>
              <w:bottom w:val="nil"/>
              <w:right w:val="nil"/>
            </w:tcBorders>
            <w:shd w:val="clear" w:color="auto" w:fill="auto"/>
            <w:noWrap/>
            <w:tcMar>
              <w:top w:w="15" w:type="dxa"/>
              <w:left w:w="15" w:type="dxa"/>
              <w:right w:w="15" w:type="dxa"/>
            </w:tcMar>
            <w:vAlign w:val="center"/>
          </w:tcPr>
          <w:p>
            <w:pPr>
              <w:widowControl/>
              <w:spacing w:line="3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教育</w:t>
            </w:r>
          </w:p>
        </w:tc>
        <w:tc>
          <w:tcPr>
            <w:tcW w:w="1326" w:type="dxa"/>
            <w:tcBorders>
              <w:top w:val="nil"/>
              <w:left w:val="single" w:color="000000" w:sz="4" w:space="0"/>
              <w:bottom w:val="nil"/>
              <w:right w:val="nil"/>
            </w:tcBorders>
            <w:shd w:val="clear" w:color="auto" w:fill="auto"/>
            <w:noWrap/>
            <w:tcMar>
              <w:top w:w="15" w:type="dxa"/>
              <w:left w:w="15" w:type="dxa"/>
              <w:right w:w="15" w:type="dxa"/>
            </w:tcMar>
            <w:vAlign w:val="center"/>
          </w:tcPr>
          <w:p>
            <w:pPr>
              <w:widowControl/>
              <w:spacing w:line="320" w:lineRule="exact"/>
              <w:jc w:val="right"/>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3.4</w:t>
            </w:r>
          </w:p>
        </w:tc>
      </w:tr>
      <w:tr>
        <w:tblPrEx>
          <w:tblCellMar>
            <w:top w:w="0" w:type="dxa"/>
            <w:left w:w="0" w:type="dxa"/>
            <w:bottom w:w="0" w:type="dxa"/>
            <w:right w:w="0" w:type="dxa"/>
          </w:tblCellMar>
        </w:tblPrEx>
        <w:trPr>
          <w:trHeight w:val="360" w:hRule="atLeast"/>
          <w:jc w:val="center"/>
        </w:trPr>
        <w:tc>
          <w:tcPr>
            <w:tcW w:w="2694" w:type="dxa"/>
            <w:vMerge w:val="continue"/>
            <w:tcBorders>
              <w:top w:val="nil"/>
              <w:left w:val="nil"/>
              <w:bottom w:val="nil"/>
              <w:right w:val="nil"/>
            </w:tcBorders>
            <w:shd w:val="clear" w:color="auto" w:fill="auto"/>
            <w:tcMar>
              <w:top w:w="15" w:type="dxa"/>
              <w:left w:w="15" w:type="dxa"/>
              <w:right w:w="15" w:type="dxa"/>
            </w:tcMar>
            <w:vAlign w:val="center"/>
          </w:tcPr>
          <w:p>
            <w:pPr>
              <w:spacing w:line="320" w:lineRule="exact"/>
              <w:jc w:val="left"/>
              <w:rPr>
                <w:rFonts w:ascii="宋体" w:hAnsi="宋体" w:eastAsia="宋体" w:cs="宋体"/>
                <w:color w:val="000000" w:themeColor="text1"/>
                <w:sz w:val="24"/>
                <w14:textFill>
                  <w14:solidFill>
                    <w14:schemeClr w14:val="tx1"/>
                  </w14:solidFill>
                </w14:textFill>
              </w:rPr>
            </w:pPr>
          </w:p>
        </w:tc>
        <w:tc>
          <w:tcPr>
            <w:tcW w:w="1323"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320" w:lineRule="exact"/>
              <w:jc w:val="right"/>
              <w:rPr>
                <w:rFonts w:ascii="宋体" w:hAnsi="宋体" w:eastAsia="宋体" w:cs="宋体"/>
                <w:color w:val="000000" w:themeColor="text1"/>
                <w:sz w:val="24"/>
                <w14:textFill>
                  <w14:solidFill>
                    <w14:schemeClr w14:val="tx1"/>
                  </w14:solidFill>
                </w14:textFill>
              </w:rPr>
            </w:pPr>
          </w:p>
        </w:tc>
        <w:tc>
          <w:tcPr>
            <w:tcW w:w="3217" w:type="dxa"/>
            <w:tcBorders>
              <w:top w:val="nil"/>
              <w:left w:val="nil"/>
              <w:bottom w:val="nil"/>
              <w:right w:val="nil"/>
            </w:tcBorders>
            <w:shd w:val="clear" w:color="auto" w:fill="auto"/>
            <w:noWrap/>
            <w:tcMar>
              <w:top w:w="15" w:type="dxa"/>
              <w:left w:w="15" w:type="dxa"/>
              <w:right w:w="15" w:type="dxa"/>
            </w:tcMar>
            <w:vAlign w:val="center"/>
          </w:tcPr>
          <w:p>
            <w:pPr>
              <w:widowControl/>
              <w:spacing w:line="3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卫生和社会工作</w:t>
            </w:r>
          </w:p>
        </w:tc>
        <w:tc>
          <w:tcPr>
            <w:tcW w:w="1326" w:type="dxa"/>
            <w:tcBorders>
              <w:top w:val="nil"/>
              <w:left w:val="single" w:color="000000" w:sz="4" w:space="0"/>
              <w:bottom w:val="nil"/>
              <w:right w:val="nil"/>
            </w:tcBorders>
            <w:shd w:val="clear" w:color="auto" w:fill="auto"/>
            <w:noWrap/>
            <w:tcMar>
              <w:top w:w="15" w:type="dxa"/>
              <w:left w:w="15" w:type="dxa"/>
              <w:right w:w="15" w:type="dxa"/>
            </w:tcMar>
            <w:vAlign w:val="center"/>
          </w:tcPr>
          <w:p>
            <w:pPr>
              <w:widowControl/>
              <w:spacing w:line="320" w:lineRule="exact"/>
              <w:jc w:val="right"/>
              <w:textAlignment w:val="center"/>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2</w:t>
            </w:r>
            <w:r>
              <w:rPr>
                <w:rFonts w:hint="eastAsia" w:ascii="宋体" w:hAnsi="宋体" w:eastAsia="宋体" w:cs="宋体"/>
                <w:color w:val="000000" w:themeColor="text1"/>
                <w:kern w:val="0"/>
                <w:sz w:val="24"/>
                <w:lang w:val="en-US" w:eastAsia="zh-CN" w:bidi="ar"/>
                <w14:textFill>
                  <w14:solidFill>
                    <w14:schemeClr w14:val="tx1"/>
                  </w14:solidFill>
                </w14:textFill>
              </w:rPr>
              <w:t>1</w:t>
            </w:r>
            <w:r>
              <w:rPr>
                <w:rFonts w:ascii="宋体" w:hAnsi="宋体" w:eastAsia="宋体" w:cs="宋体"/>
                <w:color w:val="000000" w:themeColor="text1"/>
                <w:kern w:val="0"/>
                <w:sz w:val="24"/>
                <w:lang w:bidi="ar"/>
                <w14:textFill>
                  <w14:solidFill>
                    <w14:schemeClr w14:val="tx1"/>
                  </w14:solidFill>
                </w14:textFill>
              </w:rPr>
              <w:t>.2</w:t>
            </w:r>
          </w:p>
        </w:tc>
      </w:tr>
      <w:tr>
        <w:tblPrEx>
          <w:tblCellMar>
            <w:top w:w="0" w:type="dxa"/>
            <w:left w:w="0" w:type="dxa"/>
            <w:bottom w:w="0" w:type="dxa"/>
            <w:right w:w="0" w:type="dxa"/>
          </w:tblCellMar>
        </w:tblPrEx>
        <w:trPr>
          <w:trHeight w:val="360" w:hRule="atLeast"/>
          <w:jc w:val="center"/>
        </w:trPr>
        <w:tc>
          <w:tcPr>
            <w:tcW w:w="2694" w:type="dxa"/>
            <w:vMerge w:val="restart"/>
            <w:tcBorders>
              <w:top w:val="nil"/>
              <w:left w:val="nil"/>
              <w:bottom w:val="nil"/>
              <w:right w:val="nil"/>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信息传输、计算机服务和软件业</w:t>
            </w:r>
          </w:p>
        </w:tc>
        <w:tc>
          <w:tcPr>
            <w:tcW w:w="1323" w:type="dxa"/>
            <w:vMerge w:val="restar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20" w:lineRule="exact"/>
              <w:jc w:val="right"/>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-23.4</w:t>
            </w:r>
          </w:p>
        </w:tc>
        <w:tc>
          <w:tcPr>
            <w:tcW w:w="3217" w:type="dxa"/>
            <w:tcBorders>
              <w:top w:val="nil"/>
              <w:left w:val="nil"/>
              <w:bottom w:val="nil"/>
              <w:right w:val="nil"/>
            </w:tcBorders>
            <w:shd w:val="clear" w:color="auto" w:fill="auto"/>
            <w:noWrap/>
            <w:tcMar>
              <w:top w:w="15" w:type="dxa"/>
              <w:left w:w="15" w:type="dxa"/>
              <w:right w:w="15" w:type="dxa"/>
            </w:tcMar>
            <w:vAlign w:val="center"/>
          </w:tcPr>
          <w:p>
            <w:pPr>
              <w:widowControl/>
              <w:spacing w:line="3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文化、体育和娱乐业</w:t>
            </w:r>
          </w:p>
        </w:tc>
        <w:tc>
          <w:tcPr>
            <w:tcW w:w="1326" w:type="dxa"/>
            <w:tcBorders>
              <w:top w:val="nil"/>
              <w:left w:val="single" w:color="000000" w:sz="4" w:space="0"/>
              <w:bottom w:val="nil"/>
              <w:right w:val="nil"/>
            </w:tcBorders>
            <w:shd w:val="clear" w:color="auto" w:fill="auto"/>
            <w:noWrap/>
            <w:tcMar>
              <w:top w:w="15" w:type="dxa"/>
              <w:left w:w="15" w:type="dxa"/>
              <w:right w:w="15" w:type="dxa"/>
            </w:tcMar>
            <w:vAlign w:val="center"/>
          </w:tcPr>
          <w:p>
            <w:pPr>
              <w:widowControl/>
              <w:spacing w:line="320" w:lineRule="exact"/>
              <w:jc w:val="right"/>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-29.9</w:t>
            </w:r>
          </w:p>
        </w:tc>
      </w:tr>
      <w:tr>
        <w:tblPrEx>
          <w:tblCellMar>
            <w:top w:w="0" w:type="dxa"/>
            <w:left w:w="0" w:type="dxa"/>
            <w:bottom w:w="0" w:type="dxa"/>
            <w:right w:w="0" w:type="dxa"/>
          </w:tblCellMar>
        </w:tblPrEx>
        <w:trPr>
          <w:trHeight w:val="360" w:hRule="atLeast"/>
          <w:jc w:val="center"/>
        </w:trPr>
        <w:tc>
          <w:tcPr>
            <w:tcW w:w="2694" w:type="dxa"/>
            <w:vMerge w:val="continue"/>
            <w:tcBorders>
              <w:top w:val="nil"/>
              <w:left w:val="nil"/>
              <w:bottom w:val="nil"/>
              <w:right w:val="nil"/>
            </w:tcBorders>
            <w:shd w:val="clear" w:color="auto" w:fill="auto"/>
            <w:tcMar>
              <w:top w:w="15" w:type="dxa"/>
              <w:left w:w="15" w:type="dxa"/>
              <w:right w:w="15" w:type="dxa"/>
            </w:tcMar>
            <w:vAlign w:val="center"/>
          </w:tcPr>
          <w:p>
            <w:pPr>
              <w:spacing w:line="320" w:lineRule="exact"/>
              <w:jc w:val="left"/>
              <w:rPr>
                <w:rFonts w:ascii="宋体" w:hAnsi="宋体" w:eastAsia="宋体" w:cs="宋体"/>
                <w:color w:val="000000" w:themeColor="text1"/>
                <w:sz w:val="24"/>
                <w14:textFill>
                  <w14:solidFill>
                    <w14:schemeClr w14:val="tx1"/>
                  </w14:solidFill>
                </w14:textFill>
              </w:rPr>
            </w:pPr>
          </w:p>
        </w:tc>
        <w:tc>
          <w:tcPr>
            <w:tcW w:w="1323"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320" w:lineRule="exact"/>
              <w:jc w:val="right"/>
              <w:rPr>
                <w:rFonts w:ascii="宋体" w:hAnsi="宋体" w:eastAsia="宋体" w:cs="宋体"/>
                <w:color w:val="000000" w:themeColor="text1"/>
                <w:sz w:val="24"/>
                <w14:textFill>
                  <w14:solidFill>
                    <w14:schemeClr w14:val="tx1"/>
                  </w14:solidFill>
                </w14:textFill>
              </w:rPr>
            </w:pPr>
          </w:p>
        </w:tc>
        <w:tc>
          <w:tcPr>
            <w:tcW w:w="3217" w:type="dxa"/>
            <w:tcBorders>
              <w:top w:val="nil"/>
              <w:left w:val="nil"/>
              <w:bottom w:val="nil"/>
              <w:right w:val="nil"/>
            </w:tcBorders>
            <w:shd w:val="clear" w:color="auto" w:fill="auto"/>
            <w:noWrap/>
            <w:tcMar>
              <w:top w:w="15" w:type="dxa"/>
              <w:left w:w="15" w:type="dxa"/>
              <w:right w:w="15" w:type="dxa"/>
            </w:tcMar>
            <w:vAlign w:val="center"/>
          </w:tcPr>
          <w:p>
            <w:pPr>
              <w:widowControl/>
              <w:spacing w:line="3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公共管理和社会组织</w:t>
            </w:r>
          </w:p>
        </w:tc>
        <w:tc>
          <w:tcPr>
            <w:tcW w:w="1326" w:type="dxa"/>
            <w:tcBorders>
              <w:top w:val="nil"/>
              <w:left w:val="single" w:color="000000" w:sz="4" w:space="0"/>
              <w:bottom w:val="nil"/>
              <w:right w:val="nil"/>
            </w:tcBorders>
            <w:shd w:val="clear" w:color="auto" w:fill="auto"/>
            <w:noWrap/>
            <w:tcMar>
              <w:top w:w="15" w:type="dxa"/>
              <w:left w:w="15" w:type="dxa"/>
              <w:right w:w="15" w:type="dxa"/>
            </w:tcMar>
            <w:vAlign w:val="center"/>
          </w:tcPr>
          <w:p>
            <w:pPr>
              <w:widowControl/>
              <w:spacing w:line="320" w:lineRule="exact"/>
              <w:jc w:val="righ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w:t>
            </w:r>
          </w:p>
        </w:tc>
      </w:tr>
      <w:tr>
        <w:tblPrEx>
          <w:tblCellMar>
            <w:top w:w="0" w:type="dxa"/>
            <w:left w:w="0" w:type="dxa"/>
            <w:bottom w:w="0" w:type="dxa"/>
            <w:right w:w="0" w:type="dxa"/>
          </w:tblCellMar>
        </w:tblPrEx>
        <w:trPr>
          <w:trHeight w:val="423" w:hRule="atLeast"/>
          <w:jc w:val="center"/>
        </w:trPr>
        <w:tc>
          <w:tcPr>
            <w:tcW w:w="2694" w:type="dxa"/>
            <w:tcBorders>
              <w:top w:val="nil"/>
              <w:left w:val="nil"/>
              <w:bottom w:val="single" w:color="auto" w:sz="12" w:space="0"/>
              <w:right w:val="nil"/>
            </w:tcBorders>
            <w:shd w:val="clear" w:color="auto" w:fill="auto"/>
            <w:noWrap/>
            <w:tcMar>
              <w:top w:w="15" w:type="dxa"/>
              <w:left w:w="15" w:type="dxa"/>
              <w:right w:w="15" w:type="dxa"/>
            </w:tcMar>
            <w:vAlign w:val="center"/>
          </w:tcPr>
          <w:p>
            <w:pPr>
              <w:widowControl/>
              <w:spacing w:line="3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批发和零售业</w:t>
            </w:r>
          </w:p>
        </w:tc>
        <w:tc>
          <w:tcPr>
            <w:tcW w:w="1323" w:type="dxa"/>
            <w:tcBorders>
              <w:top w:val="nil"/>
              <w:left w:val="single" w:color="000000" w:sz="4" w:space="0"/>
              <w:bottom w:val="single" w:color="auto" w:sz="12" w:space="0"/>
              <w:right w:val="single" w:color="000000" w:sz="4" w:space="0"/>
            </w:tcBorders>
            <w:shd w:val="clear" w:color="auto" w:fill="auto"/>
            <w:noWrap/>
            <w:tcMar>
              <w:top w:w="15" w:type="dxa"/>
              <w:left w:w="15" w:type="dxa"/>
              <w:right w:w="15" w:type="dxa"/>
            </w:tcMar>
            <w:vAlign w:val="center"/>
          </w:tcPr>
          <w:p>
            <w:pPr>
              <w:widowControl/>
              <w:spacing w:line="320" w:lineRule="exact"/>
              <w:jc w:val="right"/>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141.9</w:t>
            </w:r>
          </w:p>
        </w:tc>
        <w:tc>
          <w:tcPr>
            <w:tcW w:w="3217" w:type="dxa"/>
            <w:tcBorders>
              <w:top w:val="nil"/>
              <w:left w:val="nil"/>
              <w:bottom w:val="single" w:color="auto" w:sz="12" w:space="0"/>
              <w:right w:val="nil"/>
            </w:tcBorders>
            <w:shd w:val="clear" w:color="auto" w:fill="auto"/>
            <w:noWrap/>
            <w:tcMar>
              <w:top w:w="15" w:type="dxa"/>
              <w:left w:w="15" w:type="dxa"/>
              <w:right w:w="15" w:type="dxa"/>
            </w:tcMar>
            <w:vAlign w:val="center"/>
          </w:tcPr>
          <w:p>
            <w:pPr>
              <w:widowControl/>
              <w:spacing w:line="3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国际组织</w:t>
            </w:r>
          </w:p>
        </w:tc>
        <w:tc>
          <w:tcPr>
            <w:tcW w:w="1326" w:type="dxa"/>
            <w:tcBorders>
              <w:top w:val="nil"/>
              <w:left w:val="single" w:color="000000" w:sz="4" w:space="0"/>
              <w:bottom w:val="single" w:color="auto" w:sz="12" w:space="0"/>
              <w:right w:val="nil"/>
            </w:tcBorders>
            <w:shd w:val="clear" w:color="auto" w:fill="auto"/>
            <w:noWrap/>
            <w:tcMar>
              <w:top w:w="15" w:type="dxa"/>
              <w:left w:w="15" w:type="dxa"/>
              <w:right w:w="15" w:type="dxa"/>
            </w:tcMar>
            <w:vAlign w:val="center"/>
          </w:tcPr>
          <w:p>
            <w:pPr>
              <w:widowControl/>
              <w:spacing w:line="320" w:lineRule="exact"/>
              <w:jc w:val="righ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w:t>
            </w:r>
          </w:p>
        </w:tc>
      </w:tr>
    </w:tbl>
    <w:p>
      <w:pPr>
        <w:spacing w:line="520" w:lineRule="exact"/>
        <w:ind w:firstLine="672" w:firstLineChars="200"/>
        <w:jc w:val="left"/>
        <w:rPr>
          <w:rStyle w:val="13"/>
          <w:rFonts w:ascii="黑体" w:hAnsi="黑体" w:eastAsia="黑体" w:cs="黑体"/>
          <w:b w:val="0"/>
          <w:color w:val="000000" w:themeColor="text1"/>
          <w:spacing w:val="8"/>
          <w:sz w:val="32"/>
          <w:szCs w:val="32"/>
          <w14:textFill>
            <w14:solidFill>
              <w14:schemeClr w14:val="tx1"/>
            </w14:solidFill>
          </w14:textFill>
        </w:rPr>
      </w:pPr>
      <w:r>
        <w:rPr>
          <w:rFonts w:hint="eastAsia" w:ascii="黑体" w:hAnsi="黑体" w:eastAsia="黑体" w:cs="黑体"/>
          <w:color w:val="000000" w:themeColor="text1"/>
          <w:spacing w:val="8"/>
          <w:sz w:val="32"/>
          <w:szCs w:val="32"/>
          <w:shd w:val="clear" w:color="auto" w:fill="FFFFFF"/>
          <w14:textFill>
            <w14:solidFill>
              <w14:schemeClr w14:val="tx1"/>
            </w14:solidFill>
          </w14:textFill>
        </w:rPr>
        <w:t>七、</w:t>
      </w:r>
      <w:r>
        <w:rPr>
          <w:rStyle w:val="13"/>
          <w:rFonts w:hint="eastAsia" w:ascii="黑体" w:hAnsi="黑体" w:eastAsia="黑体" w:cs="黑体"/>
          <w:b w:val="0"/>
          <w:color w:val="000000" w:themeColor="text1"/>
          <w:spacing w:val="8"/>
          <w:sz w:val="32"/>
          <w:szCs w:val="32"/>
          <w14:textFill>
            <w14:solidFill>
              <w14:schemeClr w14:val="tx1"/>
            </w14:solidFill>
          </w14:textFill>
        </w:rPr>
        <w:t>对外经济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全年全市货物进出口总额</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5.36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亿</w:t>
      </w:r>
      <w:r>
        <w:rPr>
          <w:rFonts w:hint="eastAsia" w:ascii="仿宋_GB2312" w:hAnsi="仿宋_GB2312" w:eastAsia="仿宋_GB2312" w:cs="仿宋_GB2312"/>
          <w:color w:val="000000" w:themeColor="text1"/>
          <w:sz w:val="32"/>
          <w:szCs w:val="32"/>
          <w14:textFill>
            <w14:solidFill>
              <w14:schemeClr w14:val="tx1"/>
            </w14:solidFill>
          </w14:textFill>
        </w:rPr>
        <w:t>元，比上年增长45.6%。其中，出口0.35亿元，增长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41.4</w:t>
      </w:r>
      <w:r>
        <w:rPr>
          <w:rFonts w:hint="eastAsia" w:ascii="仿宋_GB2312" w:hAnsi="仿宋_GB2312" w:eastAsia="仿宋_GB2312" w:cs="仿宋_GB2312"/>
          <w:color w:val="000000" w:themeColor="text1"/>
          <w:sz w:val="32"/>
          <w:szCs w:val="32"/>
          <w14:textFill>
            <w14:solidFill>
              <w14:schemeClr w14:val="tx1"/>
            </w14:solidFill>
          </w14:textFill>
        </w:rPr>
        <w:t>%；进口5.0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亿</w:t>
      </w:r>
      <w:r>
        <w:rPr>
          <w:rFonts w:hint="eastAsia" w:ascii="仿宋_GB2312" w:hAnsi="仿宋_GB2312" w:eastAsia="仿宋_GB2312" w:cs="仿宋_GB2312"/>
          <w:color w:val="000000" w:themeColor="text1"/>
          <w:sz w:val="32"/>
          <w:szCs w:val="32"/>
          <w14:textFill>
            <w14:solidFill>
              <w14:schemeClr w14:val="tx1"/>
            </w14:solidFill>
          </w14:textFill>
        </w:rPr>
        <w:t>元，增长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45.9</w:t>
      </w:r>
      <w:r>
        <w:rPr>
          <w:rFonts w:hint="eastAsia" w:ascii="仿宋_GB2312" w:hAnsi="仿宋_GB2312" w:eastAsia="仿宋_GB2312" w:cs="仿宋_GB2312"/>
          <w:color w:val="000000" w:themeColor="text1"/>
          <w:sz w:val="32"/>
          <w:szCs w:val="32"/>
          <w14:textFill>
            <w14:solidFill>
              <w14:schemeClr w14:val="tx1"/>
            </w14:solidFill>
          </w14:textFill>
        </w:rPr>
        <w:t>%。货物进出口逆差4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.65亿元</w:t>
      </w:r>
      <w:r>
        <w:rPr>
          <w:rFonts w:hint="eastAsia" w:ascii="仿宋_GB2312" w:hAnsi="仿宋_GB2312" w:eastAsia="仿宋_GB2312" w:cs="仿宋_GB2312"/>
          <w:color w:val="000000" w:themeColor="text1"/>
          <w:sz w:val="32"/>
          <w:szCs w:val="32"/>
          <w14:textFill>
            <w14:solidFill>
              <w14:schemeClr w14:val="tx1"/>
            </w14:solidFill>
          </w14:textFill>
        </w:rPr>
        <w:t>。全年外商直接投资新设立企业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w:t>
      </w:r>
      <w:r>
        <w:rPr>
          <w:rFonts w:hint="eastAsia" w:ascii="仿宋_GB2312" w:hAnsi="仿宋_GB2312" w:eastAsia="仿宋_GB2312" w:cs="仿宋_GB2312"/>
          <w:color w:val="000000" w:themeColor="text1"/>
          <w:sz w:val="32"/>
          <w:szCs w:val="32"/>
          <w14:textFill>
            <w14:solidFill>
              <w14:schemeClr w14:val="tx1"/>
            </w14:solidFill>
          </w14:textFill>
        </w:rPr>
        <w:t>家，实际使用外商直接投资金额2643.87万美元。</w:t>
      </w:r>
    </w:p>
    <w:p>
      <w:pPr>
        <w:spacing w:line="520" w:lineRule="exact"/>
        <w:ind w:firstLine="672" w:firstLineChars="200"/>
        <w:jc w:val="left"/>
        <w:rPr>
          <w:rStyle w:val="13"/>
          <w:rFonts w:ascii="黑体" w:hAnsi="黑体" w:eastAsia="黑体" w:cs="黑体"/>
          <w:b w:val="0"/>
          <w:color w:val="000000" w:themeColor="text1"/>
          <w:spacing w:val="8"/>
          <w:sz w:val="32"/>
          <w:szCs w:val="32"/>
          <w14:textFill>
            <w14:solidFill>
              <w14:schemeClr w14:val="tx1"/>
            </w14:solidFill>
          </w14:textFill>
        </w:rPr>
      </w:pPr>
      <w:r>
        <w:rPr>
          <w:rStyle w:val="13"/>
          <w:rFonts w:hint="eastAsia" w:ascii="黑体" w:hAnsi="黑体" w:eastAsia="黑体" w:cs="黑体"/>
          <w:b w:val="0"/>
          <w:color w:val="000000" w:themeColor="text1"/>
          <w:spacing w:val="8"/>
          <w:sz w:val="32"/>
          <w:szCs w:val="32"/>
          <w14:textFill>
            <w14:solidFill>
              <w14:schemeClr w14:val="tx1"/>
            </w14:solidFill>
          </w14:textFill>
        </w:rPr>
        <w:t>八、财政金融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全年全市地方一般公共预算收入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10.03</w:t>
      </w:r>
      <w:r>
        <w:rPr>
          <w:rFonts w:hint="eastAsia" w:ascii="仿宋_GB2312" w:hAnsi="仿宋_GB2312" w:eastAsia="仿宋_GB2312" w:cs="仿宋_GB2312"/>
          <w:color w:val="000000" w:themeColor="text1"/>
          <w:sz w:val="32"/>
          <w:szCs w:val="32"/>
          <w14:textFill>
            <w14:solidFill>
              <w14:schemeClr w14:val="tx1"/>
            </w14:solidFill>
          </w14:textFill>
        </w:rPr>
        <w:t>亿元，比上年下降2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t>%。其中，税收收入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5.39</w:t>
      </w:r>
      <w:r>
        <w:rPr>
          <w:rFonts w:hint="eastAsia" w:ascii="仿宋_GB2312" w:hAnsi="仿宋_GB2312" w:eastAsia="仿宋_GB2312" w:cs="仿宋_GB2312"/>
          <w:color w:val="000000" w:themeColor="text1"/>
          <w:sz w:val="32"/>
          <w:szCs w:val="32"/>
          <w14:textFill>
            <w14:solidFill>
              <w14:schemeClr w14:val="tx1"/>
            </w14:solidFill>
          </w14:textFill>
        </w:rPr>
        <w:t>亿元，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下降34.</w:t>
      </w:r>
      <w:r>
        <w:rPr>
          <w:rFonts w:hint="eastAsia" w:ascii="仿宋_GB2312" w:hAnsi="仿宋_GB2312" w:eastAsia="仿宋_GB2312" w:cs="仿宋_GB2312"/>
          <w:color w:val="000000" w:themeColor="text1"/>
          <w:sz w:val="32"/>
          <w:szCs w:val="32"/>
          <w14:textFill>
            <w14:solidFill>
              <w14:schemeClr w14:val="tx1"/>
            </w14:solidFill>
          </w14:textFill>
        </w:rPr>
        <w:t>6%。全市地方一般公共预算支出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54.64</w:t>
      </w:r>
      <w:r>
        <w:rPr>
          <w:rFonts w:hint="eastAsia" w:ascii="仿宋_GB2312" w:hAnsi="仿宋_GB2312" w:eastAsia="仿宋_GB2312" w:cs="仿宋_GB2312"/>
          <w:color w:val="000000" w:themeColor="text1"/>
          <w:sz w:val="32"/>
          <w:szCs w:val="32"/>
          <w14:textFill>
            <w14:solidFill>
              <w14:schemeClr w14:val="tx1"/>
            </w14:solidFill>
          </w14:textFill>
        </w:rPr>
        <w:t>亿元，比上年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增长10.1</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年末全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部</w:t>
      </w:r>
      <w:r>
        <w:rPr>
          <w:rFonts w:hint="eastAsia" w:ascii="仿宋_GB2312" w:hAnsi="仿宋_GB2312" w:eastAsia="仿宋_GB2312" w:cs="仿宋_GB2312"/>
          <w:color w:val="000000" w:themeColor="text1"/>
          <w:sz w:val="32"/>
          <w:szCs w:val="32"/>
          <w14:textFill>
            <w14:solidFill>
              <w14:schemeClr w14:val="tx1"/>
            </w14:solidFill>
          </w14:textFill>
        </w:rPr>
        <w:t>金融机构本外币各项存款余额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445.33</w:t>
      </w:r>
      <w:r>
        <w:rPr>
          <w:rFonts w:hint="eastAsia" w:ascii="仿宋_GB2312" w:hAnsi="仿宋_GB2312" w:eastAsia="仿宋_GB2312" w:cs="仿宋_GB2312"/>
          <w:color w:val="000000" w:themeColor="text1"/>
          <w:sz w:val="32"/>
          <w:szCs w:val="32"/>
          <w14:textFill>
            <w14:solidFill>
              <w14:schemeClr w14:val="tx1"/>
            </w14:solidFill>
          </w14:textFill>
        </w:rPr>
        <w:t>亿元，比上年增长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w:t>
      </w:r>
      <w:r>
        <w:rPr>
          <w:rFonts w:hint="eastAsia" w:ascii="仿宋_GB2312" w:hAnsi="仿宋_GB2312" w:eastAsia="仿宋_GB2312" w:cs="仿宋_GB2312"/>
          <w:color w:val="000000" w:themeColor="text1"/>
          <w:sz w:val="32"/>
          <w:szCs w:val="32"/>
          <w14:textFill>
            <w14:solidFill>
              <w14:schemeClr w14:val="tx1"/>
            </w14:solidFill>
          </w14:textFill>
        </w:rPr>
        <w:t>%。全部金融机构本外币各项贷款余额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301.64</w:t>
      </w:r>
      <w:r>
        <w:rPr>
          <w:rFonts w:hint="eastAsia" w:ascii="仿宋_GB2312" w:hAnsi="仿宋_GB2312" w:eastAsia="仿宋_GB2312" w:cs="仿宋_GB2312"/>
          <w:color w:val="000000" w:themeColor="text1"/>
          <w:sz w:val="32"/>
          <w:szCs w:val="32"/>
          <w14:textFill>
            <w14:solidFill>
              <w14:schemeClr w14:val="tx1"/>
            </w14:solidFill>
          </w14:textFill>
        </w:rPr>
        <w:t>亿元，增长10.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%。其中，住户贷款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141.9</w:t>
      </w:r>
      <w:r>
        <w:rPr>
          <w:rFonts w:hint="eastAsia" w:ascii="仿宋_GB2312" w:hAnsi="仿宋_GB2312" w:eastAsia="仿宋_GB2312" w:cs="仿宋_GB2312"/>
          <w:color w:val="000000" w:themeColor="text1"/>
          <w:sz w:val="32"/>
          <w:szCs w:val="32"/>
          <w14:textFill>
            <w14:solidFill>
              <w14:schemeClr w14:val="tx1"/>
            </w14:solidFill>
          </w14:textFill>
        </w:rPr>
        <w:t>亿元，增长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7.7</w:t>
      </w:r>
      <w:r>
        <w:rPr>
          <w:rFonts w:hint="eastAsia" w:ascii="仿宋_GB2312" w:hAnsi="仿宋_GB2312" w:eastAsia="仿宋_GB2312" w:cs="仿宋_GB2312"/>
          <w:color w:val="000000" w:themeColor="text1"/>
          <w:sz w:val="32"/>
          <w:szCs w:val="32"/>
          <w14:textFill>
            <w14:solidFill>
              <w14:schemeClr w14:val="tx1"/>
            </w14:solidFill>
          </w14:textFill>
        </w:rPr>
        <w:t>%；非金融企业及机关团体贷款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159.41</w:t>
      </w:r>
      <w:r>
        <w:rPr>
          <w:rFonts w:hint="eastAsia" w:ascii="仿宋_GB2312" w:hAnsi="仿宋_GB2312" w:eastAsia="仿宋_GB2312" w:cs="仿宋_GB2312"/>
          <w:color w:val="000000" w:themeColor="text1"/>
          <w:sz w:val="32"/>
          <w:szCs w:val="32"/>
          <w14:textFill>
            <w14:solidFill>
              <w14:schemeClr w14:val="tx1"/>
            </w14:solidFill>
          </w14:textFill>
        </w:rPr>
        <w:t>亿元，增长1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年末全市金融机构资产总额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508.29</w:t>
      </w:r>
      <w:r>
        <w:rPr>
          <w:rFonts w:hint="eastAsia" w:ascii="仿宋_GB2312" w:hAnsi="仿宋_GB2312" w:eastAsia="仿宋_GB2312" w:cs="仿宋_GB2312"/>
          <w:color w:val="000000" w:themeColor="text1"/>
          <w:sz w:val="32"/>
          <w:szCs w:val="32"/>
          <w14:textFill>
            <w14:solidFill>
              <w14:schemeClr w14:val="tx1"/>
            </w14:solidFill>
          </w14:textFill>
        </w:rPr>
        <w:t>亿元，比上年增长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3.8</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金融机构负债总额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501.0</w:t>
      </w:r>
      <w:r>
        <w:rPr>
          <w:rFonts w:hint="eastAsia" w:ascii="仿宋_GB2312" w:hAnsi="仿宋_GB2312" w:eastAsia="仿宋_GB2312" w:cs="仿宋_GB2312"/>
          <w:color w:val="000000" w:themeColor="text1"/>
          <w:sz w:val="32"/>
          <w:szCs w:val="32"/>
          <w14:textFill>
            <w14:solidFill>
              <w14:schemeClr w14:val="tx1"/>
            </w14:solidFill>
          </w14:textFill>
        </w:rPr>
        <w:t>亿元，增长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4.6</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全年股票市价总值1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4.29</w:t>
      </w:r>
      <w:r>
        <w:rPr>
          <w:rFonts w:hint="eastAsia" w:ascii="仿宋_GB2312" w:hAnsi="仿宋_GB2312" w:eastAsia="仿宋_GB2312" w:cs="仿宋_GB2312"/>
          <w:color w:val="000000" w:themeColor="text1"/>
          <w:sz w:val="32"/>
          <w:szCs w:val="32"/>
          <w14:textFill>
            <w14:solidFill>
              <w14:schemeClr w14:val="tx1"/>
            </w14:solidFill>
          </w14:textFill>
        </w:rPr>
        <w:t>亿元，比上年增长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证券和期货交易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761.26</w:t>
      </w:r>
      <w:r>
        <w:rPr>
          <w:rFonts w:hint="eastAsia" w:ascii="仿宋_GB2312" w:hAnsi="仿宋_GB2312" w:eastAsia="仿宋_GB2312" w:cs="仿宋_GB2312"/>
          <w:color w:val="000000" w:themeColor="text1"/>
          <w:sz w:val="32"/>
          <w:szCs w:val="32"/>
          <w14:textFill>
            <w14:solidFill>
              <w14:schemeClr w14:val="tx1"/>
            </w14:solidFill>
          </w14:textFill>
        </w:rPr>
        <w:t>亿元，增长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78.8</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保险公司</w:t>
      </w:r>
      <w:r>
        <w:rPr>
          <w:rFonts w:hint="eastAsia" w:ascii="仿宋_GB2312" w:hAnsi="仿宋_GB2312" w:eastAsia="仿宋_GB2312" w:cs="仿宋_GB2312"/>
          <w:color w:val="000000" w:themeColor="text1"/>
          <w:sz w:val="32"/>
          <w:szCs w:val="32"/>
          <w14:textFill>
            <w14:solidFill>
              <w14:schemeClr w14:val="tx1"/>
            </w14:solidFill>
          </w14:textFill>
        </w:rPr>
        <w:t>原保险保费收入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4.91</w:t>
      </w:r>
      <w:r>
        <w:rPr>
          <w:rFonts w:hint="eastAsia" w:ascii="仿宋_GB2312" w:hAnsi="仿宋_GB2312" w:eastAsia="仿宋_GB2312" w:cs="仿宋_GB2312"/>
          <w:color w:val="000000" w:themeColor="text1"/>
          <w:sz w:val="32"/>
          <w:szCs w:val="32"/>
          <w14:textFill>
            <w14:solidFill>
              <w14:schemeClr w14:val="tx1"/>
            </w14:solidFill>
          </w14:textFill>
        </w:rPr>
        <w:t>亿元，比上年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增长4.1</w:t>
      </w:r>
      <w:r>
        <w:rPr>
          <w:rFonts w:hint="eastAsia" w:ascii="仿宋_GB2312" w:hAnsi="仿宋_GB2312" w:eastAsia="仿宋_GB2312" w:cs="仿宋_GB2312"/>
          <w:color w:val="000000" w:themeColor="text1"/>
          <w:sz w:val="32"/>
          <w:szCs w:val="32"/>
          <w14:textFill>
            <w14:solidFill>
              <w14:schemeClr w14:val="tx1"/>
            </w14:solidFill>
          </w14:textFill>
        </w:rPr>
        <w:t>%。其中，财产险业务收入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2.26</w:t>
      </w:r>
      <w:r>
        <w:rPr>
          <w:rFonts w:hint="eastAsia" w:ascii="仿宋_GB2312" w:hAnsi="仿宋_GB2312" w:eastAsia="仿宋_GB2312" w:cs="仿宋_GB2312"/>
          <w:color w:val="000000" w:themeColor="text1"/>
          <w:sz w:val="32"/>
          <w:szCs w:val="32"/>
          <w14:textFill>
            <w14:solidFill>
              <w14:schemeClr w14:val="tx1"/>
            </w14:solidFill>
          </w14:textFill>
        </w:rPr>
        <w:t>亿元，寿险收入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1.76</w:t>
      </w:r>
      <w:r>
        <w:rPr>
          <w:rFonts w:hint="eastAsia" w:ascii="仿宋_GB2312" w:hAnsi="仿宋_GB2312" w:eastAsia="仿宋_GB2312" w:cs="仿宋_GB2312"/>
          <w:color w:val="000000" w:themeColor="text1"/>
          <w:sz w:val="32"/>
          <w:szCs w:val="32"/>
          <w14:textFill>
            <w14:solidFill>
              <w14:schemeClr w14:val="tx1"/>
            </w14:solidFill>
          </w14:textFill>
        </w:rPr>
        <w:t>亿元，健康险和意外险业务收入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0.89</w:t>
      </w:r>
      <w:r>
        <w:rPr>
          <w:rFonts w:hint="eastAsia" w:ascii="仿宋_GB2312" w:hAnsi="仿宋_GB2312" w:eastAsia="仿宋_GB2312" w:cs="仿宋_GB2312"/>
          <w:color w:val="000000" w:themeColor="text1"/>
          <w:sz w:val="32"/>
          <w:szCs w:val="32"/>
          <w14:textFill>
            <w14:solidFill>
              <w14:schemeClr w14:val="tx1"/>
            </w14:solidFill>
          </w14:textFill>
        </w:rPr>
        <w:t>亿元。支付各类赔款及给付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1.76</w:t>
      </w:r>
      <w:r>
        <w:rPr>
          <w:rFonts w:hint="eastAsia" w:ascii="仿宋_GB2312" w:hAnsi="仿宋_GB2312" w:eastAsia="仿宋_GB2312" w:cs="仿宋_GB2312"/>
          <w:color w:val="000000" w:themeColor="text1"/>
          <w:sz w:val="32"/>
          <w:szCs w:val="32"/>
          <w14:textFill>
            <w14:solidFill>
              <w14:schemeClr w14:val="tx1"/>
            </w14:solidFill>
          </w14:textFill>
        </w:rPr>
        <w:t>亿元。其中，财产险业务赔款1.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w:t>
      </w:r>
      <w:r>
        <w:rPr>
          <w:rFonts w:hint="eastAsia" w:ascii="仿宋_GB2312" w:hAnsi="仿宋_GB2312" w:eastAsia="仿宋_GB2312" w:cs="仿宋_GB2312"/>
          <w:color w:val="000000" w:themeColor="text1"/>
          <w:sz w:val="32"/>
          <w:szCs w:val="32"/>
          <w14:textFill>
            <w14:solidFill>
              <w14:schemeClr w14:val="tx1"/>
            </w14:solidFill>
          </w14:textFill>
        </w:rPr>
        <w:t>亿元，寿险业务给付0.26亿元，健康险和意外伤害险业务赔款及给付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0.16</w:t>
      </w:r>
      <w:r>
        <w:rPr>
          <w:rFonts w:hint="eastAsia" w:ascii="仿宋_GB2312" w:hAnsi="仿宋_GB2312" w:eastAsia="仿宋_GB2312" w:cs="仿宋_GB2312"/>
          <w:color w:val="000000" w:themeColor="text1"/>
          <w:sz w:val="32"/>
          <w:szCs w:val="32"/>
          <w14:textFill>
            <w14:solidFill>
              <w14:schemeClr w14:val="tx1"/>
            </w14:solidFill>
          </w14:textFill>
        </w:rPr>
        <w:t>亿元。</w:t>
      </w:r>
    </w:p>
    <w:p>
      <w:pPr>
        <w:numPr>
          <w:ilvl w:val="0"/>
          <w:numId w:val="0"/>
        </w:numPr>
        <w:spacing w:line="520" w:lineRule="exact"/>
        <w:ind w:firstLine="672" w:firstLineChars="200"/>
        <w:jc w:val="left"/>
        <w:rPr>
          <w:rFonts w:hint="eastAsia" w:ascii="仿宋_GB2312" w:hAnsi="仿宋_GB2312" w:eastAsia="仿宋_GB2312" w:cs="仿宋_GB2312"/>
          <w:color w:val="0000FF"/>
          <w:kern w:val="2"/>
          <w:sz w:val="32"/>
          <w:szCs w:val="32"/>
          <w:shd w:val="clear" w:color="auto" w:fill="FFFFFF"/>
          <w:lang w:val="en-US" w:eastAsia="zh-CN" w:bidi="ar-SA"/>
        </w:rPr>
      </w:pPr>
      <w:r>
        <w:rPr>
          <w:rStyle w:val="13"/>
          <w:rFonts w:hint="eastAsia" w:ascii="黑体" w:hAnsi="黑体" w:eastAsia="黑体" w:cs="黑体"/>
          <w:b w:val="0"/>
          <w:color w:val="000000" w:themeColor="text1"/>
          <w:spacing w:val="8"/>
          <w:sz w:val="32"/>
          <w:szCs w:val="32"/>
          <w:lang w:val="en-US" w:eastAsia="zh-CN"/>
          <w14:textFill>
            <w14:solidFill>
              <w14:schemeClr w14:val="tx1"/>
            </w14:solidFill>
          </w14:textFill>
        </w:rPr>
        <w:t>九、</w:t>
      </w:r>
      <w:r>
        <w:rPr>
          <w:rStyle w:val="13"/>
          <w:rFonts w:hint="eastAsia" w:ascii="黑体" w:hAnsi="黑体" w:eastAsia="黑体" w:cs="黑体"/>
          <w:b w:val="0"/>
          <w:color w:val="000000" w:themeColor="text1"/>
          <w:spacing w:val="8"/>
          <w:sz w:val="32"/>
          <w:szCs w:val="32"/>
          <w14:textFill>
            <w14:solidFill>
              <w14:schemeClr w14:val="tx1"/>
            </w14:solidFill>
          </w14:textFill>
        </w:rPr>
        <w:t>居民收入和社会保障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drawing>
          <wp:anchor distT="0" distB="0" distL="114300" distR="114300" simplePos="0" relativeHeight="251660288" behindDoc="1" locked="0" layoutInCell="1" allowOverlap="1">
            <wp:simplePos x="0" y="0"/>
            <wp:positionH relativeFrom="column">
              <wp:posOffset>90805</wp:posOffset>
            </wp:positionH>
            <wp:positionV relativeFrom="paragraph">
              <wp:posOffset>1482725</wp:posOffset>
            </wp:positionV>
            <wp:extent cx="5363210" cy="2924175"/>
            <wp:effectExtent l="0" t="0" r="8890" b="0"/>
            <wp:wrapTight wrapText="bothSides">
              <wp:wrapPolygon>
                <wp:start x="0" y="0"/>
                <wp:lineTo x="0" y="21389"/>
                <wp:lineTo x="21559" y="21389"/>
                <wp:lineTo x="21559" y="0"/>
                <wp:lineTo x="0" y="0"/>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_GB2312" w:hAnsi="仿宋_GB2312" w:eastAsia="仿宋_GB2312" w:cs="仿宋_GB2312"/>
          <w:color w:val="000000" w:themeColor="text1"/>
          <w:sz w:val="32"/>
          <w:szCs w:val="32"/>
          <w14:textFill>
            <w14:solidFill>
              <w14:schemeClr w14:val="tx1"/>
            </w14:solidFill>
          </w14:textFill>
        </w:rPr>
        <w:t>全年全市居民人均可支配收入29679元，比上年增长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%。按常住地分，城镇常住居民人均可支配收入39091元，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下降1.1</w:t>
      </w:r>
      <w:r>
        <w:rPr>
          <w:rFonts w:hint="eastAsia" w:ascii="仿宋_GB2312" w:hAnsi="仿宋_GB2312" w:eastAsia="仿宋_GB2312" w:cs="仿宋_GB2312"/>
          <w:color w:val="000000" w:themeColor="text1"/>
          <w:sz w:val="32"/>
          <w:szCs w:val="32"/>
          <w14:textFill>
            <w14:solidFill>
              <w14:schemeClr w14:val="tx1"/>
            </w14:solidFill>
          </w14:textFill>
        </w:rPr>
        <w:t>%；农村常住居民人均可支配收入21108元，增长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全年全市居民人均消费支出20362元，比上年下降3.0%。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年末全市参加城镇职工基本养老保险人数12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万人，比上年增长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6.3</w:t>
      </w:r>
      <w:r>
        <w:rPr>
          <w:rFonts w:hint="eastAsia" w:ascii="仿宋_GB2312" w:hAnsi="仿宋_GB2312" w:eastAsia="仿宋_GB2312" w:cs="仿宋_GB2312"/>
          <w:color w:val="000000" w:themeColor="text1"/>
          <w:sz w:val="32"/>
          <w:szCs w:val="32"/>
          <w14:textFill>
            <w14:solidFill>
              <w14:schemeClr w14:val="tx1"/>
            </w14:solidFill>
          </w14:textFill>
        </w:rPr>
        <w:t>%。参加城乡居民基本养老保险人数22.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79</w:t>
      </w:r>
      <w:r>
        <w:rPr>
          <w:rFonts w:hint="eastAsia" w:ascii="仿宋_GB2312" w:hAnsi="仿宋_GB2312" w:eastAsia="仿宋_GB2312" w:cs="仿宋_GB2312"/>
          <w:color w:val="000000" w:themeColor="text1"/>
          <w:sz w:val="32"/>
          <w:szCs w:val="32"/>
          <w14:textFill>
            <w14:solidFill>
              <w14:schemeClr w14:val="tx1"/>
            </w14:solidFill>
          </w14:textFill>
        </w:rPr>
        <w:t>万人，增长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w:t>
      </w:r>
      <w:r>
        <w:rPr>
          <w:rFonts w:hint="eastAsia" w:ascii="仿宋_GB2312" w:hAnsi="仿宋_GB2312" w:eastAsia="仿宋_GB2312" w:cs="仿宋_GB2312"/>
          <w:color w:val="000000" w:themeColor="text1"/>
          <w:sz w:val="32"/>
          <w:szCs w:val="32"/>
          <w14:textFill>
            <w14:solidFill>
              <w14:schemeClr w14:val="tx1"/>
            </w14:solidFill>
          </w14:textFill>
        </w:rPr>
        <w:t>%。参加基本医疗保险人数48.18万人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下降1.6</w:t>
      </w:r>
      <w:r>
        <w:rPr>
          <w:rFonts w:hint="eastAsia" w:ascii="仿宋_GB2312" w:hAnsi="仿宋_GB2312" w:eastAsia="仿宋_GB2312" w:cs="仿宋_GB2312"/>
          <w:color w:val="000000" w:themeColor="text1"/>
          <w:sz w:val="32"/>
          <w:szCs w:val="32"/>
          <w14:textFill>
            <w14:solidFill>
              <w14:schemeClr w14:val="tx1"/>
            </w14:solidFill>
          </w14:textFill>
        </w:rPr>
        <w:t>%。其中，参加职工基本医疗保险人数8.6万人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参加城乡居民基本医疗保险人数39.38万人。参加失业保险人数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7.3</w:t>
      </w:r>
      <w:r>
        <w:rPr>
          <w:rFonts w:hint="eastAsia" w:ascii="仿宋_GB2312" w:hAnsi="仿宋_GB2312" w:eastAsia="仿宋_GB2312" w:cs="仿宋_GB2312"/>
          <w:color w:val="000000" w:themeColor="text1"/>
          <w:sz w:val="32"/>
          <w:szCs w:val="32"/>
          <w14:textFill>
            <w14:solidFill>
              <w14:schemeClr w14:val="tx1"/>
            </w14:solidFill>
          </w14:textFill>
        </w:rPr>
        <w:t>万人，比上年增长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.5%。参加工伤保险人数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5.85</w:t>
      </w:r>
      <w:r>
        <w:rPr>
          <w:rFonts w:hint="eastAsia" w:ascii="仿宋_GB2312" w:hAnsi="仿宋_GB2312" w:eastAsia="仿宋_GB2312" w:cs="仿宋_GB2312"/>
          <w:color w:val="000000" w:themeColor="text1"/>
          <w:sz w:val="32"/>
          <w:szCs w:val="32"/>
          <w14:textFill>
            <w14:solidFill>
              <w14:schemeClr w14:val="tx1"/>
            </w14:solidFill>
          </w14:textFill>
        </w:rPr>
        <w:t>万人，增长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6.1</w:t>
      </w:r>
      <w:r>
        <w:rPr>
          <w:rFonts w:hint="eastAsia" w:ascii="仿宋_GB2312" w:hAnsi="仿宋_GB2312" w:eastAsia="仿宋_GB2312" w:cs="仿宋_GB2312"/>
          <w:color w:val="000000" w:themeColor="text1"/>
          <w:sz w:val="32"/>
          <w:szCs w:val="32"/>
          <w14:textFill>
            <w14:solidFill>
              <w14:schemeClr w14:val="tx1"/>
            </w14:solidFill>
          </w14:textFill>
        </w:rPr>
        <w:t>%。参加生育保险人数5.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61</w:t>
      </w:r>
      <w:r>
        <w:rPr>
          <w:rFonts w:hint="eastAsia" w:ascii="仿宋_GB2312" w:hAnsi="仿宋_GB2312" w:eastAsia="仿宋_GB2312" w:cs="仿宋_GB2312"/>
          <w:color w:val="000000" w:themeColor="text1"/>
          <w:sz w:val="32"/>
          <w:szCs w:val="32"/>
          <w14:textFill>
            <w14:solidFill>
              <w14:schemeClr w14:val="tx1"/>
            </w14:solidFill>
          </w14:textFill>
        </w:rPr>
        <w:t>万人，增长2.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%。年末全市共有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1312</w:t>
      </w:r>
      <w:r>
        <w:rPr>
          <w:rFonts w:hint="eastAsia" w:ascii="仿宋_GB2312" w:hAnsi="仿宋_GB2312" w:eastAsia="仿宋_GB2312" w:cs="仿宋_GB2312"/>
          <w:color w:val="000000" w:themeColor="text1"/>
          <w:sz w:val="32"/>
          <w:szCs w:val="32"/>
          <w14:textFill>
            <w14:solidFill>
              <w14:schemeClr w14:val="tx1"/>
            </w14:solidFill>
          </w14:textFill>
        </w:rPr>
        <w:t>人享受城镇居民最低生活保障，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8009</w:t>
      </w:r>
      <w:r>
        <w:rPr>
          <w:rFonts w:hint="eastAsia" w:ascii="仿宋_GB2312" w:hAnsi="仿宋_GB2312" w:eastAsia="仿宋_GB2312" w:cs="仿宋_GB2312"/>
          <w:color w:val="000000" w:themeColor="text1"/>
          <w:sz w:val="32"/>
          <w:szCs w:val="32"/>
          <w14:textFill>
            <w14:solidFill>
              <w14:schemeClr w14:val="tx1"/>
            </w14:solidFill>
          </w14:textFill>
        </w:rPr>
        <w:t>人享受农村居民最低生活保障，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2320</w:t>
      </w:r>
      <w:r>
        <w:rPr>
          <w:rFonts w:hint="eastAsia" w:ascii="仿宋_GB2312" w:hAnsi="仿宋_GB2312" w:eastAsia="仿宋_GB2312" w:cs="仿宋_GB2312"/>
          <w:color w:val="000000" w:themeColor="text1"/>
          <w:sz w:val="32"/>
          <w:szCs w:val="32"/>
          <w14:textFill>
            <w14:solidFill>
              <w14:schemeClr w14:val="tx1"/>
            </w14:solidFill>
          </w14:textFill>
        </w:rPr>
        <w:t>人享受农村特困人员救助供养。全年临时救助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5504</w:t>
      </w:r>
      <w:r>
        <w:rPr>
          <w:rFonts w:hint="eastAsia" w:ascii="仿宋_GB2312" w:hAnsi="仿宋_GB2312" w:eastAsia="仿宋_GB2312" w:cs="仿宋_GB2312"/>
          <w:color w:val="000000" w:themeColor="text1"/>
          <w:sz w:val="32"/>
          <w:szCs w:val="32"/>
          <w14:textFill>
            <w14:solidFill>
              <w14:schemeClr w14:val="tx1"/>
            </w14:solidFill>
          </w14:textFill>
        </w:rPr>
        <w:t>人次。全年资助12803人参加基本医疗保险，直接医疗救助7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7万人次。全年提供各类福利院床位数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776</w:t>
      </w:r>
      <w:r>
        <w:rPr>
          <w:rFonts w:hint="eastAsia" w:ascii="仿宋_GB2312" w:hAnsi="仿宋_GB2312" w:eastAsia="仿宋_GB2312" w:cs="仿宋_GB2312"/>
          <w:color w:val="000000" w:themeColor="text1"/>
          <w:sz w:val="32"/>
          <w:szCs w:val="32"/>
          <w14:textFill>
            <w14:solidFill>
              <w14:schemeClr w14:val="tx1"/>
            </w14:solidFill>
          </w14:textFill>
        </w:rPr>
        <w:t>张。全年销售社会福利彩票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1401.2</w:t>
      </w:r>
      <w:r>
        <w:rPr>
          <w:rFonts w:hint="eastAsia" w:ascii="仿宋_GB2312" w:hAnsi="仿宋_GB2312" w:eastAsia="仿宋_GB2312" w:cs="仿宋_GB2312"/>
          <w:color w:val="000000" w:themeColor="text1"/>
          <w:sz w:val="32"/>
          <w:szCs w:val="32"/>
          <w14:textFill>
            <w14:solidFill>
              <w14:schemeClr w14:val="tx1"/>
            </w14:solidFill>
          </w14:textFill>
        </w:rPr>
        <w:t>万元，筹集社会福利彩票公益金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116.3</w:t>
      </w:r>
      <w:r>
        <w:rPr>
          <w:rFonts w:hint="eastAsia" w:ascii="仿宋_GB2312" w:hAnsi="仿宋_GB2312" w:eastAsia="仿宋_GB2312" w:cs="仿宋_GB2312"/>
          <w:color w:val="000000" w:themeColor="text1"/>
          <w:sz w:val="32"/>
          <w:szCs w:val="32"/>
          <w14:textFill>
            <w14:solidFill>
              <w14:schemeClr w14:val="tx1"/>
            </w14:solidFill>
          </w14:textFill>
        </w:rPr>
        <w:t>万元，直接接收社会捐赠款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620.3</w:t>
      </w:r>
      <w:r>
        <w:rPr>
          <w:rFonts w:hint="eastAsia" w:ascii="仿宋_GB2312" w:hAnsi="仿宋_GB2312" w:eastAsia="仿宋_GB2312" w:cs="仿宋_GB2312"/>
          <w:color w:val="000000" w:themeColor="text1"/>
          <w:sz w:val="32"/>
          <w:szCs w:val="32"/>
          <w14:textFill>
            <w14:solidFill>
              <w14:schemeClr w14:val="tx1"/>
            </w14:solidFill>
          </w14:textFill>
        </w:rPr>
        <w:t>万元。全年抚恤、补助各类优抚对象2681人。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全年全市城镇保障性住房新开工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1483</w:t>
      </w:r>
      <w:r>
        <w:rPr>
          <w:rFonts w:hint="eastAsia" w:ascii="仿宋_GB2312" w:hAnsi="仿宋_GB2312" w:eastAsia="仿宋_GB2312" w:cs="仿宋_GB2312"/>
          <w:color w:val="000000" w:themeColor="text1"/>
          <w:sz w:val="32"/>
          <w:szCs w:val="32"/>
          <w14:textFill>
            <w14:solidFill>
              <w14:schemeClr w14:val="tx1"/>
            </w14:solidFill>
          </w14:textFill>
        </w:rPr>
        <w:t>套，建设面积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19.81</w:t>
      </w:r>
      <w:r>
        <w:rPr>
          <w:rFonts w:hint="eastAsia" w:ascii="仿宋_GB2312" w:hAnsi="仿宋_GB2312" w:eastAsia="仿宋_GB2312" w:cs="仿宋_GB2312"/>
          <w:color w:val="000000" w:themeColor="text1"/>
          <w:sz w:val="32"/>
          <w:szCs w:val="32"/>
          <w14:textFill>
            <w14:solidFill>
              <w14:schemeClr w14:val="tx1"/>
            </w14:solidFill>
          </w14:textFill>
        </w:rPr>
        <w:t>万平方米；城镇保障性住房建成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1360</w:t>
      </w:r>
      <w:r>
        <w:rPr>
          <w:rFonts w:hint="eastAsia" w:ascii="仿宋_GB2312" w:hAnsi="仿宋_GB2312" w:eastAsia="仿宋_GB2312" w:cs="仿宋_GB2312"/>
          <w:color w:val="000000" w:themeColor="text1"/>
          <w:sz w:val="32"/>
          <w:szCs w:val="32"/>
          <w14:textFill>
            <w14:solidFill>
              <w14:schemeClr w14:val="tx1"/>
            </w14:solidFill>
          </w14:textFill>
        </w:rPr>
        <w:t>套，建成面积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16.1</w:t>
      </w:r>
      <w:r>
        <w:rPr>
          <w:rFonts w:hint="eastAsia" w:ascii="仿宋_GB2312" w:hAnsi="仿宋_GB2312" w:eastAsia="仿宋_GB2312" w:cs="仿宋_GB2312"/>
          <w:color w:val="000000" w:themeColor="text1"/>
          <w:sz w:val="32"/>
          <w:szCs w:val="32"/>
          <w14:textFill>
            <w14:solidFill>
              <w14:schemeClr w14:val="tx1"/>
            </w14:solidFill>
          </w14:textFill>
        </w:rPr>
        <w:t>万平方米。全年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新开工改造</w:t>
      </w:r>
      <w:r>
        <w:rPr>
          <w:rFonts w:hint="eastAsia" w:ascii="仿宋_GB2312" w:hAnsi="仿宋_GB2312" w:eastAsia="仿宋_GB2312" w:cs="仿宋_GB2312"/>
          <w:color w:val="000000" w:themeColor="text1"/>
          <w:sz w:val="32"/>
          <w:szCs w:val="32"/>
          <w14:textFill>
            <w14:solidFill>
              <w14:schemeClr w14:val="tx1"/>
            </w14:solidFill>
          </w14:textFill>
        </w:rPr>
        <w:t>城镇老旧小区改造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个。全年完成农村危房改造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83</w:t>
      </w:r>
      <w:r>
        <w:rPr>
          <w:rFonts w:hint="eastAsia" w:ascii="仿宋_GB2312" w:hAnsi="仿宋_GB2312" w:eastAsia="仿宋_GB2312" w:cs="仿宋_GB2312"/>
          <w:color w:val="000000" w:themeColor="text1"/>
          <w:sz w:val="32"/>
          <w:szCs w:val="32"/>
          <w14:textFill>
            <w14:solidFill>
              <w14:schemeClr w14:val="tx1"/>
            </w14:solidFill>
          </w14:textFill>
        </w:rPr>
        <w:t>户。</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Style w:val="13"/>
          <w:rFonts w:ascii="黑体" w:hAnsi="黑体" w:eastAsia="黑体" w:cs="黑体"/>
          <w:b w:val="0"/>
          <w:color w:val="000000" w:themeColor="text1"/>
          <w:spacing w:val="8"/>
          <w:sz w:val="32"/>
          <w:szCs w:val="32"/>
          <w14:textFill>
            <w14:solidFill>
              <w14:schemeClr w14:val="tx1"/>
            </w14:solidFill>
          </w14:textFill>
        </w:rPr>
      </w:pPr>
      <w:r>
        <w:rPr>
          <w:rStyle w:val="13"/>
          <w:rFonts w:hint="eastAsia" w:ascii="黑体" w:hAnsi="黑体" w:eastAsia="黑体" w:cs="黑体"/>
          <w:b w:val="0"/>
          <w:color w:val="000000" w:themeColor="text1"/>
          <w:spacing w:val="8"/>
          <w:sz w:val="32"/>
          <w:szCs w:val="32"/>
          <w14:textFill>
            <w14:solidFill>
              <w14:schemeClr w14:val="tx1"/>
            </w14:solidFill>
          </w14:textFill>
        </w:rPr>
        <w:t>十、科学技术和教育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全年全市申请专利获得授权234项，每万人发明专利拥有量0.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件。全年新增商标申请1221件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全年</w:t>
      </w:r>
      <w:r>
        <w:rPr>
          <w:rFonts w:hint="eastAsia" w:ascii="仿宋_GB2312" w:hAnsi="仿宋_GB2312" w:eastAsia="仿宋_GB2312" w:cs="仿宋_GB2312"/>
          <w:color w:val="000000" w:themeColor="text1"/>
          <w:sz w:val="32"/>
          <w:szCs w:val="32"/>
          <w14:textFill>
            <w14:solidFill>
              <w14:schemeClr w14:val="tx1"/>
            </w14:solidFill>
          </w14:textFill>
        </w:rPr>
        <w:t>商标有效注册4891件，比上年增长1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3%。全年新登记市场主体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1.34万</w:t>
      </w:r>
      <w:r>
        <w:rPr>
          <w:rFonts w:hint="eastAsia" w:ascii="仿宋_GB2312" w:hAnsi="仿宋_GB2312" w:eastAsia="仿宋_GB2312" w:cs="仿宋_GB2312"/>
          <w:color w:val="000000" w:themeColor="text1"/>
          <w:sz w:val="32"/>
          <w:szCs w:val="32"/>
          <w14:textFill>
            <w14:solidFill>
              <w14:schemeClr w14:val="tx1"/>
            </w14:solidFill>
          </w14:textFill>
        </w:rPr>
        <w:t>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比上年增长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年末市场主体总数达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7.55</w:t>
      </w:r>
      <w:r>
        <w:rPr>
          <w:rFonts w:hint="eastAsia" w:ascii="仿宋_GB2312" w:hAnsi="仿宋_GB2312" w:eastAsia="仿宋_GB2312" w:cs="仿宋_GB2312"/>
          <w:color w:val="000000" w:themeColor="text1"/>
          <w:sz w:val="32"/>
          <w:szCs w:val="32"/>
          <w14:textFill>
            <w14:solidFill>
              <w14:schemeClr w14:val="tx1"/>
            </w14:solidFill>
          </w14:textFill>
        </w:rPr>
        <w:t>万户，比上年增长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13.3</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年末普通高中9所，专任教师963人，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比上年</w:t>
      </w:r>
      <w:r>
        <w:rPr>
          <w:rFonts w:hint="eastAsia" w:ascii="仿宋_GB2312" w:hAnsi="仿宋_GB2312" w:eastAsia="仿宋_GB2312" w:cs="仿宋_GB2312"/>
          <w:color w:val="000000" w:themeColor="text1"/>
          <w:sz w:val="32"/>
          <w:szCs w:val="32"/>
          <w14:textFill>
            <w14:solidFill>
              <w14:schemeClr w14:val="tx1"/>
            </w14:solidFill>
          </w14:textFill>
        </w:rPr>
        <w:t>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7.9</w:t>
      </w:r>
      <w:r>
        <w:rPr>
          <w:rFonts w:hint="eastAsia" w:ascii="仿宋_GB2312" w:hAnsi="仿宋_GB2312" w:eastAsia="仿宋_GB2312" w:cs="仿宋_GB2312"/>
          <w:color w:val="000000" w:themeColor="text1"/>
          <w:sz w:val="32"/>
          <w:szCs w:val="32"/>
          <w14:textFill>
            <w14:solidFill>
              <w14:schemeClr w14:val="tx1"/>
            </w14:solidFill>
          </w14:textFill>
        </w:rPr>
        <w:t>%；招生4314人，增长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8.7</w:t>
      </w:r>
      <w:r>
        <w:rPr>
          <w:rFonts w:hint="eastAsia" w:ascii="仿宋_GB2312" w:hAnsi="仿宋_GB2312" w:eastAsia="仿宋_GB2312" w:cs="仿宋_GB2312"/>
          <w:color w:val="000000" w:themeColor="text1"/>
          <w:sz w:val="32"/>
          <w:szCs w:val="32"/>
          <w14:textFill>
            <w14:solidFill>
              <w14:schemeClr w14:val="tx1"/>
            </w14:solidFill>
          </w14:textFill>
        </w:rPr>
        <w:t>%；在校学生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11836</w:t>
      </w:r>
      <w:r>
        <w:rPr>
          <w:rFonts w:hint="eastAsia" w:ascii="仿宋_GB2312" w:hAnsi="仿宋_GB2312" w:eastAsia="仿宋_GB2312" w:cs="仿宋_GB2312"/>
          <w:color w:val="000000" w:themeColor="text1"/>
          <w:sz w:val="32"/>
          <w:szCs w:val="32"/>
          <w14:textFill>
            <w14:solidFill>
              <w14:schemeClr w14:val="tx1"/>
            </w14:solidFill>
          </w14:textFill>
        </w:rPr>
        <w:t>人，增长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6.8</w:t>
      </w:r>
      <w:r>
        <w:rPr>
          <w:rFonts w:hint="eastAsia" w:ascii="仿宋_GB2312" w:hAnsi="仿宋_GB2312" w:eastAsia="仿宋_GB2312" w:cs="仿宋_GB2312"/>
          <w:color w:val="000000" w:themeColor="text1"/>
          <w:sz w:val="32"/>
          <w:szCs w:val="32"/>
          <w14:textFill>
            <w14:solidFill>
              <w14:schemeClr w14:val="tx1"/>
            </w14:solidFill>
          </w14:textFill>
        </w:rPr>
        <w:t>%；毕业生3550人，增长1.7%；高中毛入学率95.1%。中等职业教育学校2所，招生1846人，下降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10.4</w:t>
      </w:r>
      <w:r>
        <w:rPr>
          <w:rFonts w:hint="eastAsia" w:ascii="仿宋_GB2312" w:hAnsi="仿宋_GB2312" w:eastAsia="仿宋_GB2312" w:cs="仿宋_GB2312"/>
          <w:color w:val="000000" w:themeColor="text1"/>
          <w:sz w:val="32"/>
          <w:szCs w:val="32"/>
          <w14:textFill>
            <w14:solidFill>
              <w14:schemeClr w14:val="tx1"/>
            </w14:solidFill>
          </w14:textFill>
        </w:rPr>
        <w:t>%；在校学生5917人，下降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%。普通初中20所，专任教师1691人，增长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t>%；招生7736人，增长0.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%；在校学生22965人，增长0.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%；毕业生7501人，增长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0.4</w:t>
      </w:r>
      <w:r>
        <w:rPr>
          <w:rFonts w:hint="eastAsia" w:ascii="仿宋_GB2312" w:hAnsi="仿宋_GB2312" w:eastAsia="仿宋_GB2312" w:cs="仿宋_GB2312"/>
          <w:color w:val="000000" w:themeColor="text1"/>
          <w:sz w:val="32"/>
          <w:szCs w:val="32"/>
          <w14:textFill>
            <w14:solidFill>
              <w14:schemeClr w14:val="tx1"/>
            </w14:solidFill>
          </w14:textFill>
        </w:rPr>
        <w:t>%；初中毛入学率118.1%。普通小学96所，专任教师3065人，增长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0.2</w:t>
      </w:r>
      <w:r>
        <w:rPr>
          <w:rFonts w:hint="eastAsia" w:ascii="仿宋_GB2312" w:hAnsi="仿宋_GB2312" w:eastAsia="仿宋_GB2312" w:cs="仿宋_GB2312"/>
          <w:color w:val="000000" w:themeColor="text1"/>
          <w:sz w:val="32"/>
          <w:szCs w:val="32"/>
          <w14:textFill>
            <w14:solidFill>
              <w14:schemeClr w14:val="tx1"/>
            </w14:solidFill>
          </w14:textFill>
        </w:rPr>
        <w:t>%；招生6550人，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下降6</w:t>
      </w:r>
      <w:r>
        <w:rPr>
          <w:rFonts w:hint="eastAsia" w:ascii="仿宋_GB2312" w:hAnsi="仿宋_GB2312" w:eastAsia="仿宋_GB2312" w:cs="仿宋_GB2312"/>
          <w:color w:val="000000" w:themeColor="text1"/>
          <w:sz w:val="32"/>
          <w:szCs w:val="32"/>
          <w14:textFill>
            <w14:solidFill>
              <w14:schemeClr w14:val="tx1"/>
            </w14:solidFill>
          </w14:textFill>
        </w:rPr>
        <w:t>.9%；在校学生43306人，下降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%；毕业生7250人，下降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.7%；小学净入学率100.0%。</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jc w:val="left"/>
        <w:textAlignment w:val="auto"/>
        <w:rPr>
          <w:rStyle w:val="13"/>
          <w:rFonts w:ascii="黑体" w:hAnsi="黑体" w:eastAsia="黑体" w:cs="黑体"/>
          <w:b w:val="0"/>
          <w:color w:val="000000" w:themeColor="text1"/>
          <w:spacing w:val="8"/>
          <w:sz w:val="32"/>
          <w:szCs w:val="32"/>
          <w14:textFill>
            <w14:solidFill>
              <w14:schemeClr w14:val="tx1"/>
            </w14:solidFill>
          </w14:textFill>
        </w:rPr>
      </w:pPr>
      <w:r>
        <w:rPr>
          <w:rStyle w:val="13"/>
          <w:rFonts w:hint="eastAsia" w:ascii="黑体" w:hAnsi="黑体" w:eastAsia="黑体" w:cs="黑体"/>
          <w:b w:val="0"/>
          <w:color w:val="000000" w:themeColor="text1"/>
          <w:spacing w:val="8"/>
          <w:sz w:val="32"/>
          <w:szCs w:val="32"/>
          <w14:textFill>
            <w14:solidFill>
              <w14:schemeClr w14:val="tx1"/>
            </w14:solidFill>
          </w14:textFill>
        </w:rPr>
        <w:t>十一、文化旅游、卫生健康和体育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年末全市共有各类艺术表演团体10个，文化艺术馆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个，公共图书馆1个，博物馆2个。全市广播电视台1座，广播综合人口覆盖率和电视综合人口覆盖率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均</w:t>
      </w:r>
      <w:r>
        <w:rPr>
          <w:rFonts w:hint="eastAsia" w:ascii="仿宋_GB2312" w:hAnsi="仿宋_GB2312" w:eastAsia="仿宋_GB2312" w:cs="仿宋_GB2312"/>
          <w:color w:val="000000" w:themeColor="text1"/>
          <w:sz w:val="32"/>
          <w:szCs w:val="32"/>
          <w14:textFill>
            <w14:solidFill>
              <w14:schemeClr w14:val="tx1"/>
            </w14:solidFill>
          </w14:textFill>
        </w:rPr>
        <w:t>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到100</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推动文旅深度融合。组织</w:t>
      </w:r>
      <w:r>
        <w:rPr>
          <w:rFonts w:hint="eastAsia" w:ascii="仿宋_GB2312" w:hAnsi="仿宋_GB2312" w:eastAsia="仿宋_GB2312" w:cs="仿宋_GB2312"/>
          <w:color w:val="000000" w:themeColor="text1"/>
          <w:sz w:val="32"/>
          <w:szCs w:val="32"/>
          <w14:textFill>
            <w14:solidFill>
              <w14:schemeClr w14:val="tx1"/>
            </w14:solidFill>
          </w14:textFill>
        </w:rPr>
        <w:t>举办“中国体育彩票”杭州亚运会帆船项目选拔赛暨2022年全国水翼帆板风筝板冠军赛、首届CGA高尔夫（海南）国际青少年大师赛、琼海市气排球联赛、海南美丽乡村绿色骑行、5·19中国旅游日琼海系列活动“潭门渔故事”、第二届520婚庆旅游文化节、“走进美丽乡村、探寻民俗文化”2022年琼海市旅游+摄影采风2022海南“万泉向海”水上运动嘉年华、2022年第四届琼海原创乡村音乐节、2022年第八届潭门赶海节等系列旅游文化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文化事业繁荣发展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新编大型古装琼剧《合家团圆》、《林攀桂》、《八府巡按》，原创华侨文化琼剧《南侨情》。选送的原创舞蹈《椰林回声》获得第19届海南省东西南北中广场文艺会演线上展播活动一等奖，舞蹈作品</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《南海随想》入围第十九届群星奖舞蹈类决赛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戏剧作品《南侨情》获得二等奖，演唱《三月欢歌》、小品《爸爸.儿子》获得三等奖。广泛开展群众文化活动，全年组织大型民俗活动、展览展示、艺术创作培训、文化惠民演出、非遗传承等文化活动150余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default" w:ascii="仿宋_GB2312" w:hAnsi="仿宋_GB2312" w:eastAsia="仿宋_GB2312" w:cs="仿宋_GB2312"/>
          <w:color w:val="000000" w:themeColor="text1"/>
          <w:sz w:val="32"/>
          <w:szCs w:val="32"/>
          <w:lang w:eastAsia="zh-CN"/>
          <w14:textFill>
            <w14:solidFill>
              <w14:schemeClr w14:val="tx1"/>
            </w14:solidFill>
          </w14:textFill>
        </w:rPr>
        <w:t>全年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全市</w:t>
      </w:r>
      <w:r>
        <w:rPr>
          <w:rFonts w:hint="default" w:ascii="仿宋_GB2312" w:hAnsi="仿宋_GB2312" w:eastAsia="仿宋_GB2312" w:cs="仿宋_GB2312"/>
          <w:color w:val="000000" w:themeColor="text1"/>
          <w:sz w:val="32"/>
          <w:szCs w:val="32"/>
          <w14:textFill>
            <w14:solidFill>
              <w14:schemeClr w14:val="tx1"/>
            </w14:solidFill>
          </w14:textFill>
        </w:rPr>
        <w:t>接待游客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653.3万人次，比上年下降20.3%。其中，</w:t>
      </w:r>
      <w:r>
        <w:rPr>
          <w:rFonts w:hint="default" w:ascii="仿宋_GB2312" w:hAnsi="仿宋_GB2312" w:eastAsia="仿宋_GB2312" w:cs="仿宋_GB2312"/>
          <w:color w:val="000000" w:themeColor="text1"/>
          <w:sz w:val="32"/>
          <w:szCs w:val="32"/>
          <w14:textFill>
            <w14:solidFill>
              <w14:schemeClr w14:val="tx1"/>
            </w14:solidFill>
          </w14:textFill>
        </w:rPr>
        <w:t>接待</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过夜</w:t>
      </w:r>
      <w:r>
        <w:rPr>
          <w:rFonts w:hint="default" w:ascii="仿宋_GB2312" w:hAnsi="仿宋_GB2312" w:eastAsia="仿宋_GB2312" w:cs="仿宋_GB2312"/>
          <w:color w:val="000000" w:themeColor="text1"/>
          <w:sz w:val="32"/>
          <w:szCs w:val="32"/>
          <w14:textFill>
            <w14:solidFill>
              <w14:schemeClr w14:val="tx1"/>
            </w14:solidFill>
          </w14:textFill>
        </w:rPr>
        <w:t>游客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403.3万人次，比上年下降16.5%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仿宋_GB2312" w:hAnsi="仿宋_GB2312" w:eastAsia="仿宋_GB2312" w:cs="仿宋_GB2312"/>
          <w:color w:val="000000" w:themeColor="text1"/>
          <w:sz w:val="32"/>
          <w:szCs w:val="32"/>
          <w14:textFill>
            <w14:solidFill>
              <w14:schemeClr w14:val="tx1"/>
            </w14:solidFill>
          </w14:textFill>
        </w:rPr>
        <w:t>旅游</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总</w:t>
      </w:r>
      <w:r>
        <w:rPr>
          <w:rFonts w:hint="default" w:ascii="仿宋_GB2312" w:hAnsi="仿宋_GB2312" w:eastAsia="仿宋_GB2312" w:cs="仿宋_GB2312"/>
          <w:color w:val="000000" w:themeColor="text1"/>
          <w:sz w:val="32"/>
          <w:szCs w:val="32"/>
          <w14:textFill>
            <w14:solidFill>
              <w14:schemeClr w14:val="tx1"/>
            </w14:solidFill>
          </w14:textFill>
        </w:rPr>
        <w:t>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58.35亿元，下降</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19.1%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，其中，国内旅游收入58.24亿元，下降19.1%；国际旅游收入154.7万美元，下降0.6%</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。年末全市共有挂牌星级宾馆酒店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家，其中五星级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家，三星级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倾力打造旅游品牌。白石岭景区成功创建国家4A级旅游景区。潭门镇排港村、万泉镇光耀村（胜达农庄）成功创建海南省五椰级乡村旅游点。潭门镇排港村获评海南省五椰级乡村旅游点。潭门镇琼海无所归止民宿排港店获“建议市县给予铜宿”评定。潭门镇琼海牧渔晚歌民宿</w:t>
      </w:r>
      <w:r>
        <w:rPr>
          <w:rFonts w:hint="eastAsia" w:ascii="仿宋_GB2312" w:hAnsi="仿宋_GB2312" w:eastAsia="仿宋_GB2312" w:cs="仿宋_GB2312"/>
          <w:color w:val="000000" w:themeColor="text1"/>
          <w:sz w:val="32"/>
          <w:szCs w:val="32"/>
          <w14:textFill>
            <w14:solidFill>
              <w14:schemeClr w14:val="tx1"/>
            </w14:solidFill>
          </w14:textFill>
        </w:rPr>
        <w:t>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w:t>
      </w:r>
      <w:r>
        <w:rPr>
          <w:rFonts w:hint="eastAsia" w:ascii="仿宋_GB2312" w:hAnsi="仿宋_GB2312" w:eastAsia="仿宋_GB2312" w:cs="仿宋_GB2312"/>
          <w:color w:val="000000" w:themeColor="text1"/>
          <w:sz w:val="32"/>
          <w:szCs w:val="32"/>
          <w14:textFill>
            <w14:solidFill>
              <w14:schemeClr w14:val="tx1"/>
            </w14:solidFill>
          </w14:textFill>
        </w:rPr>
        <w:t>省级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银</w:t>
      </w:r>
      <w:r>
        <w:rPr>
          <w:rFonts w:hint="eastAsia" w:ascii="仿宋_GB2312" w:hAnsi="仿宋_GB2312" w:eastAsia="仿宋_GB2312" w:cs="仿宋_GB2312"/>
          <w:color w:val="000000" w:themeColor="text1"/>
          <w:sz w:val="32"/>
          <w:szCs w:val="32"/>
          <w14:textFill>
            <w14:solidFill>
              <w14:schemeClr w14:val="tx1"/>
            </w14:solidFill>
          </w14:textFill>
        </w:rPr>
        <w:t>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。目前，全市共有国家A级旅游景区10个，省级旅游度假区1个、椰级乡村点13个、全国乡村旅游重点镇1个、重点村4个、省级旅游小镇2个、全国甲级民宿1个、省级金银民宿6个。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年末全市共有医疗卫生机构291个，其中医院（卫生院）26个，农村乡（镇）卫生院15个，社区卫生服务中心（站）15个；疾病预防控制中心1个，妇幼保健院1个，专科疾病防治机构1个。年末卫生技术人员34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82</w:t>
      </w:r>
      <w:r>
        <w:rPr>
          <w:rFonts w:hint="eastAsia" w:ascii="仿宋_GB2312" w:hAnsi="仿宋_GB2312" w:eastAsia="仿宋_GB2312" w:cs="仿宋_GB2312"/>
          <w:color w:val="000000" w:themeColor="text1"/>
          <w:sz w:val="32"/>
          <w:szCs w:val="32"/>
          <w14:textFill>
            <w14:solidFill>
              <w14:schemeClr w14:val="tx1"/>
            </w14:solidFill>
          </w14:textFill>
        </w:rPr>
        <w:t>人，其中执业医师和执业助理医师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2567</w:t>
      </w:r>
      <w:r>
        <w:rPr>
          <w:rFonts w:hint="eastAsia" w:ascii="仿宋_GB2312" w:hAnsi="仿宋_GB2312" w:eastAsia="仿宋_GB2312" w:cs="仿宋_GB2312"/>
          <w:color w:val="000000" w:themeColor="text1"/>
          <w:sz w:val="32"/>
          <w:szCs w:val="32"/>
          <w14:textFill>
            <w14:solidFill>
              <w14:schemeClr w14:val="tx1"/>
            </w14:solidFill>
          </w14:textFill>
        </w:rPr>
        <w:t>人，注册护士16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88</w:t>
      </w:r>
      <w:r>
        <w:rPr>
          <w:rFonts w:hint="eastAsia" w:ascii="仿宋_GB2312" w:hAnsi="仿宋_GB2312" w:eastAsia="仿宋_GB2312" w:cs="仿宋_GB2312"/>
          <w:color w:val="000000" w:themeColor="text1"/>
          <w:sz w:val="32"/>
          <w:szCs w:val="32"/>
          <w14:textFill>
            <w14:solidFill>
              <w14:schemeClr w14:val="tx1"/>
            </w14:solidFill>
          </w14:textFill>
        </w:rPr>
        <w:t>人。医疗卫生机构床位1976张，其中医院（卫生院）1818张。全年总诊疗人次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332</w:t>
      </w:r>
      <w:r>
        <w:rPr>
          <w:rFonts w:hint="eastAsia" w:ascii="仿宋_GB2312" w:hAnsi="仿宋_GB2312" w:eastAsia="仿宋_GB2312" w:cs="仿宋_GB2312"/>
          <w:color w:val="000000" w:themeColor="text1"/>
          <w:sz w:val="32"/>
          <w:szCs w:val="32"/>
          <w14:textFill>
            <w14:solidFill>
              <w14:schemeClr w14:val="tx1"/>
            </w14:solidFill>
          </w14:textFill>
        </w:rPr>
        <w:t>万人次，出院人数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5.81</w:t>
      </w:r>
      <w:r>
        <w:rPr>
          <w:rFonts w:hint="eastAsia" w:ascii="仿宋_GB2312" w:hAnsi="仿宋_GB2312" w:eastAsia="仿宋_GB2312" w:cs="仿宋_GB2312"/>
          <w:color w:val="000000" w:themeColor="text1"/>
          <w:sz w:val="32"/>
          <w:szCs w:val="32"/>
          <w14:textFill>
            <w14:solidFill>
              <w14:schemeClr w14:val="tx1"/>
            </w14:solidFill>
          </w14:textFill>
        </w:rPr>
        <w:t>万人。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体育事业健康发展。成功申办海南省第七届运动会。承办“中国体育彩票”杭州亚运会帆船项目选拔赛暨2022年全国水翼帆板＆风筝板冠军赛、2022首届CGA（海南）国际青少年大师赛和2022年全国滑水俱乐部巡回赛等大型体育赛事。积极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“喜迎二十大  建功自贸港”2022年琼海市“全民健身日”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系列</w:t>
      </w:r>
      <w:r>
        <w:rPr>
          <w:rFonts w:hint="eastAsia" w:ascii="仿宋_GB2312" w:hAnsi="仿宋_GB2312" w:eastAsia="仿宋_GB2312" w:cs="仿宋_GB2312"/>
          <w:color w:val="000000" w:themeColor="text1"/>
          <w:sz w:val="32"/>
          <w:szCs w:val="32"/>
          <w:lang w:eastAsia="zh-CN"/>
          <w14:textFill>
            <w14:solidFill>
              <w14:schemeClr w14:val="tx1"/>
            </w14:solidFill>
          </w14:textFill>
        </w:rPr>
        <w:t>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赛事、</w:t>
      </w:r>
      <w:r>
        <w:rPr>
          <w:rFonts w:hint="eastAsia" w:ascii="仿宋_GB2312" w:hAnsi="仿宋_GB2312" w:eastAsia="仿宋_GB2312" w:cs="仿宋_GB2312"/>
          <w:color w:val="000000" w:themeColor="text1"/>
          <w:sz w:val="32"/>
          <w:szCs w:val="32"/>
          <w:lang w:eastAsia="zh-CN"/>
          <w14:textFill>
            <w14:solidFill>
              <w14:schemeClr w14:val="tx1"/>
            </w14:solidFill>
          </w14:textFill>
        </w:rPr>
        <w:t>2022年筑城杯羽毛球比赛、2022海南“万泉向海”水上运动嘉年华比赛、2022年中原镇第七届“南洋杯”足球邀请赛、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2022年海外杯帆船赛</w:t>
      </w:r>
      <w:r>
        <w:rPr>
          <w:rFonts w:hint="eastAsia" w:ascii="仿宋_GB2312" w:hAnsi="仿宋_GB2312" w:eastAsia="仿宋_GB2312" w:cs="仿宋_GB2312"/>
          <w:color w:val="000000" w:themeColor="text1"/>
          <w:sz w:val="32"/>
          <w:szCs w:val="32"/>
          <w:lang w:eastAsia="zh-CN"/>
          <w14:textFill>
            <w14:solidFill>
              <w14:schemeClr w14:val="tx1"/>
            </w14:solidFill>
          </w14:textFill>
        </w:rPr>
        <w:t>、2022年海南美丽乡村绿色骑行琼海站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等一系列</w:t>
      </w:r>
      <w:r>
        <w:rPr>
          <w:rFonts w:hint="eastAsia" w:ascii="仿宋_GB2312" w:hAnsi="仿宋_GB2312" w:eastAsia="仿宋_GB2312" w:cs="仿宋_GB2312"/>
          <w:color w:val="000000" w:themeColor="text1"/>
          <w:sz w:val="32"/>
          <w:szCs w:val="32"/>
          <w14:textFill>
            <w14:solidFill>
              <w14:schemeClr w14:val="tx1"/>
            </w14:solidFill>
          </w14:textFill>
        </w:rPr>
        <w:t>全民健身活动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积极举办2022年琼海市气排球联赛、2022年博鳌国际青少年高尔夫大赛（IJGT）、杭州亚运会帆船选拔赛暨2022年全国风筝板大赛、2022年海南省国际跳棋公开赛、2022年全国滑水俱乐部巡回赛等竞技类体育赛事。</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jc w:val="left"/>
        <w:textAlignment w:val="auto"/>
        <w:rPr>
          <w:rStyle w:val="13"/>
          <w:rFonts w:ascii="黑体" w:hAnsi="黑体" w:eastAsia="黑体" w:cs="黑体"/>
          <w:b w:val="0"/>
          <w:color w:val="000000" w:themeColor="text1"/>
          <w:spacing w:val="8"/>
          <w:sz w:val="32"/>
          <w:szCs w:val="32"/>
          <w14:textFill>
            <w14:solidFill>
              <w14:schemeClr w14:val="tx1"/>
            </w14:solidFill>
          </w14:textFill>
        </w:rPr>
      </w:pPr>
      <w:r>
        <w:rPr>
          <w:rStyle w:val="13"/>
          <w:rFonts w:hint="eastAsia" w:ascii="黑体" w:hAnsi="黑体" w:eastAsia="黑体" w:cs="黑体"/>
          <w:b w:val="0"/>
          <w:color w:val="000000" w:themeColor="text1"/>
          <w:spacing w:val="8"/>
          <w:sz w:val="32"/>
          <w:szCs w:val="32"/>
          <w14:textFill>
            <w14:solidFill>
              <w14:schemeClr w14:val="tx1"/>
            </w14:solidFill>
          </w14:textFill>
        </w:rPr>
        <w:t>十二、资源、环境和应急管理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全年全市规模以上工业综合能源消费量比上年增长22.1%。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全年全市造林绿化面积7388.4亩。森林覆盖率100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建成区绿地率35.8％。年度闲置土地处置率100%。全年全市环境空气质量优良率98.9%，其中PM2.5年均浓度为13.3微克/立方</w:t>
      </w:r>
      <w:r>
        <w:rPr>
          <w:rFonts w:hint="eastAsia" w:ascii="仿宋_GB2312" w:hAnsi="仿宋_GB2312" w:eastAsia="仿宋_GB2312" w:cs="仿宋_GB2312"/>
          <w:color w:val="000000" w:themeColor="text1"/>
          <w:sz w:val="32"/>
          <w:szCs w:val="32"/>
          <w14:textFill>
            <w14:solidFill>
              <w14:schemeClr w14:val="tx1"/>
            </w14:solidFill>
          </w14:textFill>
        </w:rPr>
        <w:t>米，PM10年均浓度为2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微克/立方米。城镇内河（湖）水污染治理完成比例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%。近岸海域水质优良率100%。城市饮用水水源地水质达标率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100%。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全市现有城镇污水处理设施（已建成）1个，年末城镇污水处理厂日处理能力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万立方米，城镇污水集中处理率1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04</w:t>
      </w:r>
      <w:r>
        <w:rPr>
          <w:rFonts w:hint="eastAsia" w:ascii="仿宋_GB2312" w:hAnsi="仿宋_GB2312" w:eastAsia="仿宋_GB2312" w:cs="仿宋_GB2312"/>
          <w:color w:val="000000" w:themeColor="text1"/>
          <w:sz w:val="32"/>
          <w:szCs w:val="32"/>
          <w14:textFill>
            <w14:solidFill>
              <w14:schemeClr w14:val="tx1"/>
            </w14:solidFill>
          </w14:textFill>
        </w:rPr>
        <w:t>%。城乡生活垃圾无害化处理率100%。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小标宋_GBK" w:hAnsi="方正小标宋_GBK" w:eastAsia="方正小标宋_GBK" w:cs="方正小标宋_GBK"/>
          <w:color w:val="0000FF"/>
          <w:sz w:val="32"/>
          <w:szCs w:val="32"/>
          <w:shd w:val="clear" w:color="auto" w:fill="FFFFFF"/>
        </w:rPr>
      </w:pPr>
      <w:r>
        <w:rPr>
          <w:rFonts w:hint="eastAsia" w:ascii="仿宋_GB2312" w:hAnsi="仿宋_GB2312" w:eastAsia="仿宋_GB2312" w:cs="仿宋_GB2312"/>
          <w:color w:val="000000" w:themeColor="text1"/>
          <w:sz w:val="32"/>
          <w:szCs w:val="32"/>
          <w14:textFill>
            <w14:solidFill>
              <w14:schemeClr w14:val="tx1"/>
            </w14:solidFill>
          </w14:textFill>
        </w:rPr>
        <w:t>全年全市发生生产安全事故8起，死亡1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人，比上年分别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下降46.7</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33.3</w:t>
      </w:r>
      <w:r>
        <w:rPr>
          <w:rFonts w:hint="eastAsia" w:ascii="仿宋_GB2312" w:hAnsi="仿宋_GB2312" w:eastAsia="仿宋_GB2312" w:cs="仿宋_GB2312"/>
          <w:color w:val="000000" w:themeColor="text1"/>
          <w:sz w:val="32"/>
          <w:szCs w:val="32"/>
          <w14:textFill>
            <w14:solidFill>
              <w14:schemeClr w14:val="tx1"/>
            </w14:solidFill>
          </w14:textFill>
        </w:rPr>
        <w:t>%。其中，生产经营性道路交通事故发生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起，死亡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人；工矿商贸生产经营性安全事故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起，死亡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人。亿元地区生产总值生产安全事故死亡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0.028</w:t>
      </w:r>
      <w:r>
        <w:rPr>
          <w:rFonts w:hint="eastAsia" w:ascii="仿宋_GB2312" w:hAnsi="仿宋_GB2312" w:eastAsia="仿宋_GB2312" w:cs="仿宋_GB2312"/>
          <w:color w:val="000000" w:themeColor="text1"/>
          <w:sz w:val="32"/>
          <w:szCs w:val="32"/>
          <w14:textFill>
            <w14:solidFill>
              <w14:schemeClr w14:val="tx1"/>
            </w14:solidFill>
          </w14:textFill>
        </w:rPr>
        <w:t>人，比上年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减少</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人。道路交通万车死亡率1.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7人/万车，比上年减少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35.9%</w:t>
      </w:r>
      <w:r>
        <w:rPr>
          <w:rFonts w:hint="eastAsia" w:ascii="仿宋_GB2312" w:hAnsi="仿宋_GB2312" w:eastAsia="仿宋_GB2312" w:cs="仿宋_GB2312"/>
          <w:color w:val="000000" w:themeColor="text1"/>
          <w:sz w:val="32"/>
          <w:szCs w:val="32"/>
          <w14:textFill>
            <w14:solidFill>
              <w14:schemeClr w14:val="tx1"/>
            </w14:solidFill>
          </w14:textFill>
        </w:rPr>
        <w:t>。全年投入救灾救济资金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22.01</w:t>
      </w:r>
      <w:r>
        <w:rPr>
          <w:rFonts w:hint="eastAsia" w:ascii="仿宋_GB2312" w:hAnsi="仿宋_GB2312" w:eastAsia="仿宋_GB2312" w:cs="仿宋_GB2312"/>
          <w:color w:val="000000" w:themeColor="text1"/>
          <w:sz w:val="32"/>
          <w:szCs w:val="32"/>
          <w14:textFill>
            <w14:solidFill>
              <w14:schemeClr w14:val="tx1"/>
            </w14:solidFill>
          </w14:textFill>
        </w:rPr>
        <w:t>万元。全年全市发生火灾事故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188</w:t>
      </w:r>
      <w:r>
        <w:rPr>
          <w:rFonts w:hint="eastAsia" w:ascii="仿宋_GB2312" w:hAnsi="仿宋_GB2312" w:eastAsia="仿宋_GB2312" w:cs="仿宋_GB2312"/>
          <w:color w:val="000000" w:themeColor="text1"/>
          <w:sz w:val="32"/>
          <w:szCs w:val="32"/>
          <w14:textFill>
            <w14:solidFill>
              <w14:schemeClr w14:val="tx1"/>
            </w14:solidFill>
          </w14:textFill>
        </w:rPr>
        <w:t>起，造成直接经济损失169.95万元。</w:t>
      </w:r>
    </w:p>
    <w:p>
      <w:pPr>
        <w:pStyle w:val="9"/>
        <w:widowControl/>
        <w:spacing w:before="16" w:beforeAutospacing="0" w:after="200" w:afterAutospacing="0" w:line="560" w:lineRule="exact"/>
        <w:jc w:val="center"/>
        <w:textAlignment w:val="baseline"/>
        <w:rPr>
          <w:rFonts w:ascii="方正小标宋_GBK" w:hAnsi="方正小标宋_GBK" w:eastAsia="方正小标宋_GBK" w:cs="方正小标宋_GBK"/>
          <w:color w:val="000000" w:themeColor="text1"/>
          <w:sz w:val="32"/>
          <w:szCs w:val="32"/>
          <w:shd w:val="clear" w:color="auto" w:fill="FFFFFF"/>
          <w14:textFill>
            <w14:solidFill>
              <w14:schemeClr w14:val="tx1"/>
            </w14:solidFill>
          </w14:textFill>
        </w:rPr>
      </w:pPr>
      <w:r>
        <w:rPr>
          <w:rFonts w:hint="eastAsia" w:ascii="方正小标宋_GBK" w:hAnsi="方正小标宋_GBK" w:eastAsia="方正小标宋_GBK" w:cs="方正小标宋_GBK"/>
          <w:color w:val="000000" w:themeColor="text1"/>
          <w:sz w:val="32"/>
          <w:szCs w:val="32"/>
          <w:shd w:val="clear" w:color="auto" w:fill="FFFFFF"/>
          <w14:textFill>
            <w14:solidFill>
              <w14:schemeClr w14:val="tx1"/>
            </w14:solidFill>
          </w14:textFill>
        </w:rPr>
        <w:t>注  释</w:t>
      </w:r>
    </w:p>
    <w:p>
      <w:pPr>
        <w:pStyle w:val="9"/>
        <w:widowControl/>
        <w:shd w:val="clear" w:color="auto" w:fill="FFFFFF"/>
        <w:spacing w:beforeAutospacing="0" w:after="200" w:afterAutospacing="0" w:line="360" w:lineRule="atLeast"/>
        <w:ind w:firstLine="480" w:firstLineChars="200"/>
        <w:textAlignment w:val="baseline"/>
        <w:rPr>
          <w:rFonts w:asciiTheme="minorEastAsia" w:hAnsiTheme="minorEastAsia" w:cstheme="minorEastAsia"/>
          <w:color w:val="000000" w:themeColor="text1"/>
          <w:shd w:val="clear" w:color="auto" w:fill="FFFFFF"/>
          <w14:textFill>
            <w14:solidFill>
              <w14:schemeClr w14:val="tx1"/>
            </w14:solidFill>
          </w14:textFill>
        </w:rPr>
      </w:pPr>
      <w:r>
        <w:rPr>
          <w:rFonts w:hint="eastAsia" w:asciiTheme="minorEastAsia" w:hAnsiTheme="minorEastAsia" w:cstheme="minorEastAsia"/>
          <w:color w:val="000000" w:themeColor="text1"/>
          <w:shd w:val="clear" w:color="auto" w:fill="FFFFFF"/>
          <w14:textFill>
            <w14:solidFill>
              <w14:schemeClr w14:val="tx1"/>
            </w14:solidFill>
          </w14:textFill>
        </w:rPr>
        <w:t>1.本公报部分数据为初步统计数，部分数据为预计数，最终核实数以《琼海统计年鉴-202</w:t>
      </w:r>
      <w:r>
        <w:rPr>
          <w:rFonts w:hint="eastAsia" w:asciiTheme="minorEastAsia" w:hAnsiTheme="minorEastAsia" w:cstheme="minorEastAsia"/>
          <w:color w:val="000000" w:themeColor="text1"/>
          <w:shd w:val="clear" w:color="auto" w:fill="FFFFFF"/>
          <w:lang w:val="en-US" w:eastAsia="zh-CN"/>
          <w14:textFill>
            <w14:solidFill>
              <w14:schemeClr w14:val="tx1"/>
            </w14:solidFill>
          </w14:textFill>
        </w:rPr>
        <w:t>3</w:t>
      </w:r>
      <w:r>
        <w:rPr>
          <w:rFonts w:hint="eastAsia" w:asciiTheme="minorEastAsia" w:hAnsiTheme="minorEastAsia" w:cstheme="minorEastAsia"/>
          <w:color w:val="000000" w:themeColor="text1"/>
          <w:shd w:val="clear" w:color="auto" w:fill="FFFFFF"/>
          <w14:textFill>
            <w14:solidFill>
              <w14:schemeClr w14:val="tx1"/>
            </w14:solidFill>
          </w14:textFill>
        </w:rPr>
        <w:t>》公布的数据为准；</w:t>
      </w:r>
    </w:p>
    <w:p>
      <w:pPr>
        <w:pStyle w:val="9"/>
        <w:widowControl/>
        <w:shd w:val="clear" w:color="auto" w:fill="FFFFFF"/>
        <w:spacing w:beforeAutospacing="0" w:after="200" w:afterAutospacing="0" w:line="360" w:lineRule="atLeast"/>
        <w:ind w:firstLine="480" w:firstLineChars="200"/>
        <w:textAlignment w:val="baseline"/>
        <w:rPr>
          <w:rFonts w:asciiTheme="minorEastAsia" w:hAnsiTheme="minorEastAsia" w:cstheme="minorEastAsia"/>
          <w:color w:val="000000" w:themeColor="text1"/>
          <w:shd w:val="clear" w:color="auto" w:fill="FFFFFF"/>
          <w14:textFill>
            <w14:solidFill>
              <w14:schemeClr w14:val="tx1"/>
            </w14:solidFill>
          </w14:textFill>
        </w:rPr>
      </w:pPr>
      <w:r>
        <w:rPr>
          <w:rFonts w:hint="eastAsia" w:asciiTheme="minorEastAsia" w:hAnsiTheme="minorEastAsia" w:cstheme="minorEastAsia"/>
          <w:color w:val="000000" w:themeColor="text1"/>
          <w:shd w:val="clear" w:color="auto" w:fill="FFFFFF"/>
          <w14:textFill>
            <w14:solidFill>
              <w14:schemeClr w14:val="tx1"/>
            </w14:solidFill>
          </w14:textFill>
        </w:rPr>
        <w:t>2.地区生产总值和各产业增加值绝对数按现行价格计算，增长速度按不变价格计算。根据《国民经济行业分类》（GB/T4754-2017）对三次产业进行划分。</w:t>
      </w:r>
    </w:p>
    <w:p>
      <w:pPr>
        <w:pStyle w:val="9"/>
        <w:widowControl/>
        <w:shd w:val="clear" w:color="auto" w:fill="FFFFFF"/>
        <w:spacing w:beforeAutospacing="0" w:after="200" w:afterAutospacing="0" w:line="360" w:lineRule="atLeast"/>
        <w:ind w:firstLine="480" w:firstLineChars="200"/>
        <w:textAlignment w:val="baseline"/>
        <w:rPr>
          <w:rFonts w:asciiTheme="minorEastAsia" w:hAnsiTheme="minorEastAsia" w:cstheme="minorEastAsia"/>
          <w:color w:val="000000" w:themeColor="text1"/>
          <w:shd w:val="clear" w:color="auto" w:fill="FFFFFF"/>
          <w14:textFill>
            <w14:solidFill>
              <w14:schemeClr w14:val="tx1"/>
            </w14:solidFill>
          </w14:textFill>
        </w:rPr>
      </w:pPr>
      <w:r>
        <w:rPr>
          <w:rFonts w:hint="eastAsia" w:asciiTheme="minorEastAsia" w:hAnsiTheme="minorEastAsia" w:cstheme="minorEastAsia"/>
          <w:color w:val="000000" w:themeColor="text1"/>
          <w:shd w:val="clear" w:color="auto" w:fill="FFFFFF"/>
          <w14:textFill>
            <w14:solidFill>
              <w14:schemeClr w14:val="tx1"/>
            </w14:solidFill>
          </w14:textFill>
        </w:rPr>
        <w:t>3.本公报中部分指标合计数与分项数有出入主要是由于四舍五入的原因，均未作机械调整。</w:t>
      </w:r>
    </w:p>
    <w:p>
      <w:pPr>
        <w:pStyle w:val="9"/>
        <w:widowControl/>
        <w:spacing w:before="16" w:beforeAutospacing="0" w:after="16" w:afterAutospacing="0" w:line="560" w:lineRule="exact"/>
        <w:jc w:val="both"/>
        <w:textAlignment w:val="baseline"/>
        <w:rPr>
          <w:rFonts w:ascii="楷体" w:hAnsi="楷体" w:eastAsia="楷体" w:cs="楷体"/>
          <w:color w:val="0000FF"/>
          <w:sz w:val="30"/>
          <w:szCs w:val="30"/>
          <w:shd w:val="clear" w:color="auto" w:fill="FFFFFF"/>
        </w:rPr>
      </w:pPr>
    </w:p>
    <w:p>
      <w:pPr>
        <w:pStyle w:val="9"/>
        <w:widowControl/>
        <w:spacing w:before="16" w:beforeAutospacing="0" w:after="16" w:afterAutospacing="0" w:line="560" w:lineRule="exact"/>
        <w:jc w:val="both"/>
        <w:textAlignment w:val="baseline"/>
        <w:rPr>
          <w:rFonts w:ascii="楷体" w:hAnsi="楷体" w:eastAsia="楷体" w:cs="楷体"/>
          <w:color w:val="0000FF"/>
          <w:sz w:val="30"/>
          <w:szCs w:val="30"/>
          <w:shd w:val="clear" w:color="auto" w:fill="FFFFFF"/>
        </w:rPr>
      </w:pPr>
    </w:p>
    <w:p>
      <w:pPr>
        <w:pStyle w:val="9"/>
        <w:widowControl/>
        <w:spacing w:before="16" w:beforeAutospacing="0" w:after="16" w:afterAutospacing="0" w:line="560" w:lineRule="exact"/>
        <w:jc w:val="both"/>
        <w:textAlignment w:val="baseline"/>
        <w:rPr>
          <w:rFonts w:ascii="楷体" w:hAnsi="楷体" w:eastAsia="楷体" w:cs="楷体"/>
          <w:color w:val="0000FF"/>
          <w:sz w:val="30"/>
          <w:szCs w:val="30"/>
          <w:shd w:val="clear" w:color="auto" w:fill="FFFFFF"/>
        </w:rPr>
      </w:pPr>
    </w:p>
    <w:p>
      <w:pPr>
        <w:pStyle w:val="9"/>
        <w:widowControl/>
        <w:spacing w:before="16" w:beforeAutospacing="0" w:after="16" w:afterAutospacing="0" w:line="560" w:lineRule="exact"/>
        <w:jc w:val="both"/>
        <w:textAlignment w:val="baseline"/>
        <w:rPr>
          <w:rFonts w:ascii="楷体" w:hAnsi="楷体" w:eastAsia="楷体" w:cs="楷体"/>
          <w:color w:val="0000FF"/>
          <w:sz w:val="30"/>
          <w:szCs w:val="30"/>
          <w:shd w:val="clear" w:color="auto" w:fill="FFFFFF"/>
        </w:rPr>
      </w:pPr>
    </w:p>
    <w:p>
      <w:pPr>
        <w:pStyle w:val="9"/>
        <w:widowControl/>
        <w:spacing w:before="16" w:beforeAutospacing="0" w:after="16" w:afterAutospacing="0" w:line="560" w:lineRule="exact"/>
        <w:jc w:val="both"/>
        <w:textAlignment w:val="baseline"/>
        <w:rPr>
          <w:rFonts w:ascii="楷体" w:hAnsi="楷体" w:eastAsia="楷体" w:cs="楷体"/>
          <w:color w:val="0000FF"/>
          <w:sz w:val="30"/>
          <w:szCs w:val="30"/>
          <w:shd w:val="clear" w:color="auto" w:fill="FFFFFF"/>
        </w:rPr>
      </w:pPr>
    </w:p>
    <w:p>
      <w:pPr>
        <w:pStyle w:val="9"/>
        <w:widowControl/>
        <w:spacing w:before="16" w:beforeAutospacing="0" w:after="16" w:afterAutospacing="0" w:line="560" w:lineRule="exact"/>
        <w:jc w:val="both"/>
        <w:textAlignment w:val="baseline"/>
        <w:rPr>
          <w:rFonts w:ascii="楷体" w:hAnsi="楷体" w:eastAsia="楷体" w:cs="楷体"/>
          <w:color w:val="0000FF"/>
          <w:sz w:val="30"/>
          <w:szCs w:val="30"/>
          <w:shd w:val="clear" w:color="auto" w:fill="FFFFFF"/>
        </w:rPr>
      </w:pPr>
    </w:p>
    <w:p>
      <w:pPr>
        <w:pStyle w:val="9"/>
        <w:widowControl/>
        <w:spacing w:before="16" w:beforeAutospacing="0" w:after="16" w:afterAutospacing="0" w:line="560" w:lineRule="exact"/>
        <w:jc w:val="both"/>
        <w:textAlignment w:val="baseline"/>
        <w:rPr>
          <w:rFonts w:ascii="楷体" w:hAnsi="楷体" w:eastAsia="楷体" w:cs="楷体"/>
          <w:color w:val="0000FF"/>
          <w:sz w:val="30"/>
          <w:szCs w:val="30"/>
          <w:shd w:val="clear" w:color="auto" w:fill="FFFFFF"/>
        </w:rPr>
      </w:pPr>
    </w:p>
    <w:p>
      <w:pPr>
        <w:pStyle w:val="9"/>
        <w:widowControl/>
        <w:spacing w:before="16" w:beforeAutospacing="0" w:after="16" w:afterAutospacing="0" w:line="560" w:lineRule="exact"/>
        <w:jc w:val="both"/>
        <w:textAlignment w:val="baseline"/>
        <w:rPr>
          <w:rFonts w:ascii="楷体" w:hAnsi="楷体" w:eastAsia="楷体" w:cs="楷体"/>
          <w:color w:val="0000FF"/>
          <w:sz w:val="30"/>
          <w:szCs w:val="30"/>
          <w:shd w:val="clear" w:color="auto" w:fill="FFFFFF"/>
        </w:rPr>
      </w:pPr>
    </w:p>
    <w:p>
      <w:pPr>
        <w:pStyle w:val="9"/>
        <w:widowControl/>
        <w:spacing w:before="16" w:beforeAutospacing="0" w:after="16" w:afterAutospacing="0" w:line="560" w:lineRule="exact"/>
        <w:jc w:val="both"/>
        <w:textAlignment w:val="baseline"/>
        <w:rPr>
          <w:rFonts w:ascii="楷体" w:hAnsi="楷体" w:eastAsia="楷体" w:cs="楷体"/>
          <w:color w:val="0000FF"/>
          <w:sz w:val="30"/>
          <w:szCs w:val="30"/>
          <w:shd w:val="clear" w:color="auto" w:fill="FFFFFF"/>
        </w:rPr>
      </w:pPr>
    </w:p>
    <w:p>
      <w:pPr>
        <w:pStyle w:val="9"/>
        <w:widowControl/>
        <w:spacing w:before="16" w:beforeAutospacing="0" w:after="16" w:afterAutospacing="0" w:line="560" w:lineRule="exact"/>
        <w:jc w:val="both"/>
        <w:textAlignment w:val="baseline"/>
        <w:rPr>
          <w:rFonts w:ascii="楷体" w:hAnsi="楷体" w:eastAsia="楷体" w:cs="楷体"/>
          <w:color w:val="0000FF"/>
          <w:sz w:val="30"/>
          <w:szCs w:val="30"/>
          <w:shd w:val="clear" w:color="auto" w:fill="FFFFFF"/>
        </w:rPr>
      </w:pPr>
    </w:p>
    <w:p>
      <w:pPr>
        <w:pStyle w:val="9"/>
        <w:widowControl/>
        <w:spacing w:before="16" w:beforeAutospacing="0" w:after="16" w:afterAutospacing="0" w:line="560" w:lineRule="exact"/>
        <w:jc w:val="both"/>
        <w:textAlignment w:val="baseline"/>
        <w:rPr>
          <w:rFonts w:ascii="楷体" w:hAnsi="楷体" w:eastAsia="楷体" w:cs="楷体"/>
          <w:color w:val="0000FF"/>
          <w:sz w:val="30"/>
          <w:szCs w:val="30"/>
          <w:shd w:val="clear" w:color="auto" w:fill="FFFFFF"/>
        </w:rPr>
      </w:pPr>
    </w:p>
    <w:p>
      <w:pPr>
        <w:pStyle w:val="9"/>
        <w:widowControl/>
        <w:spacing w:before="16" w:beforeAutospacing="0" w:after="16" w:afterAutospacing="0" w:line="560" w:lineRule="exact"/>
        <w:jc w:val="both"/>
        <w:textAlignment w:val="baseline"/>
        <w:rPr>
          <w:rFonts w:ascii="楷体" w:hAnsi="楷体" w:eastAsia="楷体" w:cs="楷体"/>
          <w:color w:val="0000FF"/>
          <w:sz w:val="30"/>
          <w:szCs w:val="30"/>
          <w:shd w:val="clear" w:color="auto" w:fill="FFFFFF"/>
        </w:rPr>
      </w:pPr>
    </w:p>
    <w:p>
      <w:pPr>
        <w:pStyle w:val="9"/>
        <w:widowControl/>
        <w:spacing w:before="16" w:beforeAutospacing="0" w:after="16" w:afterAutospacing="0" w:line="560" w:lineRule="exact"/>
        <w:jc w:val="both"/>
        <w:textAlignment w:val="baseline"/>
        <w:rPr>
          <w:rFonts w:ascii="楷体" w:hAnsi="楷体" w:eastAsia="楷体" w:cs="楷体"/>
          <w:color w:val="0000FF"/>
          <w:sz w:val="30"/>
          <w:szCs w:val="30"/>
          <w:shd w:val="clear" w:color="auto" w:fill="FFFFFF"/>
        </w:rPr>
      </w:pPr>
    </w:p>
    <w:p>
      <w:pPr>
        <w:pStyle w:val="9"/>
        <w:widowControl/>
        <w:spacing w:before="16" w:beforeAutospacing="0" w:after="16" w:afterAutospacing="0" w:line="560" w:lineRule="exact"/>
        <w:jc w:val="both"/>
        <w:textAlignment w:val="baseline"/>
        <w:rPr>
          <w:rFonts w:ascii="楷体" w:hAnsi="楷体" w:eastAsia="楷体" w:cs="楷体"/>
          <w:color w:val="0000FF"/>
          <w:sz w:val="30"/>
          <w:szCs w:val="30"/>
          <w:shd w:val="clear" w:color="auto" w:fill="FFFFFF"/>
        </w:rPr>
      </w:pPr>
    </w:p>
    <w:p>
      <w:pPr>
        <w:pStyle w:val="9"/>
        <w:widowControl/>
        <w:spacing w:before="16" w:beforeAutospacing="0" w:after="16" w:afterAutospacing="0" w:line="560" w:lineRule="exact"/>
        <w:jc w:val="both"/>
        <w:textAlignment w:val="baseline"/>
        <w:rPr>
          <w:rFonts w:ascii="楷体" w:hAnsi="楷体" w:eastAsia="楷体" w:cs="楷体"/>
          <w:color w:val="0000FF"/>
          <w:sz w:val="30"/>
          <w:szCs w:val="30"/>
          <w:shd w:val="clear" w:color="auto" w:fill="FFFFFF"/>
        </w:rPr>
      </w:pPr>
    </w:p>
    <w:p>
      <w:pPr>
        <w:pStyle w:val="9"/>
        <w:widowControl/>
        <w:spacing w:before="16" w:beforeAutospacing="0" w:after="16" w:afterAutospacing="0" w:line="560" w:lineRule="exact"/>
        <w:jc w:val="both"/>
        <w:textAlignment w:val="baseline"/>
        <w:rPr>
          <w:rFonts w:ascii="楷体" w:hAnsi="楷体" w:eastAsia="楷体" w:cs="楷体"/>
          <w:color w:val="0000FF"/>
          <w:sz w:val="30"/>
          <w:szCs w:val="30"/>
          <w:shd w:val="clear" w:color="auto" w:fill="FFFFFF"/>
        </w:rPr>
      </w:pPr>
    </w:p>
    <w:p>
      <w:pPr>
        <w:pStyle w:val="9"/>
        <w:widowControl/>
        <w:spacing w:before="16" w:beforeAutospacing="0" w:after="16" w:afterAutospacing="0" w:line="560" w:lineRule="exact"/>
        <w:jc w:val="both"/>
        <w:textAlignment w:val="baseline"/>
        <w:rPr>
          <w:rFonts w:ascii="楷体" w:hAnsi="楷体" w:eastAsia="楷体" w:cs="楷体"/>
          <w:color w:val="0000FF"/>
          <w:sz w:val="30"/>
          <w:szCs w:val="30"/>
          <w:shd w:val="clear" w:color="auto" w:fill="FFFFFF"/>
        </w:rPr>
      </w:pPr>
    </w:p>
    <w:p>
      <w:pPr>
        <w:pStyle w:val="9"/>
        <w:widowControl/>
        <w:spacing w:before="16" w:beforeAutospacing="0" w:after="16" w:afterAutospacing="0" w:line="560" w:lineRule="exact"/>
        <w:jc w:val="both"/>
        <w:textAlignment w:val="baseline"/>
        <w:rPr>
          <w:rFonts w:ascii="楷体" w:hAnsi="楷体" w:eastAsia="楷体" w:cs="楷体"/>
          <w:color w:val="0000FF"/>
          <w:sz w:val="30"/>
          <w:szCs w:val="30"/>
          <w:shd w:val="clear" w:color="auto" w:fill="FFFFFF"/>
        </w:rPr>
      </w:pPr>
    </w:p>
    <w:p>
      <w:pPr>
        <w:pStyle w:val="9"/>
        <w:widowControl/>
        <w:spacing w:before="16" w:beforeAutospacing="0" w:after="200" w:afterAutospacing="0" w:line="560" w:lineRule="exact"/>
        <w:jc w:val="center"/>
        <w:textAlignment w:val="baseline"/>
        <w:rPr>
          <w:rFonts w:ascii="方正小标宋_GBK" w:hAnsi="方正小标宋_GBK" w:eastAsia="方正小标宋_GBK" w:cs="方正小标宋_GBK"/>
          <w:color w:val="000000" w:themeColor="text1"/>
          <w:sz w:val="32"/>
          <w:szCs w:val="32"/>
          <w:shd w:val="clear" w:color="auto" w:fill="FFFFFF"/>
          <w14:textFill>
            <w14:solidFill>
              <w14:schemeClr w14:val="tx1"/>
            </w14:solidFill>
          </w14:textFill>
        </w:rPr>
      </w:pPr>
      <w:r>
        <w:rPr>
          <w:rFonts w:hint="eastAsia" w:ascii="方正小标宋_GBK" w:hAnsi="方正小标宋_GBK" w:eastAsia="方正小标宋_GBK" w:cs="方正小标宋_GBK"/>
          <w:color w:val="000000" w:themeColor="text1"/>
          <w:sz w:val="32"/>
          <w:szCs w:val="32"/>
          <w:shd w:val="clear" w:color="auto" w:fill="FFFFFF"/>
          <w14:textFill>
            <w14:solidFill>
              <w14:schemeClr w14:val="tx1"/>
            </w14:solidFill>
          </w14:textFill>
        </w:rPr>
        <w:t>资料来源</w:t>
      </w:r>
    </w:p>
    <w:p>
      <w:pPr>
        <w:pStyle w:val="9"/>
        <w:widowControl/>
        <w:shd w:val="clear" w:color="auto" w:fill="FFFFFF"/>
        <w:spacing w:beforeAutospacing="0" w:after="375" w:afterAutospacing="0" w:line="360" w:lineRule="atLeast"/>
        <w:ind w:firstLine="480" w:firstLineChars="200"/>
        <w:textAlignment w:val="baseline"/>
        <w:rPr>
          <w:rFonts w:asciiTheme="minorEastAsia" w:hAnsiTheme="minorEastAsia" w:cstheme="minorEastAsia"/>
          <w:color w:val="000000" w:themeColor="text1"/>
          <w:shd w:val="clear" w:color="auto" w:fill="FFFFFF"/>
          <w14:textFill>
            <w14:solidFill>
              <w14:schemeClr w14:val="tx1"/>
            </w14:solidFill>
          </w14:textFill>
        </w:rPr>
      </w:pPr>
      <w:r>
        <w:rPr>
          <w:rFonts w:hint="eastAsia" w:asciiTheme="minorEastAsia" w:hAnsiTheme="minorEastAsia" w:cstheme="minorEastAsia"/>
          <w:color w:val="000000" w:themeColor="text1"/>
          <w:shd w:val="clear" w:color="auto" w:fill="FFFFFF"/>
          <w14:textFill>
            <w14:solidFill>
              <w14:schemeClr w14:val="tx1"/>
            </w14:solidFill>
          </w14:textFill>
        </w:rPr>
        <w:t>本公报中巩固拓展脱贫攻坚成果防返贫数据来自市乡村振兴局，投资项目来自市发改委，财政数据来自市财政局，造林绿化面积</w:t>
      </w:r>
      <w:r>
        <w:rPr>
          <w:rFonts w:hint="eastAsia" w:asciiTheme="minorEastAsia" w:hAnsiTheme="minorEastAsia" w:cstheme="minorEastAsia"/>
          <w:color w:val="000000" w:themeColor="text1"/>
          <w:shd w:val="clear" w:color="auto" w:fill="FFFFFF"/>
          <w:lang w:eastAsia="zh-CN"/>
          <w14:textFill>
            <w14:solidFill>
              <w14:schemeClr w14:val="tx1"/>
            </w14:solidFill>
          </w14:textFill>
        </w:rPr>
        <w:t>、</w:t>
      </w:r>
      <w:r>
        <w:rPr>
          <w:rFonts w:hint="eastAsia" w:asciiTheme="minorEastAsia" w:hAnsiTheme="minorEastAsia" w:cstheme="minorEastAsia"/>
          <w:color w:val="000000" w:themeColor="text1"/>
          <w:shd w:val="clear" w:color="auto" w:fill="FFFFFF"/>
          <w:lang w:val="en-US" w:eastAsia="zh-CN"/>
          <w14:textFill>
            <w14:solidFill>
              <w14:schemeClr w14:val="tx1"/>
            </w14:solidFill>
          </w14:textFill>
        </w:rPr>
        <w:t>森林、土地</w:t>
      </w:r>
      <w:r>
        <w:rPr>
          <w:rFonts w:hint="eastAsia" w:asciiTheme="minorEastAsia" w:hAnsiTheme="minorEastAsia" w:cstheme="minorEastAsia"/>
          <w:color w:val="000000" w:themeColor="text1"/>
          <w:shd w:val="clear" w:color="auto" w:fill="FFFFFF"/>
          <w14:textFill>
            <w14:solidFill>
              <w14:schemeClr w14:val="tx1"/>
            </w14:solidFill>
          </w14:textFill>
        </w:rPr>
        <w:t>数据来自市资规局，乐城医疗数据来自乐城管理局，货物、旅客运输和周转量数据来自市交运局，高新技术企业、新能源汽车、5G基站数据来自市科工信局，会议会展、对外经济数据来自市商务局，保障性住房、城镇老旧小区改造、农村危房改造数据来自市住建局，建成区绿化、城</w:t>
      </w:r>
      <w:r>
        <w:rPr>
          <w:rFonts w:hint="eastAsia" w:asciiTheme="minorEastAsia" w:hAnsiTheme="minorEastAsia" w:cstheme="minorEastAsia"/>
          <w:color w:val="000000" w:themeColor="text1"/>
          <w:shd w:val="clear" w:color="auto" w:fill="FFFFFF"/>
          <w:lang w:val="en-US" w:eastAsia="zh-CN"/>
          <w14:textFill>
            <w14:solidFill>
              <w14:schemeClr w14:val="tx1"/>
            </w14:solidFill>
          </w14:textFill>
        </w:rPr>
        <w:t>乡</w:t>
      </w:r>
      <w:r>
        <w:rPr>
          <w:rFonts w:hint="eastAsia" w:asciiTheme="minorEastAsia" w:hAnsiTheme="minorEastAsia" w:cstheme="minorEastAsia"/>
          <w:color w:val="000000" w:themeColor="text1"/>
          <w:shd w:val="clear" w:color="auto" w:fill="FFFFFF"/>
          <w14:textFill>
            <w14:solidFill>
              <w14:schemeClr w14:val="tx1"/>
            </w14:solidFill>
          </w14:textFill>
        </w:rPr>
        <w:t>垃圾处理数据来自市综合执法局，城镇污水处理数据来自市水务局，社会救助数据来自市民政局，科技数据来自市市场监督管理局，教育数据来自市教育局，文化旅游体育等数据来自市旅文局，环境质量数据来自市生态环境局，安全生产、救灾救济数据来自市应急局，卫生数据来自市卫健委，就业、失业保险数据来自市就业局，社会保险数据来自市社保服务中心，医疗保险、医疗救助数据来自市医疗保障局，优抚对象数据来自市退役军人事务局，金融机构存贷款、证券期货交易额、股票数据来自人行琼海支行，银行业、保险业数据来自琼海银监办，道路交通数据来自市交通管理大队，火灾数据来自市消防救援支队，其他数据来自市统计局。</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YWIyODcwMzBmM2NiMTNhODljMjJkMmIwZTA2M2MifQ=="/>
    <w:docVar w:name="KSO_WPS_MARK_KEY" w:val="58e09e4e-f6e3-4f84-b15b-49c61d2b1530"/>
  </w:docVars>
  <w:rsids>
    <w:rsidRoot w:val="00172A27"/>
    <w:rsid w:val="000109AC"/>
    <w:rsid w:val="00012147"/>
    <w:rsid w:val="000176DB"/>
    <w:rsid w:val="00040000"/>
    <w:rsid w:val="00051163"/>
    <w:rsid w:val="00053663"/>
    <w:rsid w:val="00057093"/>
    <w:rsid w:val="00060285"/>
    <w:rsid w:val="00071112"/>
    <w:rsid w:val="00074997"/>
    <w:rsid w:val="00095A91"/>
    <w:rsid w:val="0010153B"/>
    <w:rsid w:val="00113801"/>
    <w:rsid w:val="001150B4"/>
    <w:rsid w:val="00157A5A"/>
    <w:rsid w:val="00173507"/>
    <w:rsid w:val="00185822"/>
    <w:rsid w:val="00193BC2"/>
    <w:rsid w:val="001D7B14"/>
    <w:rsid w:val="00210A9D"/>
    <w:rsid w:val="00255B96"/>
    <w:rsid w:val="00267770"/>
    <w:rsid w:val="002868CA"/>
    <w:rsid w:val="00292038"/>
    <w:rsid w:val="002D6A63"/>
    <w:rsid w:val="002E1148"/>
    <w:rsid w:val="002F2BEB"/>
    <w:rsid w:val="00301F29"/>
    <w:rsid w:val="003027CE"/>
    <w:rsid w:val="0032025E"/>
    <w:rsid w:val="00337AA2"/>
    <w:rsid w:val="00343153"/>
    <w:rsid w:val="003567A1"/>
    <w:rsid w:val="003711DB"/>
    <w:rsid w:val="00386A80"/>
    <w:rsid w:val="003938EF"/>
    <w:rsid w:val="003A1305"/>
    <w:rsid w:val="003A4F64"/>
    <w:rsid w:val="003A748C"/>
    <w:rsid w:val="003C580C"/>
    <w:rsid w:val="003D1D9B"/>
    <w:rsid w:val="003E04CA"/>
    <w:rsid w:val="003E287C"/>
    <w:rsid w:val="003F036D"/>
    <w:rsid w:val="00420452"/>
    <w:rsid w:val="00435310"/>
    <w:rsid w:val="0045145B"/>
    <w:rsid w:val="00451597"/>
    <w:rsid w:val="004559DD"/>
    <w:rsid w:val="004671DB"/>
    <w:rsid w:val="004A2FE1"/>
    <w:rsid w:val="004A6249"/>
    <w:rsid w:val="004B2861"/>
    <w:rsid w:val="004C21D6"/>
    <w:rsid w:val="004D11E8"/>
    <w:rsid w:val="004E045C"/>
    <w:rsid w:val="004F39C0"/>
    <w:rsid w:val="004F67F7"/>
    <w:rsid w:val="00522FCD"/>
    <w:rsid w:val="00536582"/>
    <w:rsid w:val="005856F5"/>
    <w:rsid w:val="00591FE1"/>
    <w:rsid w:val="005A1DBF"/>
    <w:rsid w:val="005B0B45"/>
    <w:rsid w:val="005B39CD"/>
    <w:rsid w:val="005C3826"/>
    <w:rsid w:val="005D4657"/>
    <w:rsid w:val="005E04D3"/>
    <w:rsid w:val="005E6BC2"/>
    <w:rsid w:val="005F1DD3"/>
    <w:rsid w:val="00634649"/>
    <w:rsid w:val="00635882"/>
    <w:rsid w:val="00640EB3"/>
    <w:rsid w:val="006416E0"/>
    <w:rsid w:val="00646DF1"/>
    <w:rsid w:val="006506D3"/>
    <w:rsid w:val="00662629"/>
    <w:rsid w:val="00676C12"/>
    <w:rsid w:val="00695FFD"/>
    <w:rsid w:val="006A183E"/>
    <w:rsid w:val="006C5EE8"/>
    <w:rsid w:val="006F57B6"/>
    <w:rsid w:val="00720826"/>
    <w:rsid w:val="00722A77"/>
    <w:rsid w:val="00731F21"/>
    <w:rsid w:val="00745643"/>
    <w:rsid w:val="00746C46"/>
    <w:rsid w:val="00773099"/>
    <w:rsid w:val="0079534D"/>
    <w:rsid w:val="00796E44"/>
    <w:rsid w:val="007E4301"/>
    <w:rsid w:val="007F3B72"/>
    <w:rsid w:val="0080620F"/>
    <w:rsid w:val="008359FD"/>
    <w:rsid w:val="0083604C"/>
    <w:rsid w:val="00840ED2"/>
    <w:rsid w:val="00844C6D"/>
    <w:rsid w:val="00862DAC"/>
    <w:rsid w:val="00885AC0"/>
    <w:rsid w:val="008873CD"/>
    <w:rsid w:val="008874F4"/>
    <w:rsid w:val="008A2E2C"/>
    <w:rsid w:val="008C432C"/>
    <w:rsid w:val="008F3D07"/>
    <w:rsid w:val="008F3F0A"/>
    <w:rsid w:val="008F42BF"/>
    <w:rsid w:val="00911C06"/>
    <w:rsid w:val="0092313C"/>
    <w:rsid w:val="009350BC"/>
    <w:rsid w:val="00942CD6"/>
    <w:rsid w:val="00944D19"/>
    <w:rsid w:val="0095216D"/>
    <w:rsid w:val="009743C0"/>
    <w:rsid w:val="009A50E9"/>
    <w:rsid w:val="009A5DC1"/>
    <w:rsid w:val="009B5DFE"/>
    <w:rsid w:val="009C3E78"/>
    <w:rsid w:val="009C47E3"/>
    <w:rsid w:val="009D5DFC"/>
    <w:rsid w:val="00A05926"/>
    <w:rsid w:val="00A53FFB"/>
    <w:rsid w:val="00A759EB"/>
    <w:rsid w:val="00A90CB2"/>
    <w:rsid w:val="00AB4378"/>
    <w:rsid w:val="00AC14E5"/>
    <w:rsid w:val="00AC38C2"/>
    <w:rsid w:val="00AD4D50"/>
    <w:rsid w:val="00AE25A6"/>
    <w:rsid w:val="00AF20F9"/>
    <w:rsid w:val="00B15AE4"/>
    <w:rsid w:val="00B44AA4"/>
    <w:rsid w:val="00B76A1C"/>
    <w:rsid w:val="00BB42AC"/>
    <w:rsid w:val="00BB49ED"/>
    <w:rsid w:val="00BC618E"/>
    <w:rsid w:val="00BD3215"/>
    <w:rsid w:val="00BE3F9A"/>
    <w:rsid w:val="00BF42C1"/>
    <w:rsid w:val="00C01347"/>
    <w:rsid w:val="00C12EAD"/>
    <w:rsid w:val="00C22A43"/>
    <w:rsid w:val="00C478D8"/>
    <w:rsid w:val="00C53BD9"/>
    <w:rsid w:val="00C5426B"/>
    <w:rsid w:val="00C55430"/>
    <w:rsid w:val="00C57855"/>
    <w:rsid w:val="00C60F8B"/>
    <w:rsid w:val="00C62778"/>
    <w:rsid w:val="00C630ED"/>
    <w:rsid w:val="00CA1247"/>
    <w:rsid w:val="00CE3753"/>
    <w:rsid w:val="00CE39C2"/>
    <w:rsid w:val="00D048EB"/>
    <w:rsid w:val="00D12E23"/>
    <w:rsid w:val="00D33D42"/>
    <w:rsid w:val="00D33F6A"/>
    <w:rsid w:val="00D40BD4"/>
    <w:rsid w:val="00D428B5"/>
    <w:rsid w:val="00D4712E"/>
    <w:rsid w:val="00D57F78"/>
    <w:rsid w:val="00D7691A"/>
    <w:rsid w:val="00D93449"/>
    <w:rsid w:val="00DA5928"/>
    <w:rsid w:val="00DE747F"/>
    <w:rsid w:val="00E24004"/>
    <w:rsid w:val="00E345A6"/>
    <w:rsid w:val="00E368C6"/>
    <w:rsid w:val="00E64049"/>
    <w:rsid w:val="00E859F5"/>
    <w:rsid w:val="00EB51F2"/>
    <w:rsid w:val="00EC6650"/>
    <w:rsid w:val="00EE78B5"/>
    <w:rsid w:val="00EF7CC4"/>
    <w:rsid w:val="00F11656"/>
    <w:rsid w:val="00F75005"/>
    <w:rsid w:val="00F804BA"/>
    <w:rsid w:val="00F841F0"/>
    <w:rsid w:val="00F94BBC"/>
    <w:rsid w:val="00F94E6A"/>
    <w:rsid w:val="00FA386E"/>
    <w:rsid w:val="00FF5C51"/>
    <w:rsid w:val="0153717C"/>
    <w:rsid w:val="01696D03"/>
    <w:rsid w:val="01FC6AF3"/>
    <w:rsid w:val="02322145"/>
    <w:rsid w:val="02D30A83"/>
    <w:rsid w:val="02E83254"/>
    <w:rsid w:val="03160B21"/>
    <w:rsid w:val="03461681"/>
    <w:rsid w:val="03E90772"/>
    <w:rsid w:val="03FE7BCE"/>
    <w:rsid w:val="04B16216"/>
    <w:rsid w:val="04CA2BDC"/>
    <w:rsid w:val="056D7EDB"/>
    <w:rsid w:val="059E1546"/>
    <w:rsid w:val="05E409C7"/>
    <w:rsid w:val="05EC252A"/>
    <w:rsid w:val="0669417D"/>
    <w:rsid w:val="066D4513"/>
    <w:rsid w:val="0742222F"/>
    <w:rsid w:val="07671328"/>
    <w:rsid w:val="0770794D"/>
    <w:rsid w:val="078C4F13"/>
    <w:rsid w:val="078F300F"/>
    <w:rsid w:val="07F328AE"/>
    <w:rsid w:val="08BD5113"/>
    <w:rsid w:val="08D720EE"/>
    <w:rsid w:val="09744EC8"/>
    <w:rsid w:val="09CF1BC0"/>
    <w:rsid w:val="09D01719"/>
    <w:rsid w:val="0A0F1415"/>
    <w:rsid w:val="0A6D7B38"/>
    <w:rsid w:val="0ACC6E41"/>
    <w:rsid w:val="0B104C38"/>
    <w:rsid w:val="0C5C5CF4"/>
    <w:rsid w:val="0C796D37"/>
    <w:rsid w:val="0CEF2C0F"/>
    <w:rsid w:val="0DA42EC9"/>
    <w:rsid w:val="0E3C0D52"/>
    <w:rsid w:val="0E9469EC"/>
    <w:rsid w:val="0F7F6B90"/>
    <w:rsid w:val="0FEA4360"/>
    <w:rsid w:val="10757085"/>
    <w:rsid w:val="10ED0F79"/>
    <w:rsid w:val="118612F1"/>
    <w:rsid w:val="11964800"/>
    <w:rsid w:val="11D30074"/>
    <w:rsid w:val="1282122C"/>
    <w:rsid w:val="12AB56A1"/>
    <w:rsid w:val="132B29B3"/>
    <w:rsid w:val="133E2532"/>
    <w:rsid w:val="135B1543"/>
    <w:rsid w:val="14337E9E"/>
    <w:rsid w:val="14BB09E7"/>
    <w:rsid w:val="157B77AD"/>
    <w:rsid w:val="15966EA2"/>
    <w:rsid w:val="15BD4B01"/>
    <w:rsid w:val="15F32F2F"/>
    <w:rsid w:val="15FA2F04"/>
    <w:rsid w:val="161866D6"/>
    <w:rsid w:val="16B343ED"/>
    <w:rsid w:val="16FB6C5D"/>
    <w:rsid w:val="16FD29E5"/>
    <w:rsid w:val="17161BCD"/>
    <w:rsid w:val="17494E6E"/>
    <w:rsid w:val="17C90ED7"/>
    <w:rsid w:val="17CE6BC6"/>
    <w:rsid w:val="18464363"/>
    <w:rsid w:val="1885028C"/>
    <w:rsid w:val="18C60F44"/>
    <w:rsid w:val="196374BC"/>
    <w:rsid w:val="19A97245"/>
    <w:rsid w:val="19D366A7"/>
    <w:rsid w:val="1A284625"/>
    <w:rsid w:val="1A5328A6"/>
    <w:rsid w:val="1A782BD1"/>
    <w:rsid w:val="1A9818E4"/>
    <w:rsid w:val="1C4F0AEB"/>
    <w:rsid w:val="1CCF177F"/>
    <w:rsid w:val="1E0761EC"/>
    <w:rsid w:val="1F224D22"/>
    <w:rsid w:val="1FE4013D"/>
    <w:rsid w:val="2000596A"/>
    <w:rsid w:val="2043643C"/>
    <w:rsid w:val="205954DC"/>
    <w:rsid w:val="20A14065"/>
    <w:rsid w:val="20EB299E"/>
    <w:rsid w:val="214051CA"/>
    <w:rsid w:val="23372615"/>
    <w:rsid w:val="23850E10"/>
    <w:rsid w:val="23A414B8"/>
    <w:rsid w:val="23BB708A"/>
    <w:rsid w:val="23EE2029"/>
    <w:rsid w:val="247D145B"/>
    <w:rsid w:val="257B78E8"/>
    <w:rsid w:val="25BA4171"/>
    <w:rsid w:val="26786A00"/>
    <w:rsid w:val="27177820"/>
    <w:rsid w:val="272A5FC5"/>
    <w:rsid w:val="27D47A7E"/>
    <w:rsid w:val="2834474A"/>
    <w:rsid w:val="288C38AC"/>
    <w:rsid w:val="29691044"/>
    <w:rsid w:val="299D5172"/>
    <w:rsid w:val="29ED6E20"/>
    <w:rsid w:val="29F37D1B"/>
    <w:rsid w:val="2A2D22E1"/>
    <w:rsid w:val="2B4B7599"/>
    <w:rsid w:val="2BCA0567"/>
    <w:rsid w:val="2C071743"/>
    <w:rsid w:val="2C5C4F83"/>
    <w:rsid w:val="2C912247"/>
    <w:rsid w:val="2CBD7298"/>
    <w:rsid w:val="2D2D5AE6"/>
    <w:rsid w:val="2D792EEB"/>
    <w:rsid w:val="2E6B49AB"/>
    <w:rsid w:val="2F076F75"/>
    <w:rsid w:val="2F9652B7"/>
    <w:rsid w:val="303D5733"/>
    <w:rsid w:val="305B07D6"/>
    <w:rsid w:val="307958F4"/>
    <w:rsid w:val="30844B3D"/>
    <w:rsid w:val="30865563"/>
    <w:rsid w:val="321F606A"/>
    <w:rsid w:val="328F69F2"/>
    <w:rsid w:val="32C87E4E"/>
    <w:rsid w:val="336930CF"/>
    <w:rsid w:val="33832011"/>
    <w:rsid w:val="33D53184"/>
    <w:rsid w:val="347C5EBC"/>
    <w:rsid w:val="34CC64E1"/>
    <w:rsid w:val="34D72A4E"/>
    <w:rsid w:val="350C3DEF"/>
    <w:rsid w:val="35CA7D0F"/>
    <w:rsid w:val="363B355F"/>
    <w:rsid w:val="364739E8"/>
    <w:rsid w:val="369844CD"/>
    <w:rsid w:val="36E21366"/>
    <w:rsid w:val="37692CB3"/>
    <w:rsid w:val="39A64CD9"/>
    <w:rsid w:val="39FD77D9"/>
    <w:rsid w:val="3AD267E6"/>
    <w:rsid w:val="3AD84098"/>
    <w:rsid w:val="3B377147"/>
    <w:rsid w:val="3BF0101A"/>
    <w:rsid w:val="3C535E5E"/>
    <w:rsid w:val="3CB250E9"/>
    <w:rsid w:val="3CB570FE"/>
    <w:rsid w:val="3CBE6309"/>
    <w:rsid w:val="3CF14EFA"/>
    <w:rsid w:val="3DB55EFD"/>
    <w:rsid w:val="3E3E52AA"/>
    <w:rsid w:val="3E7A22A6"/>
    <w:rsid w:val="3EB924F2"/>
    <w:rsid w:val="3ED00568"/>
    <w:rsid w:val="3F413317"/>
    <w:rsid w:val="3FDB5C96"/>
    <w:rsid w:val="3FF56F3E"/>
    <w:rsid w:val="40660886"/>
    <w:rsid w:val="407611E3"/>
    <w:rsid w:val="40C31CC2"/>
    <w:rsid w:val="40E126CF"/>
    <w:rsid w:val="41512C34"/>
    <w:rsid w:val="418878DA"/>
    <w:rsid w:val="41BB6F81"/>
    <w:rsid w:val="41EE0F83"/>
    <w:rsid w:val="420F6469"/>
    <w:rsid w:val="42170C1B"/>
    <w:rsid w:val="42A15857"/>
    <w:rsid w:val="435A5FDB"/>
    <w:rsid w:val="435E4B8F"/>
    <w:rsid w:val="447A1697"/>
    <w:rsid w:val="44B2296B"/>
    <w:rsid w:val="44B51BB1"/>
    <w:rsid w:val="457F2A0F"/>
    <w:rsid w:val="46301337"/>
    <w:rsid w:val="46806EC2"/>
    <w:rsid w:val="46A832CD"/>
    <w:rsid w:val="46C459CB"/>
    <w:rsid w:val="471807AD"/>
    <w:rsid w:val="471C3E9C"/>
    <w:rsid w:val="47D80C81"/>
    <w:rsid w:val="483503B2"/>
    <w:rsid w:val="485C1842"/>
    <w:rsid w:val="48B20897"/>
    <w:rsid w:val="498B5FBA"/>
    <w:rsid w:val="49EC0814"/>
    <w:rsid w:val="4A4A0D21"/>
    <w:rsid w:val="4ABB7DC2"/>
    <w:rsid w:val="4B8D3E74"/>
    <w:rsid w:val="4BD752D3"/>
    <w:rsid w:val="4BDB6507"/>
    <w:rsid w:val="4BEB57F7"/>
    <w:rsid w:val="4C0716A3"/>
    <w:rsid w:val="4D567C7E"/>
    <w:rsid w:val="4D744307"/>
    <w:rsid w:val="4D7A7388"/>
    <w:rsid w:val="4DC90B68"/>
    <w:rsid w:val="4DD44688"/>
    <w:rsid w:val="4DEF0378"/>
    <w:rsid w:val="4E845A93"/>
    <w:rsid w:val="4ED16403"/>
    <w:rsid w:val="4EE763B9"/>
    <w:rsid w:val="4F6133B7"/>
    <w:rsid w:val="4F8157BD"/>
    <w:rsid w:val="4FE37F89"/>
    <w:rsid w:val="516C4E0B"/>
    <w:rsid w:val="519117B4"/>
    <w:rsid w:val="51E66270"/>
    <w:rsid w:val="52EB5CD5"/>
    <w:rsid w:val="534B763C"/>
    <w:rsid w:val="537B1C37"/>
    <w:rsid w:val="53BF251B"/>
    <w:rsid w:val="54035676"/>
    <w:rsid w:val="542D5C77"/>
    <w:rsid w:val="544B1C82"/>
    <w:rsid w:val="55972E32"/>
    <w:rsid w:val="564D0B14"/>
    <w:rsid w:val="5741067D"/>
    <w:rsid w:val="57BC55C5"/>
    <w:rsid w:val="58240F80"/>
    <w:rsid w:val="58AC65F4"/>
    <w:rsid w:val="59317DEF"/>
    <w:rsid w:val="593566E9"/>
    <w:rsid w:val="59443E40"/>
    <w:rsid w:val="59736593"/>
    <w:rsid w:val="59900A76"/>
    <w:rsid w:val="59E20D5C"/>
    <w:rsid w:val="59FC4822"/>
    <w:rsid w:val="5A037804"/>
    <w:rsid w:val="5A2A3674"/>
    <w:rsid w:val="5A341FEC"/>
    <w:rsid w:val="5A533C21"/>
    <w:rsid w:val="5ACA6FAA"/>
    <w:rsid w:val="5AD17F87"/>
    <w:rsid w:val="5B283C3C"/>
    <w:rsid w:val="5B2B3B0A"/>
    <w:rsid w:val="5B76387C"/>
    <w:rsid w:val="5BB128D2"/>
    <w:rsid w:val="5BB61B6F"/>
    <w:rsid w:val="5BE80F91"/>
    <w:rsid w:val="5BEA0E37"/>
    <w:rsid w:val="5BFD3E6D"/>
    <w:rsid w:val="5C7C3F61"/>
    <w:rsid w:val="5CB862E4"/>
    <w:rsid w:val="5CED0FBA"/>
    <w:rsid w:val="5CF106DF"/>
    <w:rsid w:val="5D246925"/>
    <w:rsid w:val="5DF867DD"/>
    <w:rsid w:val="5E086705"/>
    <w:rsid w:val="5E0F60B1"/>
    <w:rsid w:val="5E162CE7"/>
    <w:rsid w:val="5F3F2D02"/>
    <w:rsid w:val="5F491C4E"/>
    <w:rsid w:val="5F6D7E98"/>
    <w:rsid w:val="5FC64B86"/>
    <w:rsid w:val="601018BE"/>
    <w:rsid w:val="60302DE2"/>
    <w:rsid w:val="603E670B"/>
    <w:rsid w:val="60532435"/>
    <w:rsid w:val="60556F44"/>
    <w:rsid w:val="61243AF6"/>
    <w:rsid w:val="616A39F8"/>
    <w:rsid w:val="61A84B02"/>
    <w:rsid w:val="61A86268"/>
    <w:rsid w:val="61B66372"/>
    <w:rsid w:val="61D308A1"/>
    <w:rsid w:val="627D72D4"/>
    <w:rsid w:val="627F68C5"/>
    <w:rsid w:val="6291049F"/>
    <w:rsid w:val="63D542F8"/>
    <w:rsid w:val="640C0C27"/>
    <w:rsid w:val="641558A2"/>
    <w:rsid w:val="641902EB"/>
    <w:rsid w:val="64347F8C"/>
    <w:rsid w:val="644934EF"/>
    <w:rsid w:val="64571C4E"/>
    <w:rsid w:val="646E0C39"/>
    <w:rsid w:val="65A059FA"/>
    <w:rsid w:val="65B648F6"/>
    <w:rsid w:val="66580774"/>
    <w:rsid w:val="66B87F58"/>
    <w:rsid w:val="66E26DFB"/>
    <w:rsid w:val="67C61772"/>
    <w:rsid w:val="67F8502C"/>
    <w:rsid w:val="682E4E14"/>
    <w:rsid w:val="68D15451"/>
    <w:rsid w:val="68F85E61"/>
    <w:rsid w:val="69622F0D"/>
    <w:rsid w:val="69BF1287"/>
    <w:rsid w:val="69CD3DDA"/>
    <w:rsid w:val="69F34A25"/>
    <w:rsid w:val="69FB134C"/>
    <w:rsid w:val="6A253CDA"/>
    <w:rsid w:val="6A667BA0"/>
    <w:rsid w:val="6ACC12AA"/>
    <w:rsid w:val="6B473625"/>
    <w:rsid w:val="6BD407F6"/>
    <w:rsid w:val="6BF70C11"/>
    <w:rsid w:val="6C120DEE"/>
    <w:rsid w:val="6C8746A5"/>
    <w:rsid w:val="6D3764E7"/>
    <w:rsid w:val="6D6E13CA"/>
    <w:rsid w:val="6DE504F6"/>
    <w:rsid w:val="6E2A16E5"/>
    <w:rsid w:val="6E3F6517"/>
    <w:rsid w:val="6ED57F84"/>
    <w:rsid w:val="6EDE4900"/>
    <w:rsid w:val="6F6C3FBD"/>
    <w:rsid w:val="702A4277"/>
    <w:rsid w:val="70570A83"/>
    <w:rsid w:val="70577AFD"/>
    <w:rsid w:val="70893414"/>
    <w:rsid w:val="70CF7B35"/>
    <w:rsid w:val="712D0DBA"/>
    <w:rsid w:val="714E2657"/>
    <w:rsid w:val="72B51D66"/>
    <w:rsid w:val="73421894"/>
    <w:rsid w:val="741119B3"/>
    <w:rsid w:val="741C1783"/>
    <w:rsid w:val="74685B08"/>
    <w:rsid w:val="749939C5"/>
    <w:rsid w:val="74EE481B"/>
    <w:rsid w:val="74F64203"/>
    <w:rsid w:val="753B20B0"/>
    <w:rsid w:val="755651A4"/>
    <w:rsid w:val="75754E27"/>
    <w:rsid w:val="75790F49"/>
    <w:rsid w:val="75C87998"/>
    <w:rsid w:val="761A5D64"/>
    <w:rsid w:val="76517F3F"/>
    <w:rsid w:val="767E6029"/>
    <w:rsid w:val="76C342FE"/>
    <w:rsid w:val="76C71711"/>
    <w:rsid w:val="77AD302A"/>
    <w:rsid w:val="77AF6B4D"/>
    <w:rsid w:val="78420144"/>
    <w:rsid w:val="78615C19"/>
    <w:rsid w:val="79706C4A"/>
    <w:rsid w:val="79A261A1"/>
    <w:rsid w:val="79BA03BF"/>
    <w:rsid w:val="79D54E87"/>
    <w:rsid w:val="7AC72A44"/>
    <w:rsid w:val="7AFC1EDC"/>
    <w:rsid w:val="7B38103B"/>
    <w:rsid w:val="7B574B81"/>
    <w:rsid w:val="7BD00161"/>
    <w:rsid w:val="7C000104"/>
    <w:rsid w:val="7C0257F0"/>
    <w:rsid w:val="7C2041AC"/>
    <w:rsid w:val="7C5232F5"/>
    <w:rsid w:val="7CF35F0B"/>
    <w:rsid w:val="7D5954FA"/>
    <w:rsid w:val="7D69448E"/>
    <w:rsid w:val="7D7C0B1C"/>
    <w:rsid w:val="7D8E681D"/>
    <w:rsid w:val="7DB740E8"/>
    <w:rsid w:val="7DC9391A"/>
    <w:rsid w:val="7DD93C31"/>
    <w:rsid w:val="7EAB2C65"/>
    <w:rsid w:val="7EFF1EAB"/>
    <w:rsid w:val="7FEC2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eastAsia="宋体" w:cs="Times New Roman"/>
      <w:sz w:val="24"/>
    </w:rPr>
  </w:style>
  <w:style w:type="paragraph" w:styleId="4">
    <w:name w:val="Body Text"/>
    <w:basedOn w:val="1"/>
    <w:next w:val="5"/>
    <w:qFormat/>
    <w:uiPriority w:val="0"/>
    <w:pPr>
      <w:spacing w:after="120" w:line="360" w:lineRule="auto"/>
    </w:pPr>
    <w:rPr>
      <w:rFonts w:eastAsia="华文中宋"/>
      <w:sz w:val="36"/>
    </w:rPr>
  </w:style>
  <w:style w:type="paragraph" w:styleId="5">
    <w:name w:val="Title"/>
    <w:basedOn w:val="1"/>
    <w:next w:val="1"/>
    <w:qFormat/>
    <w:uiPriority w:val="0"/>
    <w:pPr>
      <w:spacing w:afterLines="100"/>
      <w:jc w:val="center"/>
      <w:outlineLvl w:val="0"/>
    </w:pPr>
    <w:rPr>
      <w:rFonts w:ascii="Arial" w:hAnsi="Arial" w:eastAsia="方正小标宋_GBK"/>
      <w:kern w:val="0"/>
      <w:sz w:val="24"/>
    </w:rPr>
  </w:style>
  <w:style w:type="paragraph" w:styleId="6">
    <w:name w:val="Body Text Indent"/>
    <w:basedOn w:val="1"/>
    <w:unhideWhenUsed/>
    <w:qFormat/>
    <w:uiPriority w:val="0"/>
    <w:pPr>
      <w:spacing w:line="480" w:lineRule="exact"/>
      <w:ind w:firstLine="600"/>
    </w:pPr>
    <w:rPr>
      <w:rFonts w:eastAsia="黑体"/>
      <w:bCs/>
      <w:sz w:val="3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2"/>
    <w:basedOn w:val="6"/>
    <w:qFormat/>
    <w:uiPriority w:val="0"/>
    <w:pPr>
      <w:ind w:firstLine="420"/>
    </w:pPr>
    <w:rPr>
      <w:szCs w:val="21"/>
    </w:rPr>
  </w:style>
  <w:style w:type="character" w:styleId="13">
    <w:name w:val="Strong"/>
    <w:basedOn w:val="12"/>
    <w:qFormat/>
    <w:uiPriority w:val="22"/>
    <w:rPr>
      <w:b/>
    </w:rPr>
  </w:style>
  <w:style w:type="character" w:styleId="14">
    <w:name w:val="FollowedHyperlink"/>
    <w:basedOn w:val="12"/>
    <w:qFormat/>
    <w:uiPriority w:val="0"/>
    <w:rPr>
      <w:color w:val="434343"/>
      <w:u w:val="none"/>
    </w:rPr>
  </w:style>
  <w:style w:type="character" w:styleId="15">
    <w:name w:val="Emphasis"/>
    <w:basedOn w:val="12"/>
    <w:qFormat/>
    <w:uiPriority w:val="0"/>
  </w:style>
  <w:style w:type="character" w:styleId="16">
    <w:name w:val="Hyperlink"/>
    <w:basedOn w:val="12"/>
    <w:qFormat/>
    <w:uiPriority w:val="0"/>
    <w:rPr>
      <w:color w:val="434343"/>
      <w:u w:val="none"/>
    </w:rPr>
  </w:style>
  <w:style w:type="paragraph" w:customStyle="1" w:styleId="17">
    <w:name w:val="海南化工城正文"/>
    <w:basedOn w:val="1"/>
    <w:qFormat/>
    <w:uiPriority w:val="0"/>
    <w:pPr>
      <w:spacing w:line="324" w:lineRule="auto"/>
      <w:ind w:firstLine="480" w:firstLineChars="200"/>
    </w:pPr>
    <w:rPr>
      <w:rFonts w:ascii="宋体" w:hAnsi="宋体" w:cs="宋体"/>
      <w:sz w:val="24"/>
      <w:szCs w:val="20"/>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xtb-fr-19"/>
    <w:basedOn w:val="12"/>
    <w:qFormat/>
    <w:uiPriority w:val="0"/>
  </w:style>
  <w:style w:type="character" w:customStyle="1" w:styleId="20">
    <w:name w:val="zx-span5"/>
    <w:basedOn w:val="12"/>
    <w:qFormat/>
    <w:uiPriority w:val="0"/>
  </w:style>
  <w:style w:type="character" w:customStyle="1" w:styleId="21">
    <w:name w:val="r-5-l-sp2"/>
    <w:basedOn w:val="12"/>
    <w:qFormat/>
    <w:uiPriority w:val="0"/>
  </w:style>
  <w:style w:type="character" w:customStyle="1" w:styleId="22">
    <w:name w:val="xtb-fr-08"/>
    <w:basedOn w:val="12"/>
    <w:qFormat/>
    <w:uiPriority w:val="0"/>
  </w:style>
  <w:style w:type="character" w:customStyle="1" w:styleId="23">
    <w:name w:val="zy-fr-bj6"/>
    <w:basedOn w:val="12"/>
    <w:qFormat/>
    <w:uiPriority w:val="0"/>
  </w:style>
  <w:style w:type="character" w:customStyle="1" w:styleId="24">
    <w:name w:val="zx-xuan4"/>
    <w:basedOn w:val="12"/>
    <w:qFormat/>
    <w:uiPriority w:val="0"/>
    <w:rPr>
      <w:shd w:val="clear" w:color="auto" w:fill="FFFFFF"/>
    </w:rPr>
  </w:style>
  <w:style w:type="character" w:customStyle="1" w:styleId="25">
    <w:name w:val="zx-xuan41"/>
    <w:basedOn w:val="12"/>
    <w:qFormat/>
    <w:uiPriority w:val="0"/>
    <w:rPr>
      <w:shd w:val="clear" w:color="auto" w:fill="FFFFFF"/>
    </w:rPr>
  </w:style>
  <w:style w:type="character" w:customStyle="1" w:styleId="26">
    <w:name w:val="xtb-fr-13"/>
    <w:basedOn w:val="12"/>
    <w:qFormat/>
    <w:uiPriority w:val="0"/>
  </w:style>
  <w:style w:type="character" w:customStyle="1" w:styleId="27">
    <w:name w:val="hover106"/>
    <w:basedOn w:val="12"/>
    <w:qFormat/>
    <w:uiPriority w:val="0"/>
    <w:rPr>
      <w:shd w:val="clear" w:color="auto" w:fill="A40000"/>
    </w:rPr>
  </w:style>
  <w:style w:type="character" w:customStyle="1" w:styleId="28">
    <w:name w:val="hover107"/>
    <w:basedOn w:val="12"/>
    <w:qFormat/>
    <w:uiPriority w:val="0"/>
    <w:rPr>
      <w:color w:val="CA1C1D"/>
    </w:rPr>
  </w:style>
  <w:style w:type="character" w:customStyle="1" w:styleId="29">
    <w:name w:val="bsfw-sp2"/>
    <w:basedOn w:val="12"/>
    <w:qFormat/>
    <w:uiPriority w:val="0"/>
  </w:style>
  <w:style w:type="character" w:customStyle="1" w:styleId="30">
    <w:name w:val="bsfw-sp21"/>
    <w:basedOn w:val="12"/>
    <w:qFormat/>
    <w:uiPriority w:val="0"/>
    <w:rPr>
      <w:color w:val="FFFFFF"/>
      <w:shd w:val="clear" w:color="auto" w:fill="CA1C1D"/>
    </w:rPr>
  </w:style>
  <w:style w:type="character" w:customStyle="1" w:styleId="31">
    <w:name w:val="bsfw-sp1"/>
    <w:basedOn w:val="12"/>
    <w:qFormat/>
    <w:uiPriority w:val="0"/>
  </w:style>
  <w:style w:type="character" w:customStyle="1" w:styleId="32">
    <w:name w:val="bsfw-sp11"/>
    <w:basedOn w:val="12"/>
    <w:qFormat/>
    <w:uiPriority w:val="0"/>
    <w:rPr>
      <w:color w:val="FFFFFF"/>
      <w:shd w:val="clear" w:color="auto" w:fill="CA1C1D"/>
    </w:rPr>
  </w:style>
  <w:style w:type="character" w:customStyle="1" w:styleId="33">
    <w:name w:val="bsfw-sp3"/>
    <w:basedOn w:val="12"/>
    <w:qFormat/>
    <w:uiPriority w:val="0"/>
  </w:style>
  <w:style w:type="character" w:customStyle="1" w:styleId="34">
    <w:name w:val="bsfw-sp31"/>
    <w:basedOn w:val="12"/>
    <w:qFormat/>
    <w:uiPriority w:val="0"/>
    <w:rPr>
      <w:color w:val="FFFFFF"/>
      <w:shd w:val="clear" w:color="auto" w:fill="CA1C1D"/>
    </w:rPr>
  </w:style>
  <w:style w:type="character" w:customStyle="1" w:styleId="35">
    <w:name w:val="zx-span3"/>
    <w:basedOn w:val="12"/>
    <w:qFormat/>
    <w:uiPriority w:val="0"/>
  </w:style>
  <w:style w:type="character" w:customStyle="1" w:styleId="36">
    <w:name w:val="zx-span2"/>
    <w:basedOn w:val="12"/>
    <w:qFormat/>
    <w:uiPriority w:val="0"/>
  </w:style>
  <w:style w:type="character" w:customStyle="1" w:styleId="37">
    <w:name w:val="zx-span21"/>
    <w:basedOn w:val="12"/>
    <w:qFormat/>
    <w:uiPriority w:val="0"/>
    <w:rPr>
      <w:color w:val="FFFFFF"/>
    </w:rPr>
  </w:style>
  <w:style w:type="character" w:customStyle="1" w:styleId="38">
    <w:name w:val="zy-fr-bj3"/>
    <w:basedOn w:val="12"/>
    <w:qFormat/>
    <w:uiPriority w:val="0"/>
  </w:style>
  <w:style w:type="character" w:customStyle="1" w:styleId="39">
    <w:name w:val="zy-fr-bj9"/>
    <w:basedOn w:val="12"/>
    <w:qFormat/>
    <w:uiPriority w:val="0"/>
  </w:style>
  <w:style w:type="character" w:customStyle="1" w:styleId="40">
    <w:name w:val="zy-fr-bj17"/>
    <w:basedOn w:val="12"/>
    <w:qFormat/>
    <w:uiPriority w:val="0"/>
  </w:style>
  <w:style w:type="character" w:customStyle="1" w:styleId="41">
    <w:name w:val="zy-gr-bj20"/>
    <w:basedOn w:val="12"/>
    <w:qFormat/>
    <w:uiPriority w:val="0"/>
  </w:style>
  <w:style w:type="character" w:customStyle="1" w:styleId="42">
    <w:name w:val="r-5-l-sp3"/>
    <w:basedOn w:val="12"/>
    <w:qFormat/>
    <w:uiPriority w:val="0"/>
  </w:style>
  <w:style w:type="character" w:customStyle="1" w:styleId="43">
    <w:name w:val="hdjl-x-l-x-sp3"/>
    <w:basedOn w:val="12"/>
    <w:qFormat/>
    <w:uiPriority w:val="0"/>
    <w:rPr>
      <w:color w:val="BFBFBF"/>
      <w:sz w:val="14"/>
      <w:szCs w:val="14"/>
    </w:rPr>
  </w:style>
  <w:style w:type="character" w:customStyle="1" w:styleId="44">
    <w:name w:val="zx-span4"/>
    <w:basedOn w:val="12"/>
    <w:qFormat/>
    <w:uiPriority w:val="0"/>
  </w:style>
  <w:style w:type="character" w:customStyle="1" w:styleId="45">
    <w:name w:val="zx-span41"/>
    <w:basedOn w:val="12"/>
    <w:qFormat/>
    <w:uiPriority w:val="0"/>
    <w:rPr>
      <w:color w:val="FFFFFF"/>
    </w:rPr>
  </w:style>
  <w:style w:type="character" w:customStyle="1" w:styleId="46">
    <w:name w:val="zy-gr-bj17"/>
    <w:basedOn w:val="12"/>
    <w:qFormat/>
    <w:uiPriority w:val="0"/>
  </w:style>
  <w:style w:type="character" w:customStyle="1" w:styleId="47">
    <w:name w:val="zx-span1"/>
    <w:basedOn w:val="12"/>
    <w:qFormat/>
    <w:uiPriority w:val="0"/>
  </w:style>
  <w:style w:type="character" w:customStyle="1" w:styleId="48">
    <w:name w:val="zx-span11"/>
    <w:basedOn w:val="12"/>
    <w:qFormat/>
    <w:uiPriority w:val="0"/>
    <w:rPr>
      <w:color w:val="FFFFFF"/>
    </w:rPr>
  </w:style>
  <w:style w:type="character" w:customStyle="1" w:styleId="49">
    <w:name w:val="zwfw-sp2"/>
    <w:basedOn w:val="12"/>
    <w:qFormat/>
    <w:uiPriority w:val="0"/>
  </w:style>
  <w:style w:type="character" w:customStyle="1" w:styleId="50">
    <w:name w:val="ndata"/>
    <w:basedOn w:val="12"/>
    <w:qFormat/>
    <w:uiPriority w:val="0"/>
    <w:rPr>
      <w:color w:val="AAAAAA"/>
    </w:rPr>
  </w:style>
  <w:style w:type="character" w:customStyle="1" w:styleId="51">
    <w:name w:val="zy-gr-bj21"/>
    <w:basedOn w:val="12"/>
    <w:qFormat/>
    <w:uiPriority w:val="0"/>
  </w:style>
  <w:style w:type="character" w:customStyle="1" w:styleId="52">
    <w:name w:val="zy-fr-bj30"/>
    <w:basedOn w:val="12"/>
    <w:qFormat/>
    <w:uiPriority w:val="0"/>
  </w:style>
  <w:style w:type="character" w:customStyle="1" w:styleId="53">
    <w:name w:val="r-5-l-sp1"/>
    <w:basedOn w:val="12"/>
    <w:qFormat/>
    <w:uiPriority w:val="0"/>
  </w:style>
  <w:style w:type="character" w:customStyle="1" w:styleId="54">
    <w:name w:val="xtb-gr-08"/>
    <w:basedOn w:val="12"/>
    <w:qFormat/>
    <w:uiPriority w:val="0"/>
  </w:style>
  <w:style w:type="character" w:customStyle="1" w:styleId="55">
    <w:name w:val="hdjl-x-l-m-sp4"/>
    <w:basedOn w:val="12"/>
    <w:qFormat/>
    <w:uiPriority w:val="0"/>
  </w:style>
  <w:style w:type="character" w:customStyle="1" w:styleId="56">
    <w:name w:val="zx-xuan15"/>
    <w:basedOn w:val="12"/>
    <w:qFormat/>
    <w:uiPriority w:val="0"/>
    <w:rPr>
      <w:color w:val="FFFFFF"/>
    </w:rPr>
  </w:style>
  <w:style w:type="character" w:customStyle="1" w:styleId="57">
    <w:name w:val="xtb-fr-16"/>
    <w:basedOn w:val="12"/>
    <w:qFormat/>
    <w:uiPriority w:val="0"/>
  </w:style>
  <w:style w:type="character" w:customStyle="1" w:styleId="58">
    <w:name w:val="zy-fr-bj28"/>
    <w:basedOn w:val="12"/>
    <w:qFormat/>
    <w:uiPriority w:val="0"/>
  </w:style>
  <w:style w:type="character" w:customStyle="1" w:styleId="59">
    <w:name w:val="hdjl-x-l-m-sp3"/>
    <w:basedOn w:val="12"/>
    <w:qFormat/>
    <w:uiPriority w:val="0"/>
  </w:style>
  <w:style w:type="character" w:customStyle="1" w:styleId="60">
    <w:name w:val="hdjl-x-l-x-sp1"/>
    <w:basedOn w:val="12"/>
    <w:qFormat/>
    <w:uiPriority w:val="0"/>
    <w:rPr>
      <w:color w:val="BFBFBF"/>
      <w:sz w:val="19"/>
      <w:szCs w:val="19"/>
    </w:rPr>
  </w:style>
  <w:style w:type="character" w:customStyle="1" w:styleId="61">
    <w:name w:val="xtb-fr-07"/>
    <w:basedOn w:val="12"/>
    <w:qFormat/>
    <w:uiPriority w:val="0"/>
  </w:style>
  <w:style w:type="character" w:customStyle="1" w:styleId="62">
    <w:name w:val="hdjl-x-l-m-sp1"/>
    <w:basedOn w:val="12"/>
    <w:qFormat/>
    <w:uiPriority w:val="0"/>
  </w:style>
  <w:style w:type="character" w:customStyle="1" w:styleId="63">
    <w:name w:val="hdjl-x-l-m-sp2"/>
    <w:basedOn w:val="12"/>
    <w:qFormat/>
    <w:uiPriority w:val="0"/>
  </w:style>
  <w:style w:type="character" w:customStyle="1" w:styleId="64">
    <w:name w:val="xtb-gr-02"/>
    <w:basedOn w:val="12"/>
    <w:qFormat/>
    <w:uiPriority w:val="0"/>
  </w:style>
  <w:style w:type="character" w:customStyle="1" w:styleId="65">
    <w:name w:val="xtb-fr-23"/>
    <w:basedOn w:val="12"/>
    <w:qFormat/>
    <w:uiPriority w:val="0"/>
  </w:style>
  <w:style w:type="character" w:customStyle="1" w:styleId="66">
    <w:name w:val="hdxdata"/>
    <w:basedOn w:val="12"/>
    <w:qFormat/>
    <w:uiPriority w:val="0"/>
  </w:style>
  <w:style w:type="character" w:customStyle="1" w:styleId="67">
    <w:name w:val="xtb-gr-18"/>
    <w:basedOn w:val="12"/>
    <w:qFormat/>
    <w:uiPriority w:val="0"/>
  </w:style>
  <w:style w:type="character" w:customStyle="1" w:styleId="68">
    <w:name w:val="xtb-gr-15"/>
    <w:basedOn w:val="12"/>
    <w:qFormat/>
    <w:uiPriority w:val="0"/>
  </w:style>
  <w:style w:type="character" w:customStyle="1" w:styleId="69">
    <w:name w:val="xtb-fr-10"/>
    <w:basedOn w:val="12"/>
    <w:qFormat/>
    <w:uiPriority w:val="0"/>
  </w:style>
  <w:style w:type="character" w:customStyle="1" w:styleId="70">
    <w:name w:val="xtb-fr-09"/>
    <w:basedOn w:val="12"/>
    <w:qFormat/>
    <w:uiPriority w:val="0"/>
  </w:style>
  <w:style w:type="character" w:customStyle="1" w:styleId="71">
    <w:name w:val="xtb-gr-01"/>
    <w:basedOn w:val="12"/>
    <w:qFormat/>
    <w:uiPriority w:val="0"/>
  </w:style>
  <w:style w:type="character" w:customStyle="1" w:styleId="72">
    <w:name w:val="xtb-gr-07"/>
    <w:basedOn w:val="12"/>
    <w:qFormat/>
    <w:uiPriority w:val="0"/>
  </w:style>
  <w:style w:type="character" w:customStyle="1" w:styleId="73">
    <w:name w:val="xtb-gr-03"/>
    <w:basedOn w:val="12"/>
    <w:qFormat/>
    <w:uiPriority w:val="0"/>
  </w:style>
  <w:style w:type="character" w:customStyle="1" w:styleId="74">
    <w:name w:val="xtb-gr-04"/>
    <w:basedOn w:val="12"/>
    <w:qFormat/>
    <w:uiPriority w:val="0"/>
  </w:style>
  <w:style w:type="character" w:customStyle="1" w:styleId="75">
    <w:name w:val="xtb-gr-05"/>
    <w:basedOn w:val="12"/>
    <w:qFormat/>
    <w:uiPriority w:val="0"/>
  </w:style>
  <w:style w:type="character" w:customStyle="1" w:styleId="76">
    <w:name w:val="xtb-gr-06"/>
    <w:basedOn w:val="12"/>
    <w:qFormat/>
    <w:uiPriority w:val="0"/>
  </w:style>
  <w:style w:type="character" w:customStyle="1" w:styleId="77">
    <w:name w:val="xtb-gr-09"/>
    <w:basedOn w:val="12"/>
    <w:qFormat/>
    <w:uiPriority w:val="0"/>
  </w:style>
  <w:style w:type="character" w:customStyle="1" w:styleId="78">
    <w:name w:val="xtb-fr-17"/>
    <w:basedOn w:val="12"/>
    <w:qFormat/>
    <w:uiPriority w:val="0"/>
  </w:style>
  <w:style w:type="character" w:customStyle="1" w:styleId="79">
    <w:name w:val="xtb-gr-10"/>
    <w:basedOn w:val="12"/>
    <w:qFormat/>
    <w:uiPriority w:val="0"/>
  </w:style>
  <w:style w:type="character" w:customStyle="1" w:styleId="80">
    <w:name w:val="xtb-gr-11"/>
    <w:basedOn w:val="12"/>
    <w:qFormat/>
    <w:uiPriority w:val="0"/>
  </w:style>
  <w:style w:type="character" w:customStyle="1" w:styleId="81">
    <w:name w:val="xtb-gr-12"/>
    <w:basedOn w:val="12"/>
    <w:qFormat/>
    <w:uiPriority w:val="0"/>
  </w:style>
  <w:style w:type="character" w:customStyle="1" w:styleId="82">
    <w:name w:val="xtb-gr-13"/>
    <w:basedOn w:val="12"/>
    <w:qFormat/>
    <w:uiPriority w:val="0"/>
  </w:style>
  <w:style w:type="character" w:customStyle="1" w:styleId="83">
    <w:name w:val="xtb-gr-14"/>
    <w:basedOn w:val="12"/>
    <w:qFormat/>
    <w:uiPriority w:val="0"/>
  </w:style>
  <w:style w:type="character" w:customStyle="1" w:styleId="84">
    <w:name w:val="xtb-gr-16"/>
    <w:basedOn w:val="12"/>
    <w:qFormat/>
    <w:uiPriority w:val="0"/>
  </w:style>
  <w:style w:type="character" w:customStyle="1" w:styleId="85">
    <w:name w:val="xtb-gr-17"/>
    <w:basedOn w:val="12"/>
    <w:qFormat/>
    <w:uiPriority w:val="0"/>
  </w:style>
  <w:style w:type="character" w:customStyle="1" w:styleId="86">
    <w:name w:val="xtb-gr-19"/>
    <w:basedOn w:val="12"/>
    <w:qFormat/>
    <w:uiPriority w:val="0"/>
  </w:style>
  <w:style w:type="character" w:customStyle="1" w:styleId="87">
    <w:name w:val="xtb-gr-20"/>
    <w:basedOn w:val="12"/>
    <w:qFormat/>
    <w:uiPriority w:val="0"/>
  </w:style>
  <w:style w:type="character" w:customStyle="1" w:styleId="88">
    <w:name w:val="xtb-fr-01"/>
    <w:basedOn w:val="12"/>
    <w:qFormat/>
    <w:uiPriority w:val="0"/>
  </w:style>
  <w:style w:type="character" w:customStyle="1" w:styleId="89">
    <w:name w:val="xtb-fr-02"/>
    <w:basedOn w:val="12"/>
    <w:qFormat/>
    <w:uiPriority w:val="0"/>
  </w:style>
  <w:style w:type="character" w:customStyle="1" w:styleId="90">
    <w:name w:val="xtb-fr-03"/>
    <w:basedOn w:val="12"/>
    <w:qFormat/>
    <w:uiPriority w:val="0"/>
  </w:style>
  <w:style w:type="character" w:customStyle="1" w:styleId="91">
    <w:name w:val="xtb-fr-04"/>
    <w:basedOn w:val="12"/>
    <w:qFormat/>
    <w:uiPriority w:val="0"/>
  </w:style>
  <w:style w:type="character" w:customStyle="1" w:styleId="92">
    <w:name w:val="xtb-fr-05"/>
    <w:basedOn w:val="12"/>
    <w:qFormat/>
    <w:uiPriority w:val="0"/>
  </w:style>
  <w:style w:type="character" w:customStyle="1" w:styleId="93">
    <w:name w:val="xtb-fr-06"/>
    <w:basedOn w:val="12"/>
    <w:qFormat/>
    <w:uiPriority w:val="0"/>
  </w:style>
  <w:style w:type="character" w:customStyle="1" w:styleId="94">
    <w:name w:val="xtb-fr-24"/>
    <w:basedOn w:val="12"/>
    <w:qFormat/>
    <w:uiPriority w:val="0"/>
  </w:style>
  <w:style w:type="character" w:customStyle="1" w:styleId="95">
    <w:name w:val="xtb-fr-15"/>
    <w:basedOn w:val="12"/>
    <w:qFormat/>
    <w:uiPriority w:val="0"/>
  </w:style>
  <w:style w:type="character" w:customStyle="1" w:styleId="96">
    <w:name w:val="xtb-fr-11"/>
    <w:basedOn w:val="12"/>
    <w:qFormat/>
    <w:uiPriority w:val="0"/>
  </w:style>
  <w:style w:type="character" w:customStyle="1" w:styleId="97">
    <w:name w:val="zy-fr-bj27"/>
    <w:basedOn w:val="12"/>
    <w:qFormat/>
    <w:uiPriority w:val="0"/>
  </w:style>
  <w:style w:type="character" w:customStyle="1" w:styleId="98">
    <w:name w:val="xtb-fr-12"/>
    <w:basedOn w:val="12"/>
    <w:qFormat/>
    <w:uiPriority w:val="0"/>
  </w:style>
  <w:style w:type="character" w:customStyle="1" w:styleId="99">
    <w:name w:val="xtb-fr-14"/>
    <w:basedOn w:val="12"/>
    <w:qFormat/>
    <w:uiPriority w:val="0"/>
  </w:style>
  <w:style w:type="character" w:customStyle="1" w:styleId="100">
    <w:name w:val="xtb-fr-18"/>
    <w:basedOn w:val="12"/>
    <w:qFormat/>
    <w:uiPriority w:val="0"/>
  </w:style>
  <w:style w:type="character" w:customStyle="1" w:styleId="101">
    <w:name w:val="xtb-fr-20"/>
    <w:basedOn w:val="12"/>
    <w:qFormat/>
    <w:uiPriority w:val="0"/>
  </w:style>
  <w:style w:type="character" w:customStyle="1" w:styleId="102">
    <w:name w:val="xtb-fr-21"/>
    <w:basedOn w:val="12"/>
    <w:qFormat/>
    <w:uiPriority w:val="0"/>
  </w:style>
  <w:style w:type="character" w:customStyle="1" w:styleId="103">
    <w:name w:val="xtb-fr-22"/>
    <w:basedOn w:val="12"/>
    <w:qFormat/>
    <w:uiPriority w:val="0"/>
  </w:style>
  <w:style w:type="character" w:customStyle="1" w:styleId="104">
    <w:name w:val="zy-gr-bj15"/>
    <w:basedOn w:val="12"/>
    <w:qFormat/>
    <w:uiPriority w:val="0"/>
  </w:style>
  <w:style w:type="character" w:customStyle="1" w:styleId="105">
    <w:name w:val="zy-gr-bj1"/>
    <w:basedOn w:val="12"/>
    <w:qFormat/>
    <w:uiPriority w:val="0"/>
  </w:style>
  <w:style w:type="character" w:customStyle="1" w:styleId="106">
    <w:name w:val="zy-gr-bj5"/>
    <w:basedOn w:val="12"/>
    <w:qFormat/>
    <w:uiPriority w:val="0"/>
  </w:style>
  <w:style w:type="character" w:customStyle="1" w:styleId="107">
    <w:name w:val="zy-gr-bj7"/>
    <w:basedOn w:val="12"/>
    <w:qFormat/>
    <w:uiPriority w:val="0"/>
  </w:style>
  <w:style w:type="character" w:customStyle="1" w:styleId="108">
    <w:name w:val="zy-gr-bj2"/>
    <w:basedOn w:val="12"/>
    <w:qFormat/>
    <w:uiPriority w:val="0"/>
  </w:style>
  <w:style w:type="character" w:customStyle="1" w:styleId="109">
    <w:name w:val="zy-fr-bj19"/>
    <w:basedOn w:val="12"/>
    <w:qFormat/>
    <w:uiPriority w:val="0"/>
  </w:style>
  <w:style w:type="character" w:customStyle="1" w:styleId="110">
    <w:name w:val="zy-gr-bj26"/>
    <w:basedOn w:val="12"/>
    <w:qFormat/>
    <w:uiPriority w:val="0"/>
  </w:style>
  <w:style w:type="character" w:customStyle="1" w:styleId="111">
    <w:name w:val="zy-fr-bj10"/>
    <w:basedOn w:val="12"/>
    <w:qFormat/>
    <w:uiPriority w:val="0"/>
  </w:style>
  <w:style w:type="character" w:customStyle="1" w:styleId="112">
    <w:name w:val="zy-gr-bj27"/>
    <w:basedOn w:val="12"/>
    <w:qFormat/>
    <w:uiPriority w:val="0"/>
  </w:style>
  <w:style w:type="character" w:customStyle="1" w:styleId="113">
    <w:name w:val="zy-gr-bj3"/>
    <w:basedOn w:val="12"/>
    <w:qFormat/>
    <w:uiPriority w:val="0"/>
  </w:style>
  <w:style w:type="character" w:customStyle="1" w:styleId="114">
    <w:name w:val="zy-gr-bj13"/>
    <w:basedOn w:val="12"/>
    <w:qFormat/>
    <w:uiPriority w:val="0"/>
  </w:style>
  <w:style w:type="character" w:customStyle="1" w:styleId="115">
    <w:name w:val="zy-fr-bj1"/>
    <w:basedOn w:val="12"/>
    <w:qFormat/>
    <w:uiPriority w:val="0"/>
  </w:style>
  <w:style w:type="character" w:customStyle="1" w:styleId="116">
    <w:name w:val="zy-gr-bj4"/>
    <w:basedOn w:val="12"/>
    <w:qFormat/>
    <w:uiPriority w:val="0"/>
  </w:style>
  <w:style w:type="character" w:customStyle="1" w:styleId="117">
    <w:name w:val="zy-gr-bj6"/>
    <w:basedOn w:val="12"/>
    <w:qFormat/>
    <w:uiPriority w:val="0"/>
  </w:style>
  <w:style w:type="character" w:customStyle="1" w:styleId="118">
    <w:name w:val="zy-gr-bj8"/>
    <w:basedOn w:val="12"/>
    <w:qFormat/>
    <w:uiPriority w:val="0"/>
  </w:style>
  <w:style w:type="character" w:customStyle="1" w:styleId="119">
    <w:name w:val="zy-gr-bj9"/>
    <w:basedOn w:val="12"/>
    <w:qFormat/>
    <w:uiPriority w:val="0"/>
  </w:style>
  <w:style w:type="character" w:customStyle="1" w:styleId="120">
    <w:name w:val="zy-gr-bj10"/>
    <w:basedOn w:val="12"/>
    <w:qFormat/>
    <w:uiPriority w:val="0"/>
  </w:style>
  <w:style w:type="character" w:customStyle="1" w:styleId="121">
    <w:name w:val="zy-gr-bj11"/>
    <w:basedOn w:val="12"/>
    <w:qFormat/>
    <w:uiPriority w:val="0"/>
  </w:style>
  <w:style w:type="character" w:customStyle="1" w:styleId="122">
    <w:name w:val="zy-gr-bj12"/>
    <w:basedOn w:val="12"/>
    <w:qFormat/>
    <w:uiPriority w:val="0"/>
  </w:style>
  <w:style w:type="character" w:customStyle="1" w:styleId="123">
    <w:name w:val="zy-gr-bj14"/>
    <w:basedOn w:val="12"/>
    <w:qFormat/>
    <w:uiPriority w:val="0"/>
  </w:style>
  <w:style w:type="character" w:customStyle="1" w:styleId="124">
    <w:name w:val="zy-gr-bj16"/>
    <w:basedOn w:val="12"/>
    <w:qFormat/>
    <w:uiPriority w:val="0"/>
  </w:style>
  <w:style w:type="character" w:customStyle="1" w:styleId="125">
    <w:name w:val="zy-fr-bj26"/>
    <w:basedOn w:val="12"/>
    <w:qFormat/>
    <w:uiPriority w:val="0"/>
  </w:style>
  <w:style w:type="character" w:customStyle="1" w:styleId="126">
    <w:name w:val="zy-gr-bj18"/>
    <w:basedOn w:val="12"/>
    <w:qFormat/>
    <w:uiPriority w:val="0"/>
  </w:style>
  <w:style w:type="character" w:customStyle="1" w:styleId="127">
    <w:name w:val="zy-fr-bj2"/>
    <w:basedOn w:val="12"/>
    <w:qFormat/>
    <w:uiPriority w:val="0"/>
  </w:style>
  <w:style w:type="character" w:customStyle="1" w:styleId="128">
    <w:name w:val="zy-gr-bj19"/>
    <w:basedOn w:val="12"/>
    <w:qFormat/>
    <w:uiPriority w:val="0"/>
  </w:style>
  <w:style w:type="character" w:customStyle="1" w:styleId="129">
    <w:name w:val="zy-gr-bj22"/>
    <w:basedOn w:val="12"/>
    <w:qFormat/>
    <w:uiPriority w:val="0"/>
  </w:style>
  <w:style w:type="character" w:customStyle="1" w:styleId="130">
    <w:name w:val="zy-gr-bj23"/>
    <w:basedOn w:val="12"/>
    <w:qFormat/>
    <w:uiPriority w:val="0"/>
  </w:style>
  <w:style w:type="character" w:customStyle="1" w:styleId="131">
    <w:name w:val="zy-gr-bj24"/>
    <w:basedOn w:val="12"/>
    <w:qFormat/>
    <w:uiPriority w:val="0"/>
  </w:style>
  <w:style w:type="character" w:customStyle="1" w:styleId="132">
    <w:name w:val="zy-fr-bj12"/>
    <w:basedOn w:val="12"/>
    <w:qFormat/>
    <w:uiPriority w:val="0"/>
  </w:style>
  <w:style w:type="character" w:customStyle="1" w:styleId="133">
    <w:name w:val="zy-gr-bj25"/>
    <w:basedOn w:val="12"/>
    <w:qFormat/>
    <w:uiPriority w:val="0"/>
  </w:style>
  <w:style w:type="character" w:customStyle="1" w:styleId="134">
    <w:name w:val="zy-fr-bj13"/>
    <w:basedOn w:val="12"/>
    <w:qFormat/>
    <w:uiPriority w:val="0"/>
  </w:style>
  <w:style w:type="character" w:customStyle="1" w:styleId="135">
    <w:name w:val="zy-fr-bj22"/>
    <w:basedOn w:val="12"/>
    <w:qFormat/>
    <w:uiPriority w:val="0"/>
  </w:style>
  <w:style w:type="character" w:customStyle="1" w:styleId="136">
    <w:name w:val="zy-fr-bj4"/>
    <w:basedOn w:val="12"/>
    <w:qFormat/>
    <w:uiPriority w:val="0"/>
  </w:style>
  <w:style w:type="character" w:customStyle="1" w:styleId="137">
    <w:name w:val="zy-fr-bj5"/>
    <w:basedOn w:val="12"/>
    <w:qFormat/>
    <w:uiPriority w:val="0"/>
  </w:style>
  <w:style w:type="character" w:customStyle="1" w:styleId="138">
    <w:name w:val="zy-fr-bj7"/>
    <w:basedOn w:val="12"/>
    <w:qFormat/>
    <w:uiPriority w:val="0"/>
  </w:style>
  <w:style w:type="character" w:customStyle="1" w:styleId="139">
    <w:name w:val="zy-fr-bj11"/>
    <w:basedOn w:val="12"/>
    <w:qFormat/>
    <w:uiPriority w:val="0"/>
  </w:style>
  <w:style w:type="character" w:customStyle="1" w:styleId="140">
    <w:name w:val="zy-fr-bj8"/>
    <w:basedOn w:val="12"/>
    <w:qFormat/>
    <w:uiPriority w:val="0"/>
  </w:style>
  <w:style w:type="character" w:customStyle="1" w:styleId="141">
    <w:name w:val="zy-fr-bj14"/>
    <w:basedOn w:val="12"/>
    <w:qFormat/>
    <w:uiPriority w:val="0"/>
  </w:style>
  <w:style w:type="character" w:customStyle="1" w:styleId="142">
    <w:name w:val="zy-fr-bj15"/>
    <w:basedOn w:val="12"/>
    <w:qFormat/>
    <w:uiPriority w:val="0"/>
  </w:style>
  <w:style w:type="character" w:customStyle="1" w:styleId="143">
    <w:name w:val="zy-fr-bj16"/>
    <w:basedOn w:val="12"/>
    <w:qFormat/>
    <w:uiPriority w:val="0"/>
  </w:style>
  <w:style w:type="character" w:customStyle="1" w:styleId="144">
    <w:name w:val="zy-fr-bj18"/>
    <w:basedOn w:val="12"/>
    <w:qFormat/>
    <w:uiPriority w:val="0"/>
  </w:style>
  <w:style w:type="character" w:customStyle="1" w:styleId="145">
    <w:name w:val="zy-fr-bj20"/>
    <w:basedOn w:val="12"/>
    <w:qFormat/>
    <w:uiPriority w:val="0"/>
  </w:style>
  <w:style w:type="character" w:customStyle="1" w:styleId="146">
    <w:name w:val="zy-fr-bj21"/>
    <w:basedOn w:val="12"/>
    <w:qFormat/>
    <w:uiPriority w:val="0"/>
  </w:style>
  <w:style w:type="character" w:customStyle="1" w:styleId="147">
    <w:name w:val="zy-fr-bj23"/>
    <w:basedOn w:val="12"/>
    <w:qFormat/>
    <w:uiPriority w:val="0"/>
  </w:style>
  <w:style w:type="character" w:customStyle="1" w:styleId="148">
    <w:name w:val="zy-fr-bj24"/>
    <w:basedOn w:val="12"/>
    <w:qFormat/>
    <w:uiPriority w:val="0"/>
  </w:style>
  <w:style w:type="character" w:customStyle="1" w:styleId="149">
    <w:name w:val="zy-fr-bj25"/>
    <w:basedOn w:val="12"/>
    <w:qFormat/>
    <w:uiPriority w:val="0"/>
  </w:style>
  <w:style w:type="character" w:customStyle="1" w:styleId="150">
    <w:name w:val="zy-fr-bj29"/>
    <w:basedOn w:val="12"/>
    <w:qFormat/>
    <w:uiPriority w:val="0"/>
  </w:style>
  <w:style w:type="character" w:customStyle="1" w:styleId="151">
    <w:name w:val="zx-span31"/>
    <w:basedOn w:val="12"/>
    <w:qFormat/>
    <w:uiPriority w:val="0"/>
    <w:rPr>
      <w:color w:val="FFFFFF"/>
    </w:rPr>
  </w:style>
  <w:style w:type="character" w:customStyle="1" w:styleId="152">
    <w:name w:val="zx-span51"/>
    <w:basedOn w:val="12"/>
    <w:qFormat/>
    <w:uiPriority w:val="0"/>
    <w:rPr>
      <w:color w:val="FFFFFF"/>
    </w:rPr>
  </w:style>
  <w:style w:type="character" w:customStyle="1" w:styleId="153">
    <w:name w:val="cur"/>
    <w:basedOn w:val="12"/>
    <w:qFormat/>
    <w:uiPriority w:val="0"/>
    <w:rPr>
      <w:shd w:val="clear" w:color="auto" w:fill="0168B7"/>
    </w:rPr>
  </w:style>
  <w:style w:type="character" w:customStyle="1" w:styleId="154">
    <w:name w:val="hover75"/>
    <w:basedOn w:val="12"/>
    <w:qFormat/>
    <w:uiPriority w:val="0"/>
  </w:style>
  <w:style w:type="character" w:customStyle="1" w:styleId="155">
    <w:name w:val="zx-xuan7"/>
    <w:basedOn w:val="12"/>
    <w:qFormat/>
    <w:uiPriority w:val="0"/>
    <w:rPr>
      <w:color w:val="FFFFFF"/>
    </w:rPr>
  </w:style>
  <w:style w:type="character" w:customStyle="1" w:styleId="156">
    <w:name w:val="r-6-l-sp3"/>
    <w:basedOn w:val="12"/>
    <w:qFormat/>
    <w:uiPriority w:val="0"/>
  </w:style>
  <w:style w:type="character" w:customStyle="1" w:styleId="157">
    <w:name w:val="r-6-l-sp1"/>
    <w:basedOn w:val="12"/>
    <w:qFormat/>
    <w:uiPriority w:val="0"/>
  </w:style>
  <w:style w:type="character" w:customStyle="1" w:styleId="158">
    <w:name w:val="r-6-l-sp2"/>
    <w:basedOn w:val="12"/>
    <w:qFormat/>
    <w:uiPriority w:val="0"/>
  </w:style>
  <w:style w:type="character" w:customStyle="1" w:styleId="159">
    <w:name w:val="hover"/>
    <w:basedOn w:val="12"/>
    <w:qFormat/>
    <w:uiPriority w:val="0"/>
    <w:rPr>
      <w:shd w:val="clear" w:color="auto" w:fill="A40000"/>
    </w:rPr>
  </w:style>
  <w:style w:type="character" w:customStyle="1" w:styleId="160">
    <w:name w:val="hover1"/>
    <w:basedOn w:val="12"/>
    <w:qFormat/>
    <w:uiPriority w:val="0"/>
    <w:rPr>
      <w:color w:val="CA1C1D"/>
    </w:rPr>
  </w:style>
  <w:style w:type="character" w:customStyle="1" w:styleId="161">
    <w:name w:val="font41"/>
    <w:basedOn w:val="12"/>
    <w:qFormat/>
    <w:uiPriority w:val="0"/>
    <w:rPr>
      <w:rFonts w:hint="eastAsia" w:ascii="宋体" w:hAnsi="宋体" w:eastAsia="宋体" w:cs="宋体"/>
      <w:color w:val="000000"/>
      <w:sz w:val="22"/>
      <w:szCs w:val="22"/>
      <w:u w:val="none"/>
    </w:rPr>
  </w:style>
  <w:style w:type="character" w:customStyle="1" w:styleId="162">
    <w:name w:val="font11"/>
    <w:qFormat/>
    <w:uiPriority w:val="0"/>
    <w:rPr>
      <w:rFonts w:hint="eastAsia" w:ascii="宋体" w:hAnsi="宋体" w:eastAsia="宋体" w:cs="宋体"/>
      <w:color w:val="000000"/>
      <w:sz w:val="24"/>
      <w:szCs w:val="24"/>
      <w:u w:val="none"/>
    </w:rPr>
  </w:style>
  <w:style w:type="paragraph" w:customStyle="1" w:styleId="163">
    <w:name w:val="Char Char Char Char"/>
    <w:basedOn w:val="1"/>
    <w:qFormat/>
    <w:uiPriority w:val="0"/>
    <w:rPr>
      <w:rFonts w:ascii="Times New Roman" w:hAnsi="Times New Roman" w:eastAsia="宋体" w:cs="Times New Roman"/>
      <w:sz w:val="24"/>
    </w:rPr>
  </w:style>
  <w:style w:type="paragraph" w:customStyle="1" w:styleId="164">
    <w:name w:val="正文-公1"/>
    <w:qFormat/>
    <w:uiPriority w:val="0"/>
    <w:pPr>
      <w:widowControl w:val="0"/>
      <w:ind w:firstLine="200" w:firstLineChars="200"/>
      <w:jc w:val="both"/>
    </w:pPr>
    <w:rPr>
      <w:rFonts w:ascii="Calibri" w:hAnsi="Calibri" w:eastAsia="宋体" w:cs="Calibri"/>
      <w:color w:val="000000"/>
      <w:kern w:val="2"/>
      <w:sz w:val="32"/>
      <w:szCs w:val="32"/>
      <w:lang w:val="en-US" w:eastAsia="zh-CN" w:bidi="ar-SA"/>
    </w:rPr>
  </w:style>
  <w:style w:type="character" w:customStyle="1" w:styleId="165">
    <w:name w:val="NormalCharacter"/>
    <w:link w:val="166"/>
    <w:qFormat/>
    <w:uiPriority w:val="0"/>
    <w:rPr>
      <w:rFonts w:ascii="Times New Roman" w:hAnsi="Times New Roman" w:eastAsia="宋体" w:cs="Times New Roman"/>
      <w:sz w:val="24"/>
    </w:rPr>
  </w:style>
  <w:style w:type="paragraph" w:customStyle="1" w:styleId="166">
    <w:name w:val="UserStyle_9"/>
    <w:basedOn w:val="1"/>
    <w:link w:val="165"/>
    <w:qFormat/>
    <w:uiPriority w:val="0"/>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0"/>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1300">
                <a:solidFill>
                  <a:schemeClr val="tx1"/>
                </a:solidFill>
                <a:uFillTx/>
                <a:latin typeface="黑体" panose="02010609060101010101" charset="-122"/>
                <a:ea typeface="黑体" panose="02010609060101010101" charset="-122"/>
                <a:cs typeface="黑体" panose="02010609060101010101" charset="-122"/>
              </a:rPr>
              <a:t>图</a:t>
            </a:r>
            <a:r>
              <a:rPr lang="en-US" altLang="zh-CN" sz="1300">
                <a:solidFill>
                  <a:schemeClr val="tx1"/>
                </a:solidFill>
                <a:uFillTx/>
                <a:latin typeface="黑体" panose="02010609060101010101" charset="-122"/>
                <a:ea typeface="黑体" panose="02010609060101010101" charset="-122"/>
                <a:cs typeface="黑体" panose="02010609060101010101" charset="-122"/>
              </a:rPr>
              <a:t>2 2017-2022</a:t>
            </a:r>
            <a:r>
              <a:rPr lang="zh-CN" altLang="en-US" sz="1300">
                <a:solidFill>
                  <a:schemeClr val="tx1"/>
                </a:solidFill>
                <a:uFillTx/>
                <a:latin typeface="黑体" panose="02010609060101010101" charset="-122"/>
                <a:ea typeface="黑体" panose="02010609060101010101" charset="-122"/>
                <a:cs typeface="黑体" panose="02010609060101010101" charset="-122"/>
              </a:rPr>
              <a:t>年全市三次产业增加值占地区生产总值比重</a:t>
            </a:r>
            <a:endParaRPr lang="zh-CN" altLang="en-US" sz="1300">
              <a:solidFill>
                <a:schemeClr val="tx1"/>
              </a:solidFill>
              <a:uFillTx/>
              <a:latin typeface="黑体" panose="02010609060101010101" charset="-122"/>
              <a:ea typeface="黑体" panose="02010609060101010101" charset="-122"/>
              <a:cs typeface="黑体" panose="02010609060101010101" charset="-122"/>
            </a:endParaRPr>
          </a:p>
        </c:rich>
      </c:tx>
      <c:layout>
        <c:manualLayout>
          <c:xMode val="edge"/>
          <c:yMode val="edge"/>
          <c:x val="0.10056571412406"/>
          <c:y val="0.0101963891152057"/>
        </c:manualLayout>
      </c:layout>
      <c:overlay val="0"/>
      <c:spPr>
        <a:noFill/>
        <a:ln>
          <a:noFill/>
        </a:ln>
        <a:effectLst/>
      </c:spPr>
    </c:title>
    <c:autoTitleDeleted val="0"/>
    <c:plotArea>
      <c:layout>
        <c:manualLayout>
          <c:layoutTarget val="inner"/>
          <c:xMode val="edge"/>
          <c:yMode val="edge"/>
          <c:x val="0.0840459552291839"/>
          <c:y val="0.213143483023001"/>
          <c:w val="0.829491886770105"/>
          <c:h val="0.587820372398686"/>
        </c:manualLayout>
      </c:layout>
      <c:barChart>
        <c:barDir val="col"/>
        <c:grouping val="percentStacked"/>
        <c:varyColors val="0"/>
        <c:ser>
          <c:idx val="0"/>
          <c:order val="0"/>
          <c:tx>
            <c:strRef>
              <c:f>Sheet1!$B$1</c:f>
              <c:strCache>
                <c:ptCount val="1"/>
                <c:pt idx="0">
                  <c:v>第一产业</c:v>
                </c:pt>
              </c:strCache>
            </c:strRef>
          </c:tx>
          <c:spPr>
            <a:solidFill>
              <a:srgbClr val="6E87E7"/>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2017年</c:v>
                </c:pt>
                <c:pt idx="1">
                  <c:v>2018年</c:v>
                </c:pt>
                <c:pt idx="2">
                  <c:v>2019年</c:v>
                </c:pt>
                <c:pt idx="3">
                  <c:v>2020年</c:v>
                </c:pt>
                <c:pt idx="4">
                  <c:v>2021年</c:v>
                </c:pt>
                <c:pt idx="5">
                  <c:v>2022年</c:v>
                </c:pt>
              </c:strCache>
            </c:strRef>
          </c:cat>
          <c:val>
            <c:numRef>
              <c:f>Sheet1!$B$2:$B$7</c:f>
              <c:numCache>
                <c:formatCode>General</c:formatCode>
                <c:ptCount val="6"/>
                <c:pt idx="0">
                  <c:v>33.1</c:v>
                </c:pt>
                <c:pt idx="1">
                  <c:v>31.3</c:v>
                </c:pt>
                <c:pt idx="2">
                  <c:v>32.2</c:v>
                </c:pt>
                <c:pt idx="3">
                  <c:v>32.4</c:v>
                </c:pt>
                <c:pt idx="4">
                  <c:v>33</c:v>
                </c:pt>
                <c:pt idx="5">
                  <c:v>35.2</c:v>
                </c:pt>
              </c:numCache>
            </c:numRef>
          </c:val>
        </c:ser>
        <c:ser>
          <c:idx val="1"/>
          <c:order val="1"/>
          <c:tx>
            <c:strRef>
              <c:f>Sheet1!$C$1</c:f>
              <c:strCache>
                <c:ptCount val="1"/>
                <c:pt idx="0">
                  <c:v>第二产业</c:v>
                </c:pt>
              </c:strCache>
            </c:strRef>
          </c:tx>
          <c:spPr>
            <a:solidFill>
              <a:srgbClr val="DE641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2017年</c:v>
                </c:pt>
                <c:pt idx="1">
                  <c:v>2018年</c:v>
                </c:pt>
                <c:pt idx="2">
                  <c:v>2019年</c:v>
                </c:pt>
                <c:pt idx="3">
                  <c:v>2020年</c:v>
                </c:pt>
                <c:pt idx="4">
                  <c:v>2021年</c:v>
                </c:pt>
                <c:pt idx="5">
                  <c:v>2022年</c:v>
                </c:pt>
              </c:strCache>
            </c:strRef>
          </c:cat>
          <c:val>
            <c:numRef>
              <c:f>Sheet1!$C$2:$C$7</c:f>
              <c:numCache>
                <c:formatCode>General</c:formatCode>
                <c:ptCount val="6"/>
                <c:pt idx="0">
                  <c:v>13.5</c:v>
                </c:pt>
                <c:pt idx="1">
                  <c:v>12.9</c:v>
                </c:pt>
                <c:pt idx="2">
                  <c:v>12.7</c:v>
                </c:pt>
                <c:pt idx="3">
                  <c:v>13.8</c:v>
                </c:pt>
                <c:pt idx="4">
                  <c:v>13.1</c:v>
                </c:pt>
                <c:pt idx="5" c:formatCode="0.0_ ">
                  <c:v>13</c:v>
                </c:pt>
              </c:numCache>
            </c:numRef>
          </c:val>
        </c:ser>
        <c:ser>
          <c:idx val="2"/>
          <c:order val="2"/>
          <c:tx>
            <c:strRef>
              <c:f>Sheet1!$D$1</c:f>
              <c:strCache>
                <c:ptCount val="1"/>
                <c:pt idx="0">
                  <c:v>第三产业</c:v>
                </c:pt>
              </c:strCache>
            </c:strRef>
          </c:tx>
          <c:spPr>
            <a:solidFill>
              <a:srgbClr val="FFFF0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2017年</c:v>
                </c:pt>
                <c:pt idx="1">
                  <c:v>2018年</c:v>
                </c:pt>
                <c:pt idx="2">
                  <c:v>2019年</c:v>
                </c:pt>
                <c:pt idx="3">
                  <c:v>2020年</c:v>
                </c:pt>
                <c:pt idx="4">
                  <c:v>2021年</c:v>
                </c:pt>
                <c:pt idx="5">
                  <c:v>2022年</c:v>
                </c:pt>
              </c:strCache>
            </c:strRef>
          </c:cat>
          <c:val>
            <c:numRef>
              <c:f>Sheet1!$D$2:$D$7</c:f>
              <c:numCache>
                <c:formatCode>0.0_ </c:formatCode>
                <c:ptCount val="6"/>
                <c:pt idx="0">
                  <c:v>53.4</c:v>
                </c:pt>
                <c:pt idx="1" c:formatCode="General">
                  <c:v>55.8</c:v>
                </c:pt>
                <c:pt idx="2" c:formatCode="General">
                  <c:v>55.1</c:v>
                </c:pt>
                <c:pt idx="3" c:formatCode="General">
                  <c:v>53.8</c:v>
                </c:pt>
                <c:pt idx="4" c:formatCode="General">
                  <c:v>53.9</c:v>
                </c:pt>
                <c:pt idx="5" c:formatCode="General">
                  <c:v>51.8</c:v>
                </c:pt>
              </c:numCache>
            </c:numRef>
          </c:val>
        </c:ser>
        <c:dLbls>
          <c:showLegendKey val="0"/>
          <c:showVal val="1"/>
          <c:showCatName val="0"/>
          <c:showSerName val="0"/>
          <c:showPercent val="0"/>
          <c:showBubbleSize val="0"/>
        </c:dLbls>
        <c:gapWidth val="150"/>
        <c:overlap val="100"/>
        <c:axId val="137288930"/>
        <c:axId val="66421714"/>
      </c:barChart>
      <c:catAx>
        <c:axId val="137288930"/>
        <c:scaling>
          <c:orientation val="minMax"/>
        </c:scaling>
        <c:delete val="0"/>
        <c:axPos val="b"/>
        <c:numFmt formatCode="General" sourceLinked="0"/>
        <c:majorTickMark val="in"/>
        <c:minorTickMark val="none"/>
        <c:tickLblPos val="nextTo"/>
        <c:spPr>
          <a:noFill/>
          <a:ln w="9525" cap="flat" cmpd="sng" algn="ctr">
            <a:solidFill>
              <a:schemeClr val="tx1">
                <a:lumMod val="50000"/>
                <a:lumOff val="50000"/>
              </a:schemeClr>
            </a:solidFill>
            <a:round/>
          </a:ln>
          <a:effectLst/>
        </c:spPr>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6421714"/>
        <c:crosses val="autoZero"/>
        <c:auto val="1"/>
        <c:lblAlgn val="ctr"/>
        <c:lblOffset val="100"/>
        <c:noMultiLvlLbl val="0"/>
      </c:catAx>
      <c:valAx>
        <c:axId val="66421714"/>
        <c:scaling>
          <c:orientation val="minMax"/>
        </c:scaling>
        <c:delete val="0"/>
        <c:axPos val="l"/>
        <c:majorGridlines>
          <c:spPr>
            <a:ln w="9525" cap="flat" cmpd="sng" algn="ctr">
              <a:noFill/>
              <a:round/>
            </a:ln>
            <a:effectLst/>
          </c:spPr>
        </c:majorGridlines>
        <c:numFmt formatCode="0%" sourceLinked="1"/>
        <c:majorTickMark val="in"/>
        <c:minorTickMark val="none"/>
        <c:tickLblPos val="nextTo"/>
        <c:spPr>
          <a:noFill/>
          <a:ln>
            <a:solidFill>
              <a:schemeClr val="tx1">
                <a:lumMod val="50000"/>
                <a:lumOff val="50000"/>
              </a:schemeClr>
            </a:solidFill>
          </a:ln>
          <a:effectLst/>
        </c:spPr>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37288930"/>
        <c:crosses val="autoZero"/>
        <c:crossBetween val="between"/>
      </c:valAx>
      <c:spPr>
        <a:solidFill>
          <a:schemeClr val="bg1"/>
        </a:solid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ea"/>
                <a:ea typeface="+mn-ea"/>
                <a:cs typeface="+mn-ea"/>
                <a:sym typeface="+mn-ea"/>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ea"/>
                <a:ea typeface="+mn-ea"/>
                <a:cs typeface="+mn-ea"/>
                <a:sym typeface="+mn-ea"/>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ea"/>
                <a:ea typeface="+mn-ea"/>
                <a:cs typeface="+mn-ea"/>
                <a:sym typeface="+mn-ea"/>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ea"/>
              <a:ea typeface="+mn-ea"/>
              <a:cs typeface="+mn-ea"/>
              <a:sym typeface="+mn-ea"/>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sz="1400">
                <a:solidFill>
                  <a:schemeClr val="tx1"/>
                </a:solidFill>
                <a:latin typeface="黑体" panose="02010609060101010101" charset="-122"/>
                <a:ea typeface="黑体" panose="02010609060101010101" charset="-122"/>
                <a:cs typeface="黑体" panose="02010609060101010101" charset="-122"/>
              </a:rPr>
              <a:t>图</a:t>
            </a:r>
            <a:r>
              <a:rPr lang="en-US" altLang="zh-CN" sz="1400">
                <a:solidFill>
                  <a:schemeClr val="tx1"/>
                </a:solidFill>
                <a:latin typeface="黑体" panose="02010609060101010101" charset="-122"/>
                <a:ea typeface="黑体" panose="02010609060101010101" charset="-122"/>
                <a:cs typeface="黑体" panose="02010609060101010101" charset="-122"/>
              </a:rPr>
              <a:t>3  2022</a:t>
            </a:r>
            <a:r>
              <a:rPr lang="zh-CN" altLang="en-US" sz="1400">
                <a:solidFill>
                  <a:schemeClr val="tx1"/>
                </a:solidFill>
                <a:latin typeface="黑体" panose="02010609060101010101" charset="-122"/>
                <a:ea typeface="黑体" panose="02010609060101010101" charset="-122"/>
                <a:cs typeface="黑体" panose="02010609060101010101" charset="-122"/>
              </a:rPr>
              <a:t>年居民消费价格月度涨跌幅度</a:t>
            </a:r>
            <a:endParaRPr lang="zh-CN" altLang="en-US" sz="1400">
              <a:solidFill>
                <a:schemeClr val="tx1"/>
              </a:solidFill>
              <a:latin typeface="黑体" panose="02010609060101010101" charset="-122"/>
              <a:ea typeface="黑体" panose="02010609060101010101" charset="-122"/>
              <a:cs typeface="黑体" panose="02010609060101010101" charset="-122"/>
            </a:endParaRPr>
          </a:p>
        </c:rich>
      </c:tx>
      <c:layout/>
      <c:overlay val="0"/>
      <c:spPr>
        <a:noFill/>
        <a:ln>
          <a:noFill/>
        </a:ln>
        <a:effectLst/>
      </c:spPr>
    </c:title>
    <c:autoTitleDeleted val="0"/>
    <c:plotArea>
      <c:layout>
        <c:manualLayout>
          <c:layoutTarget val="inner"/>
          <c:xMode val="edge"/>
          <c:yMode val="edge"/>
          <c:x val="0.102404454339894"/>
          <c:y val="0.164627589340731"/>
          <c:w val="0.774398834102502"/>
          <c:h val="0.728283796740173"/>
        </c:manualLayout>
      </c:layout>
      <c:lineChart>
        <c:grouping val="standard"/>
        <c:varyColors val="0"/>
        <c:ser>
          <c:idx val="1"/>
          <c:order val="0"/>
          <c:tx>
            <c:strRef>
              <c:f>Sheet1!$B$1</c:f>
              <c:strCache>
                <c:ptCount val="1"/>
                <c:pt idx="0">
                  <c:v>月度同比</c:v>
                </c:pt>
              </c:strCache>
            </c:strRef>
          </c:tx>
          <c:spPr>
            <a:ln w="28575" cap="rnd">
              <a:solidFill>
                <a:schemeClr val="accent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Sheet1!$B$2:$B$13</c:f>
              <c:numCache>
                <c:formatCode>General</c:formatCode>
                <c:ptCount val="12"/>
                <c:pt idx="0">
                  <c:v>1.2</c:v>
                </c:pt>
                <c:pt idx="1">
                  <c:v>2.1</c:v>
                </c:pt>
                <c:pt idx="2">
                  <c:v>2.7</c:v>
                </c:pt>
                <c:pt idx="3">
                  <c:v>3.2</c:v>
                </c:pt>
                <c:pt idx="4">
                  <c:v>3.2</c:v>
                </c:pt>
                <c:pt idx="5">
                  <c:v>3.3</c:v>
                </c:pt>
                <c:pt idx="6">
                  <c:v>2.6</c:v>
                </c:pt>
                <c:pt idx="7">
                  <c:v>2.9</c:v>
                </c:pt>
                <c:pt idx="8">
                  <c:v>2.8</c:v>
                </c:pt>
                <c:pt idx="9">
                  <c:v>1.2</c:v>
                </c:pt>
                <c:pt idx="10">
                  <c:v>0.8</c:v>
                </c:pt>
                <c:pt idx="11">
                  <c:v>1.9</c:v>
                </c:pt>
              </c:numCache>
            </c:numRef>
          </c:val>
          <c:smooth val="0"/>
        </c:ser>
        <c:ser>
          <c:idx val="0"/>
          <c:order val="1"/>
          <c:tx>
            <c:strRef>
              <c:f>Sheet1!$C$1</c:f>
              <c:strCache>
                <c:ptCount val="1"/>
                <c:pt idx="0">
                  <c:v>月度环比</c:v>
                </c:pt>
              </c:strCache>
            </c:strRef>
          </c:tx>
          <c:spPr>
            <a:ln w="28575" cap="rnd">
              <a:solidFill>
                <a:schemeClr val="accent1"/>
              </a:solidFill>
              <a:round/>
            </a:ln>
            <a:effectLst/>
          </c:spPr>
          <c:marker>
            <c:symbol val="none"/>
          </c:marker>
          <c:dLbls>
            <c:delete val="1"/>
          </c:dLbls>
          <c:cat>
            <c:strRef>
              <c:f>Sheet1!$A$2:$A$13</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Sheet1!$C$2:$C$13</c:f>
              <c:numCache>
                <c:formatCode>General</c:formatCode>
                <c:ptCount val="12"/>
                <c:pt idx="0">
                  <c:v>0.5</c:v>
                </c:pt>
                <c:pt idx="1">
                  <c:v>1.3</c:v>
                </c:pt>
                <c:pt idx="2">
                  <c:v>-0.2</c:v>
                </c:pt>
                <c:pt idx="3">
                  <c:v>0.2</c:v>
                </c:pt>
                <c:pt idx="4">
                  <c:v>-0.3</c:v>
                </c:pt>
                <c:pt idx="5">
                  <c:v>-0.1</c:v>
                </c:pt>
                <c:pt idx="6">
                  <c:v>-0.1</c:v>
                </c:pt>
                <c:pt idx="7">
                  <c:v>0.1</c:v>
                </c:pt>
                <c:pt idx="8">
                  <c:v>0.3</c:v>
                </c:pt>
                <c:pt idx="9">
                  <c:v>0.2</c:v>
                </c:pt>
                <c:pt idx="10">
                  <c:v>0.1</c:v>
                </c:pt>
                <c:pt idx="11" c:formatCode="0.0_ ">
                  <c:v>0</c:v>
                </c:pt>
              </c:numCache>
            </c:numRef>
          </c:val>
          <c:smooth val="0"/>
        </c:ser>
        <c:dLbls>
          <c:showLegendKey val="0"/>
          <c:showVal val="0"/>
          <c:showCatName val="0"/>
          <c:showSerName val="0"/>
          <c:showPercent val="0"/>
          <c:showBubbleSize val="0"/>
        </c:dLbls>
        <c:marker val="0"/>
        <c:smooth val="0"/>
        <c:axId val="751926800"/>
        <c:axId val="490875712"/>
      </c:lineChart>
      <c:catAx>
        <c:axId val="751926800"/>
        <c:scaling>
          <c:orientation val="minMax"/>
        </c:scaling>
        <c:delete val="0"/>
        <c:axPos val="b"/>
        <c:numFmt formatCode="General" sourceLinked="0"/>
        <c:majorTickMark val="in"/>
        <c:minorTickMark val="none"/>
        <c:tickLblPos val="nextTo"/>
        <c:spPr>
          <a:noFill/>
          <a:ln w="9525" cap="flat" cmpd="sng" algn="ctr">
            <a:solidFill>
              <a:schemeClr val="tx1">
                <a:lumMod val="50000"/>
                <a:lumOff val="50000"/>
              </a:schemeClr>
            </a:solidFill>
            <a:round/>
          </a:ln>
          <a:effectLst/>
        </c:spPr>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90875712"/>
        <c:crosses val="autoZero"/>
        <c:auto val="1"/>
        <c:lblAlgn val="ctr"/>
        <c:lblOffset val="100"/>
        <c:noMultiLvlLbl val="0"/>
      </c:catAx>
      <c:valAx>
        <c:axId val="490875712"/>
        <c:scaling>
          <c:orientation val="minMax"/>
        </c:scaling>
        <c:delete val="0"/>
        <c:axPos val="l"/>
        <c:majorGridlines>
          <c:spPr>
            <a:ln w="9525" cap="flat" cmpd="sng" algn="ctr">
              <a:noFill/>
              <a:round/>
            </a:ln>
            <a:effectLst/>
          </c:spPr>
        </c:majorGridlines>
        <c:title>
          <c:tx>
            <c:rich>
              <a:bodyPr rot="0" spcFirstLastPara="0" vertOverflow="ellipsis" vert="horz" wrap="square" anchor="ctr" anchorCtr="1"/>
              <a:lstStyle/>
              <a:p>
                <a:pPr defTabSz="914400">
                  <a:defRPr lang="zh-CN" sz="900" b="1"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900" b="1">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a:t>
                </a:r>
                <a:endParaRPr lang="en-US" altLang="zh-CN" sz="900" b="1">
                  <a:solidFill>
                    <a:schemeClr val="tx1"/>
                  </a:solidFill>
                  <a:latin typeface="宋体" panose="02010600030101010101" charset="-122"/>
                  <a:ea typeface="宋体" panose="02010600030101010101" charset="-122"/>
                  <a:cs typeface="宋体" panose="02010600030101010101" charset="-122"/>
                  <a:sym typeface="宋体" panose="02010600030101010101" charset="-122"/>
                </a:endParaRPr>
              </a:p>
            </c:rich>
          </c:tx>
          <c:layout>
            <c:manualLayout>
              <c:xMode val="edge"/>
              <c:yMode val="edge"/>
              <c:x val="0.071440869482602"/>
              <c:y val="0.0997539119238339"/>
            </c:manualLayout>
          </c:layout>
          <c:overlay val="0"/>
          <c:spPr>
            <a:noFill/>
            <a:ln>
              <a:noFill/>
            </a:ln>
            <a:effectLst/>
          </c:spPr>
        </c:title>
        <c:numFmt formatCode="General" sourceLinked="1"/>
        <c:majorTickMark val="in"/>
        <c:minorTickMark val="none"/>
        <c:tickLblPos val="nextTo"/>
        <c:spPr>
          <a:noFill/>
          <a:ln>
            <a:solidFill>
              <a:schemeClr val="tx1">
                <a:lumMod val="50000"/>
                <a:lumOff val="50000"/>
              </a:schemeClr>
            </a:solidFill>
          </a:ln>
          <a:effectLst/>
        </c:spPr>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751926800"/>
        <c:crosses val="autoZero"/>
        <c:crossBetween val="between"/>
      </c:valAx>
      <c:spPr>
        <a:noFill/>
        <a:ln>
          <a:noFill/>
        </a:ln>
        <a:effectLst/>
      </c:spPr>
    </c:plotArea>
    <c:plotVisOnly val="1"/>
    <c:dispBlanksAs val="gap"/>
    <c:showDLblsOverMax val="0"/>
  </c:chart>
  <c:spPr>
    <a:solidFill>
      <a:schemeClr val="bg1"/>
    </a:solidFill>
    <a:ln w="3175" cap="rnd"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sz="1400">
                <a:solidFill>
                  <a:schemeClr val="tx1"/>
                </a:solidFill>
                <a:latin typeface="黑体" panose="02010609060101010101" charset="-122"/>
                <a:ea typeface="黑体" panose="02010609060101010101" charset="-122"/>
                <a:cs typeface="黑体" panose="02010609060101010101" charset="-122"/>
              </a:rPr>
              <a:t>图</a:t>
            </a:r>
            <a:r>
              <a:rPr lang="en-US" altLang="zh-CN" sz="1400">
                <a:solidFill>
                  <a:schemeClr val="tx1"/>
                </a:solidFill>
                <a:latin typeface="黑体" panose="02010609060101010101" charset="-122"/>
                <a:ea typeface="黑体" panose="02010609060101010101" charset="-122"/>
                <a:cs typeface="黑体" panose="02010609060101010101" charset="-122"/>
              </a:rPr>
              <a:t>4  2017-2022</a:t>
            </a:r>
            <a:r>
              <a:rPr lang="zh-CN" altLang="en-US" sz="1400">
                <a:solidFill>
                  <a:schemeClr val="tx1"/>
                </a:solidFill>
                <a:latin typeface="黑体" panose="02010609060101010101" charset="-122"/>
                <a:ea typeface="黑体" panose="02010609060101010101" charset="-122"/>
                <a:cs typeface="黑体" panose="02010609060101010101" charset="-122"/>
              </a:rPr>
              <a:t>年全市社会消费品零售总额</a:t>
            </a:r>
            <a:endParaRPr lang="zh-CN" altLang="en-US" sz="1400">
              <a:solidFill>
                <a:schemeClr val="tx1"/>
              </a:solidFill>
              <a:latin typeface="黑体" panose="02010609060101010101" charset="-122"/>
              <a:ea typeface="黑体" panose="02010609060101010101" charset="-122"/>
              <a:cs typeface="黑体" panose="02010609060101010101" charset="-122"/>
            </a:endParaRPr>
          </a:p>
        </c:rich>
      </c:tx>
      <c:layout/>
      <c:overlay val="0"/>
      <c:spPr>
        <a:noFill/>
        <a:ln>
          <a:noFill/>
        </a:ln>
        <a:effectLst/>
      </c:spPr>
    </c:title>
    <c:autoTitleDeleted val="0"/>
    <c:plotArea>
      <c:layout>
        <c:manualLayout>
          <c:layoutTarget val="inner"/>
          <c:xMode val="edge"/>
          <c:yMode val="edge"/>
          <c:x val="0.108133595284872"/>
          <c:y val="0.176"/>
          <c:w val="0.818258022265881"/>
          <c:h val="0.728266666666667"/>
        </c:manualLayout>
      </c:layout>
      <c:barChart>
        <c:barDir val="col"/>
        <c:grouping val="clustered"/>
        <c:varyColors val="0"/>
        <c:ser>
          <c:idx val="1"/>
          <c:order val="0"/>
          <c:tx>
            <c:strRef>
              <c:f>Sheet1!$B$1</c:f>
              <c:strCache>
                <c:ptCount val="1"/>
                <c:pt idx="0">
                  <c:v>社会消费品零售总额</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2017年</c:v>
                </c:pt>
                <c:pt idx="1">
                  <c:v>2018年</c:v>
                </c:pt>
                <c:pt idx="2">
                  <c:v>2019年</c:v>
                </c:pt>
                <c:pt idx="3">
                  <c:v>2020年</c:v>
                </c:pt>
                <c:pt idx="4">
                  <c:v>2021年</c:v>
                </c:pt>
                <c:pt idx="5">
                  <c:v>2022年</c:v>
                </c:pt>
              </c:strCache>
            </c:strRef>
          </c:cat>
          <c:val>
            <c:numRef>
              <c:f>Sheet1!$B$2:$B$7</c:f>
              <c:numCache>
                <c:formatCode>General</c:formatCode>
                <c:ptCount val="6"/>
                <c:pt idx="0">
                  <c:v>970024</c:v>
                </c:pt>
                <c:pt idx="1">
                  <c:v>1041895</c:v>
                </c:pt>
                <c:pt idx="2">
                  <c:v>1098095</c:v>
                </c:pt>
                <c:pt idx="3">
                  <c:v>1080047</c:v>
                </c:pt>
                <c:pt idx="4">
                  <c:v>1286890</c:v>
                </c:pt>
                <c:pt idx="5">
                  <c:v>1197228</c:v>
                </c:pt>
              </c:numCache>
            </c:numRef>
          </c:val>
        </c:ser>
        <c:dLbls>
          <c:showLegendKey val="0"/>
          <c:showVal val="1"/>
          <c:showCatName val="0"/>
          <c:showSerName val="0"/>
          <c:showPercent val="0"/>
          <c:showBubbleSize val="0"/>
        </c:dLbls>
        <c:gapWidth val="219"/>
        <c:overlap val="-27"/>
        <c:axId val="751926800"/>
        <c:axId val="490875712"/>
      </c:barChart>
      <c:catAx>
        <c:axId val="751926800"/>
        <c:scaling>
          <c:orientation val="minMax"/>
        </c:scaling>
        <c:delete val="0"/>
        <c:axPos val="b"/>
        <c:numFmt formatCode="General" sourceLinked="0"/>
        <c:majorTickMark val="in"/>
        <c:minorTickMark val="none"/>
        <c:tickLblPos val="nextTo"/>
        <c:spPr>
          <a:noFill/>
          <a:ln w="9525" cap="flat" cmpd="sng" algn="ctr">
            <a:solidFill>
              <a:schemeClr val="tx1">
                <a:lumMod val="50000"/>
                <a:lumOff val="50000"/>
              </a:schemeClr>
            </a:solidFill>
            <a:round/>
          </a:ln>
          <a:effectLst/>
        </c:spPr>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90875712"/>
        <c:crosses val="autoZero"/>
        <c:auto val="1"/>
        <c:lblAlgn val="ctr"/>
        <c:lblOffset val="100"/>
        <c:noMultiLvlLbl val="0"/>
      </c:catAx>
      <c:valAx>
        <c:axId val="490875712"/>
        <c:scaling>
          <c:orientation val="minMax"/>
        </c:scaling>
        <c:delete val="0"/>
        <c:axPos val="l"/>
        <c:majorGridlines>
          <c:spPr>
            <a:ln w="9525" cap="flat" cmpd="sng" algn="ctr">
              <a:noFill/>
              <a:round/>
            </a:ln>
            <a:effectLst/>
          </c:spPr>
        </c:majorGridlines>
        <c:title>
          <c:tx>
            <c:rich>
              <a:bodyPr rot="0" spcFirstLastPara="0" vertOverflow="ellipsis" vert="horz" wrap="square" anchor="ctr" anchorCtr="1"/>
              <a:lstStyle/>
              <a:p>
                <a:pPr defTabSz="914400">
                  <a:defRPr lang="zh-CN" sz="900" b="1"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zh-CN" altLang="en-US" sz="900" b="1">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万元</a:t>
                </a:r>
                <a:endParaRPr lang="zh-CN" altLang="en-US" sz="900" b="1">
                  <a:solidFill>
                    <a:schemeClr val="tx1"/>
                  </a:solidFill>
                  <a:latin typeface="宋体" panose="02010600030101010101" charset="-122"/>
                  <a:ea typeface="宋体" panose="02010600030101010101" charset="-122"/>
                  <a:cs typeface="宋体" panose="02010600030101010101" charset="-122"/>
                  <a:sym typeface="宋体" panose="02010600030101010101" charset="-122"/>
                </a:endParaRPr>
              </a:p>
            </c:rich>
          </c:tx>
          <c:layout>
            <c:manualLayout>
              <c:xMode val="edge"/>
              <c:yMode val="edge"/>
              <c:x val="0.0821282632159029"/>
              <c:y val="0.106465321319807"/>
            </c:manualLayout>
          </c:layout>
          <c:overlay val="0"/>
          <c:spPr>
            <a:noFill/>
            <a:ln>
              <a:noFill/>
            </a:ln>
            <a:effectLst/>
          </c:spPr>
        </c:title>
        <c:numFmt formatCode="General" sourceLinked="1"/>
        <c:majorTickMark val="in"/>
        <c:minorTickMark val="none"/>
        <c:tickLblPos val="nextTo"/>
        <c:spPr>
          <a:noFill/>
          <a:ln>
            <a:solidFill>
              <a:schemeClr val="tx1">
                <a:lumMod val="50000"/>
                <a:lumOff val="50000"/>
              </a:schemeClr>
            </a:solidFill>
          </a:ln>
          <a:effectLst/>
        </c:spPr>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751926800"/>
        <c:crosses val="autoZero"/>
        <c:crossBetween val="between"/>
      </c:valAx>
      <c:spPr>
        <a:noFill/>
        <a:ln>
          <a:noFill/>
        </a:ln>
        <a:effectLst/>
      </c:spPr>
    </c:plotArea>
    <c:plotVisOnly val="1"/>
    <c:dispBlanksAs val="gap"/>
    <c:showDLblsOverMax val="0"/>
  </c:chart>
  <c:spPr>
    <a:solidFill>
      <a:schemeClr val="bg1"/>
    </a:solidFill>
    <a:ln w="3175" cap="rnd"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latin typeface="黑体" panose="02010609060101010101" charset="-122"/>
                <a:ea typeface="黑体" panose="02010609060101010101" charset="-122"/>
                <a:cs typeface="黑体" panose="02010609060101010101" charset="-122"/>
              </a:rPr>
              <a:t>图</a:t>
            </a:r>
            <a:r>
              <a:rPr lang="en-US" altLang="zh-CN">
                <a:solidFill>
                  <a:schemeClr val="tx1"/>
                </a:solidFill>
                <a:latin typeface="黑体" panose="02010609060101010101" charset="-122"/>
                <a:ea typeface="黑体" panose="02010609060101010101" charset="-122"/>
                <a:cs typeface="黑体" panose="02010609060101010101" charset="-122"/>
              </a:rPr>
              <a:t>5  2017-2022</a:t>
            </a:r>
            <a:r>
              <a:rPr lang="zh-CN" altLang="en-US">
                <a:solidFill>
                  <a:schemeClr val="tx1"/>
                </a:solidFill>
                <a:latin typeface="黑体" panose="02010609060101010101" charset="-122"/>
                <a:ea typeface="黑体" panose="02010609060101010101" charset="-122"/>
                <a:cs typeface="黑体" panose="02010609060101010101" charset="-122"/>
              </a:rPr>
              <a:t>年全市居民人均可支配收入及其增速</a:t>
            </a:r>
            <a:endParaRPr lang="zh-CN" altLang="en-US">
              <a:solidFill>
                <a:schemeClr val="tx1"/>
              </a:solidFill>
              <a:latin typeface="黑体" panose="02010609060101010101" charset="-122"/>
              <a:ea typeface="黑体" panose="02010609060101010101" charset="-122"/>
              <a:cs typeface="黑体" panose="02010609060101010101" charset="-122"/>
            </a:endParaRPr>
          </a:p>
        </c:rich>
      </c:tx>
      <c:layout>
        <c:manualLayout>
          <c:xMode val="edge"/>
          <c:yMode val="edge"/>
          <c:x val="0.138882311153209"/>
          <c:y val="0.0240144086451871"/>
        </c:manualLayout>
      </c:layout>
      <c:overlay val="0"/>
      <c:spPr>
        <a:noFill/>
        <a:ln>
          <a:noFill/>
        </a:ln>
        <a:effectLst/>
      </c:spPr>
    </c:title>
    <c:autoTitleDeleted val="0"/>
    <c:plotArea>
      <c:layout>
        <c:manualLayout>
          <c:layoutTarget val="inner"/>
          <c:xMode val="edge"/>
          <c:yMode val="edge"/>
          <c:x val="0.107222353776936"/>
          <c:y val="0.181101181881767"/>
          <c:w val="0.819891072697135"/>
          <c:h val="0.729517710626376"/>
        </c:manualLayout>
      </c:layout>
      <c:barChart>
        <c:barDir val="col"/>
        <c:grouping val="clustered"/>
        <c:varyColors val="0"/>
        <c:ser>
          <c:idx val="1"/>
          <c:order val="0"/>
          <c:tx>
            <c:strRef>
              <c:f>Sheet1!$B$1</c:f>
              <c:strCache>
                <c:ptCount val="1"/>
                <c:pt idx="0">
                  <c:v>全市居民人均可支配收入</c:v>
                </c:pt>
              </c:strCache>
            </c:strRef>
          </c:tx>
          <c:spPr>
            <a:solidFill>
              <a:srgbClr val="FE204F"/>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2017年</c:v>
                </c:pt>
                <c:pt idx="1">
                  <c:v>2018年</c:v>
                </c:pt>
                <c:pt idx="2">
                  <c:v>2019年</c:v>
                </c:pt>
                <c:pt idx="3">
                  <c:v>2020年</c:v>
                </c:pt>
                <c:pt idx="4">
                  <c:v>2021年</c:v>
                </c:pt>
                <c:pt idx="5">
                  <c:v>2022年</c:v>
                </c:pt>
              </c:strCache>
            </c:strRef>
          </c:cat>
          <c:val>
            <c:numRef>
              <c:f>Sheet1!$B$2:$B$7</c:f>
              <c:numCache>
                <c:formatCode>General</c:formatCode>
                <c:ptCount val="6"/>
                <c:pt idx="0">
                  <c:v>21373</c:v>
                </c:pt>
                <c:pt idx="1">
                  <c:v>23325</c:v>
                </c:pt>
                <c:pt idx="2">
                  <c:v>25302</c:v>
                </c:pt>
                <c:pt idx="3">
                  <c:v>26745</c:v>
                </c:pt>
                <c:pt idx="4">
                  <c:v>29241</c:v>
                </c:pt>
                <c:pt idx="5">
                  <c:v>29679</c:v>
                </c:pt>
              </c:numCache>
            </c:numRef>
          </c:val>
        </c:ser>
        <c:dLbls>
          <c:showLegendKey val="0"/>
          <c:showVal val="1"/>
          <c:showCatName val="0"/>
          <c:showSerName val="0"/>
          <c:showPercent val="0"/>
          <c:showBubbleSize val="0"/>
        </c:dLbls>
        <c:gapWidth val="219"/>
        <c:overlap val="-27"/>
        <c:axId val="751926800"/>
        <c:axId val="490875712"/>
      </c:barChart>
      <c:lineChart>
        <c:grouping val="standard"/>
        <c:varyColors val="0"/>
        <c:ser>
          <c:idx val="2"/>
          <c:order val="1"/>
          <c:tx>
            <c:strRef>
              <c:f>Sheet1!$C$1</c:f>
              <c:strCache>
                <c:ptCount val="1"/>
                <c:pt idx="0">
                  <c:v>比上年增长</c:v>
                </c:pt>
              </c:strCache>
            </c:strRef>
          </c:tx>
          <c:spPr>
            <a:ln w="25400" cap="rnd" cmpd="sng">
              <a:solidFill>
                <a:srgbClr val="03C4D5"/>
              </a:solidFill>
              <a:prstDash val="solid"/>
              <a:round/>
            </a:ln>
            <a:effectLst/>
          </c:spPr>
          <c:marker>
            <c:symbol val="none"/>
          </c:marker>
          <c:dLbls>
            <c:dLbl>
              <c:idx val="0"/>
              <c:layout>
                <c:manualLayout>
                  <c:x val="-0.0266398295050912"/>
                  <c:y val="0.051030618371022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19677954061094"/>
                  <c:y val="0.051030618371022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84158181387639"/>
                  <c:y val="0.048028817290374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55197726734549"/>
                  <c:y val="0.063037822693616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55197726734549"/>
                  <c:y val="0.060036021612967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2017年</c:v>
                </c:pt>
                <c:pt idx="1">
                  <c:v>2018年</c:v>
                </c:pt>
                <c:pt idx="2">
                  <c:v>2019年</c:v>
                </c:pt>
                <c:pt idx="3">
                  <c:v>2020年</c:v>
                </c:pt>
                <c:pt idx="4">
                  <c:v>2021年</c:v>
                </c:pt>
                <c:pt idx="5">
                  <c:v>2022年</c:v>
                </c:pt>
              </c:strCache>
            </c:strRef>
          </c:cat>
          <c:val>
            <c:numRef>
              <c:f>Sheet1!$C$2:$C$7</c:f>
              <c:numCache>
                <c:formatCode>0.0_ </c:formatCode>
                <c:ptCount val="6"/>
                <c:pt idx="0">
                  <c:v>9.1</c:v>
                </c:pt>
                <c:pt idx="1" c:formatCode="General">
                  <c:v>9.1</c:v>
                </c:pt>
                <c:pt idx="2" c:formatCode="General">
                  <c:v>8.5</c:v>
                </c:pt>
                <c:pt idx="3" c:formatCode="General">
                  <c:v>5.7</c:v>
                </c:pt>
                <c:pt idx="4">
                  <c:v>9.3</c:v>
                </c:pt>
                <c:pt idx="5">
                  <c:v>1.5</c:v>
                </c:pt>
              </c:numCache>
            </c:numRef>
          </c:val>
          <c:smooth val="0"/>
        </c:ser>
        <c:dLbls>
          <c:showLegendKey val="0"/>
          <c:showVal val="1"/>
          <c:showCatName val="0"/>
          <c:showSerName val="0"/>
          <c:showPercent val="0"/>
          <c:showBubbleSize val="0"/>
        </c:dLbls>
        <c:marker val="0"/>
        <c:smooth val="0"/>
        <c:axId val="876542384"/>
        <c:axId val="36226132"/>
      </c:lineChart>
      <c:catAx>
        <c:axId val="751926800"/>
        <c:scaling>
          <c:orientation val="minMax"/>
        </c:scaling>
        <c:delete val="0"/>
        <c:axPos val="b"/>
        <c:numFmt formatCode="General" sourceLinked="0"/>
        <c:majorTickMark val="in"/>
        <c:minorTickMark val="none"/>
        <c:tickLblPos val="nextTo"/>
        <c:spPr>
          <a:noFill/>
          <a:ln w="9525" cap="flat" cmpd="sng" algn="ctr">
            <a:solidFill>
              <a:schemeClr val="tx1">
                <a:lumMod val="50000"/>
                <a:lumOff val="50000"/>
              </a:schemeClr>
            </a:solidFill>
            <a:round/>
          </a:ln>
          <a:effectLst/>
        </c:spPr>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90875712"/>
        <c:crosses val="autoZero"/>
        <c:auto val="1"/>
        <c:lblAlgn val="ctr"/>
        <c:lblOffset val="100"/>
        <c:noMultiLvlLbl val="0"/>
      </c:catAx>
      <c:valAx>
        <c:axId val="490875712"/>
        <c:scaling>
          <c:orientation val="minMax"/>
        </c:scaling>
        <c:delete val="0"/>
        <c:axPos val="l"/>
        <c:majorGridlines>
          <c:spPr>
            <a:ln w="9525" cap="flat" cmpd="sng" algn="ctr">
              <a:noFill/>
              <a:round/>
            </a:ln>
            <a:effectLst/>
          </c:spPr>
        </c:majorGridlines>
        <c:title>
          <c:tx>
            <c:rich>
              <a:bodyPr rot="0" spcFirstLastPara="0" vertOverflow="ellipsis" vert="horz" wrap="square" anchor="ctr" anchorCtr="1"/>
              <a:lstStyle/>
              <a:p>
                <a:pPr defTabSz="914400">
                  <a:defRPr lang="zh-CN" sz="90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zh-CN" altLang="en-US" sz="900" b="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元</a:t>
                </a:r>
                <a:endParaRPr lang="zh-CN" altLang="en-US" sz="900" b="0">
                  <a:solidFill>
                    <a:schemeClr val="tx1"/>
                  </a:solidFill>
                  <a:latin typeface="宋体" panose="02010600030101010101" charset="-122"/>
                  <a:ea typeface="宋体" panose="02010600030101010101" charset="-122"/>
                  <a:cs typeface="宋体" panose="02010600030101010101" charset="-122"/>
                  <a:sym typeface="宋体" panose="02010600030101010101" charset="-122"/>
                </a:endParaRPr>
              </a:p>
            </c:rich>
          </c:tx>
          <c:layout>
            <c:manualLayout>
              <c:xMode val="edge"/>
              <c:yMode val="edge"/>
              <c:x val="0.0636641135483105"/>
              <c:y val="0.106302305963023"/>
            </c:manualLayout>
          </c:layout>
          <c:overlay val="0"/>
          <c:spPr>
            <a:noFill/>
            <a:ln>
              <a:noFill/>
            </a:ln>
            <a:effectLst/>
          </c:spPr>
        </c:title>
        <c:numFmt formatCode="General" sourceLinked="1"/>
        <c:majorTickMark val="in"/>
        <c:minorTickMark val="none"/>
        <c:tickLblPos val="nextTo"/>
        <c:spPr>
          <a:noFill/>
          <a:ln>
            <a:solidFill>
              <a:schemeClr val="tx1">
                <a:lumMod val="50000"/>
                <a:lumOff val="50000"/>
              </a:schemeClr>
            </a:solidFill>
          </a:ln>
          <a:effectLst/>
        </c:spPr>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751926800"/>
        <c:crosses val="autoZero"/>
        <c:crossBetween val="between"/>
      </c:valAx>
      <c:catAx>
        <c:axId val="876542384"/>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226132"/>
        <c:crosses val="autoZero"/>
        <c:auto val="1"/>
        <c:lblAlgn val="ctr"/>
        <c:lblOffset val="100"/>
        <c:noMultiLvlLbl val="0"/>
      </c:catAx>
      <c:valAx>
        <c:axId val="36226132"/>
        <c:scaling>
          <c:orientation val="minMax"/>
          <c:max val="15"/>
          <c:min val="1"/>
        </c:scaling>
        <c:delete val="0"/>
        <c:axPos val="r"/>
        <c:title>
          <c:tx>
            <c:rich>
              <a:bodyPr rot="0" spcFirstLastPara="0" vertOverflow="ellipsis" vert="horz" wrap="square" anchor="ctr" anchorCtr="1"/>
              <a:lstStyle/>
              <a:p>
                <a:pPr defTabSz="914400">
                  <a:defRPr lang="zh-CN" sz="900" b="0" i="0" u="none" strike="noStrike" kern="1200" baseline="0">
                    <a:solidFill>
                      <a:schemeClr val="tx1"/>
                    </a:solidFill>
                    <a:latin typeface="+mn-ea"/>
                    <a:ea typeface="+mn-ea"/>
                    <a:cs typeface="+mn-ea"/>
                    <a:sym typeface="+mn-ea"/>
                  </a:defRPr>
                </a:pPr>
                <a:r>
                  <a:rPr lang="en-US" altLang="zh-CN" sz="900" b="0">
                    <a:solidFill>
                      <a:schemeClr val="tx1"/>
                    </a:solidFill>
                    <a:latin typeface="+mn-ea"/>
                    <a:ea typeface="+mn-ea"/>
                    <a:cs typeface="+mn-ea"/>
                    <a:sym typeface="+mn-ea"/>
                  </a:rPr>
                  <a:t>%</a:t>
                </a:r>
                <a:endParaRPr lang="en-US" altLang="zh-CN" sz="900" b="0">
                  <a:solidFill>
                    <a:schemeClr val="tx1"/>
                  </a:solidFill>
                  <a:latin typeface="+mn-ea"/>
                  <a:ea typeface="+mn-ea"/>
                  <a:cs typeface="+mn-ea"/>
                  <a:sym typeface="+mn-ea"/>
                </a:endParaRPr>
              </a:p>
            </c:rich>
          </c:tx>
          <c:layout>
            <c:manualLayout>
              <c:xMode val="edge"/>
              <c:yMode val="edge"/>
              <c:x val="0.958008027160922"/>
              <c:y val="0.0975468862650114"/>
            </c:manualLayout>
          </c:layout>
          <c:overlay val="0"/>
          <c:spPr>
            <a:noFill/>
            <a:ln>
              <a:noFill/>
            </a:ln>
            <a:effectLst/>
          </c:spPr>
        </c:title>
        <c:numFmt formatCode="#,##0.0_);[Red]\(#,##0.0\)" sourceLinked="0"/>
        <c:majorTickMark val="in"/>
        <c:minorTickMark val="none"/>
        <c:tickLblPos val="nextTo"/>
        <c:spPr>
          <a:noFill/>
          <a:ln>
            <a:solidFill>
              <a:schemeClr val="tx1">
                <a:lumMod val="50000"/>
                <a:lumOff val="50000"/>
              </a:schemeClr>
            </a:solidFill>
          </a:ln>
          <a:effectLst/>
        </c:spPr>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76542384"/>
        <c:crosses val="max"/>
        <c:crossBetween val="between"/>
      </c:valAx>
      <c:spPr>
        <a:noFill/>
        <a:ln>
          <a:noFill/>
        </a:ln>
        <a:effectLst/>
      </c:spPr>
    </c:plotArea>
    <c:legend>
      <c:legendPos val="t"/>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3175" cap="rnd"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A1202-8949-45FE-A9D9-6908115B103D}">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6521</Words>
  <Characters>8139</Characters>
  <Lines>68</Lines>
  <Paragraphs>19</Paragraphs>
  <TotalTime>1</TotalTime>
  <ScaleCrop>false</ScaleCrop>
  <LinksUpToDate>false</LinksUpToDate>
  <CharactersWithSpaces>8580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2023-04-10T09:36:00Z</cp:lastPrinted>
  <dcterms:modified xsi:type="dcterms:W3CDTF">2023-04-12T08:15:29Z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6B41F159AF654D148525EE90119BF596</vt:lpwstr>
  </property>
</Properties>
</file>