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B88B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第五次</w:t>
      </w:r>
      <w:r>
        <w:rPr>
          <w:rFonts w:hint="eastAsia" w:eastAsia="方正小标宋_GBK" w:cs="Times New Roman"/>
          <w:bCs/>
          <w:color w:val="0C0C0C"/>
          <w:kern w:val="0"/>
          <w:sz w:val="44"/>
          <w:szCs w:val="44"/>
          <w:shd w:val="clear" w:color="auto" w:fill="FFFFFF"/>
          <w:lang w:val="en-US" w:eastAsia="zh-CN" w:bidi="ar"/>
        </w:rPr>
        <w:t>全市</w:t>
      </w:r>
      <w:r>
        <w:rPr>
          <w:rFonts w:hint="eastAsia" w:ascii="Times New Roman" w:hAnsi="Times New Roman" w:eastAsia="方正小标宋_GBK" w:cs="Times New Roman"/>
          <w:bCs/>
          <w:color w:val="0C0C0C"/>
          <w:kern w:val="0"/>
          <w:sz w:val="44"/>
          <w:szCs w:val="44"/>
          <w:shd w:val="clear" w:color="auto" w:fill="FFFFFF"/>
          <w:lang w:val="en-US" w:eastAsia="zh-CN" w:bidi="ar"/>
        </w:rPr>
        <w:t>经济普查公报（第五号）</w:t>
      </w:r>
    </w:p>
    <w:p w14:paraId="73CA47F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——第三产业基本情况之二</w:t>
      </w:r>
    </w:p>
    <w:p w14:paraId="14292AFC">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琼海市统计局</w:t>
      </w:r>
    </w:p>
    <w:p w14:paraId="1AFB922B">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琼海市第五次全市经济普查领导小组办公室</w:t>
      </w:r>
    </w:p>
    <w:p w14:paraId="1698799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w:t>
      </w:r>
      <w:r>
        <w:rPr>
          <w:rFonts w:hint="default" w:ascii="Times New Roman" w:hAnsi="Times New Roman" w:eastAsia="楷体_GB2312" w:cs="楷体_GB2312"/>
          <w:i w:val="0"/>
          <w:caps w:val="0"/>
          <w:color w:val="0C0C0C"/>
          <w:spacing w:val="0"/>
          <w:kern w:val="0"/>
          <w:sz w:val="32"/>
          <w:szCs w:val="32"/>
          <w:highlight w:val="none"/>
          <w:lang w:val="en-US" w:eastAsia="zh-CN" w:bidi="ar"/>
        </w:rPr>
        <w:t>202</w:t>
      </w:r>
      <w:r>
        <w:rPr>
          <w:rFonts w:hint="eastAsia" w:ascii="Times New Roman" w:hAnsi="Times New Roman"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年</w:t>
      </w:r>
      <w:r>
        <w:rPr>
          <w:rFonts w:hint="eastAsia"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月</w:t>
      </w:r>
      <w:r>
        <w:rPr>
          <w:rFonts w:hint="eastAsia" w:eastAsia="楷体_GB2312" w:cs="楷体_GB2312"/>
          <w:i w:val="0"/>
          <w:caps w:val="0"/>
          <w:color w:val="0C0C0C"/>
          <w:spacing w:val="0"/>
          <w:kern w:val="0"/>
          <w:sz w:val="32"/>
          <w:szCs w:val="32"/>
          <w:highlight w:val="none"/>
          <w:lang w:val="en-US" w:eastAsia="zh-CN" w:bidi="ar"/>
        </w:rPr>
        <w:t>22</w:t>
      </w:r>
      <w:r>
        <w:rPr>
          <w:rFonts w:hint="default" w:ascii="Times New Roman" w:hAnsi="Times New Roman" w:eastAsia="楷体_GB2312" w:cs="楷体_GB2312"/>
          <w:i w:val="0"/>
          <w:caps w:val="0"/>
          <w:color w:val="0C0C0C"/>
          <w:spacing w:val="0"/>
          <w:kern w:val="0"/>
          <w:sz w:val="32"/>
          <w:szCs w:val="32"/>
          <w:highlight w:val="none"/>
          <w:lang w:val="en-US" w:eastAsia="zh-CN" w:bidi="ar"/>
        </w:rPr>
        <w:t>日</w:t>
      </w:r>
      <w:r>
        <w:rPr>
          <w:rFonts w:hint="eastAsia" w:ascii="Times New Roman" w:hAnsi="Times New Roman" w:eastAsia="楷体_GB2312" w:cs="楷体_GB2312"/>
          <w:i w:val="0"/>
          <w:caps w:val="0"/>
          <w:color w:val="0C0C0C"/>
          <w:spacing w:val="0"/>
          <w:kern w:val="0"/>
          <w:sz w:val="32"/>
          <w:szCs w:val="32"/>
          <w:highlight w:val="none"/>
          <w:lang w:val="en-US" w:eastAsia="zh-CN" w:bidi="ar"/>
        </w:rPr>
        <w:t>）</w:t>
      </w:r>
    </w:p>
    <w:p w14:paraId="64C09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14:paraId="77754E32">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根据第五次全市经济普查结果，现将我市第三产业中科学研究和技术服务业，水利、环境和公共设施管理业，居民服务、修理和其他服务业，教育，卫生和社会工作，文化、体育和娱乐业，公共管理、社会保障和社会组织的主要数据公布如下</w:t>
      </w:r>
      <w:bookmarkStart w:id="0" w:name="_GoBack"/>
      <w:bookmarkEnd w:id="0"/>
      <w:r>
        <w:rPr>
          <w:rFonts w:hint="eastAsia" w:ascii="仿宋_GB2312" w:hAnsi="仿宋_GB2312" w:eastAsia="仿宋_GB2312" w:cs="仿宋_GB2312"/>
          <w:i w:val="0"/>
          <w:caps w:val="0"/>
          <w:color w:val="0C0C0C"/>
          <w:spacing w:val="0"/>
          <w:kern w:val="0"/>
          <w:sz w:val="32"/>
          <w:szCs w:val="32"/>
          <w:highlight w:val="none"/>
          <w:lang w:val="en-US" w:eastAsia="zh-CN" w:bidi="ar"/>
        </w:rPr>
        <w:t>：</w:t>
      </w:r>
    </w:p>
    <w:p w14:paraId="783BB4EE">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color w:val="0C0C0C"/>
          <w:sz w:val="32"/>
          <w:szCs w:val="32"/>
          <w:u w:val="none"/>
          <w:lang w:val="en-US" w:eastAsia="zh-CN"/>
        </w:rPr>
      </w:pPr>
      <w:r>
        <w:rPr>
          <w:rFonts w:hint="eastAsia" w:ascii="黑体" w:hAnsi="黑体" w:eastAsia="黑体" w:cs="黑体"/>
          <w:color w:val="0C0C0C"/>
          <w:sz w:val="32"/>
          <w:szCs w:val="32"/>
          <w:u w:val="none"/>
          <w:lang w:val="en-US" w:eastAsia="zh-CN"/>
        </w:rPr>
        <w:t>一、科学研究和技术服务业</w:t>
      </w:r>
    </w:p>
    <w:p w14:paraId="28F8F50D">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（一）法人单位数和从业人员</w:t>
      </w:r>
    </w:p>
    <w:p w14:paraId="30060C50">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2023年末，全市共有科学研究和技术服务业法人单位198个，从业人员3813人，分别比2018年末增长17.2%和28.7%。其中，企业法人单位</w:t>
      </w:r>
      <w:r>
        <w:rPr>
          <w:rFonts w:hint="eastAsia" w:ascii="仿宋_GB2312" w:hAnsi="仿宋_GB2312" w:eastAsia="仿宋_GB2312" w:cs="仿宋_GB2312"/>
          <w:i w:val="0"/>
          <w:caps w:val="0"/>
          <w:color w:val="0C0C0C"/>
          <w:spacing w:val="0"/>
          <w:kern w:val="0"/>
          <w:sz w:val="32"/>
          <w:szCs w:val="32"/>
          <w:highlight w:val="none"/>
          <w:vertAlign w:val="superscript"/>
          <w:lang w:val="en-US" w:eastAsia="zh-CN" w:bidi="ar"/>
        </w:rPr>
        <w:footnoteReference w:id="0"/>
      </w:r>
      <w:r>
        <w:rPr>
          <w:rFonts w:hint="eastAsia" w:ascii="仿宋_GB2312" w:hAnsi="仿宋_GB2312" w:eastAsia="仿宋_GB2312" w:cs="仿宋_GB2312"/>
          <w:i w:val="0"/>
          <w:caps w:val="0"/>
          <w:color w:val="0C0C0C"/>
          <w:spacing w:val="0"/>
          <w:kern w:val="0"/>
          <w:sz w:val="32"/>
          <w:szCs w:val="32"/>
          <w:highlight w:val="none"/>
          <w:lang w:val="en-US" w:eastAsia="zh-CN" w:bidi="ar"/>
        </w:rPr>
        <w:t>185个，从业人员3623人，分别比2018年末增长35.0%和40.3%（详见表5-1）。</w:t>
      </w:r>
    </w:p>
    <w:p w14:paraId="7A0EE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表5-1　按行业大类分组的科学研究和技术服务业</w:t>
      </w:r>
    </w:p>
    <w:p w14:paraId="44E52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34"/>
        <w:gridCol w:w="3088"/>
        <w:gridCol w:w="2552"/>
      </w:tblGrid>
      <w:tr w14:paraId="644650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3" w:hRule="atLeast"/>
          <w:jc w:val="center"/>
        </w:trPr>
        <w:tc>
          <w:tcPr>
            <w:tcW w:w="3052" w:type="dxa"/>
            <w:tcBorders>
              <w:top w:val="single" w:color="auto" w:sz="12" w:space="0"/>
              <w:left w:val="nil"/>
              <w:bottom w:val="single" w:color="auto" w:sz="4" w:space="0"/>
              <w:right w:val="single" w:color="auto" w:sz="4" w:space="0"/>
            </w:tcBorders>
            <w:noWrap w:val="0"/>
            <w:vAlign w:val="center"/>
          </w:tcPr>
          <w:p w14:paraId="25560A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3103" w:type="dxa"/>
            <w:tcBorders>
              <w:top w:val="single" w:color="auto" w:sz="12" w:space="0"/>
              <w:left w:val="single" w:color="auto" w:sz="4" w:space="0"/>
              <w:bottom w:val="single" w:color="auto" w:sz="4" w:space="0"/>
              <w:right w:val="single" w:color="auto" w:sz="4" w:space="0"/>
            </w:tcBorders>
            <w:noWrap w:val="0"/>
            <w:vAlign w:val="center"/>
          </w:tcPr>
          <w:p w14:paraId="792ED4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45DE6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563" w:type="dxa"/>
            <w:tcBorders>
              <w:top w:val="single" w:color="auto" w:sz="12" w:space="0"/>
              <w:left w:val="single" w:color="auto" w:sz="4" w:space="0"/>
              <w:bottom w:val="single" w:color="auto" w:sz="4" w:space="0"/>
              <w:right w:val="nil"/>
            </w:tcBorders>
            <w:noWrap w:val="0"/>
            <w:vAlign w:val="center"/>
          </w:tcPr>
          <w:p w14:paraId="42A5C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30D83C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008D72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052" w:type="dxa"/>
            <w:tcBorders>
              <w:top w:val="single" w:color="auto" w:sz="4" w:space="0"/>
              <w:left w:val="nil"/>
              <w:bottom w:val="nil"/>
              <w:right w:val="single" w:color="auto" w:sz="4" w:space="0"/>
            </w:tcBorders>
            <w:noWrap w:val="0"/>
            <w:vAlign w:val="center"/>
          </w:tcPr>
          <w:p w14:paraId="1F107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3103" w:type="dxa"/>
            <w:tcBorders>
              <w:top w:val="single" w:color="auto" w:sz="4" w:space="0"/>
              <w:left w:val="single" w:color="auto" w:sz="4" w:space="0"/>
              <w:bottom w:val="nil"/>
              <w:right w:val="single" w:color="auto" w:sz="4" w:space="0"/>
            </w:tcBorders>
            <w:noWrap w:val="0"/>
            <w:vAlign w:val="center"/>
          </w:tcPr>
          <w:p w14:paraId="06372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185</w:t>
            </w:r>
          </w:p>
        </w:tc>
        <w:tc>
          <w:tcPr>
            <w:tcW w:w="2563" w:type="dxa"/>
            <w:tcBorders>
              <w:top w:val="single" w:color="auto" w:sz="4" w:space="0"/>
              <w:left w:val="single" w:color="auto" w:sz="4" w:space="0"/>
              <w:bottom w:val="nil"/>
              <w:right w:val="nil"/>
            </w:tcBorders>
            <w:noWrap w:val="0"/>
            <w:vAlign w:val="center"/>
          </w:tcPr>
          <w:p w14:paraId="247400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3623</w:t>
            </w:r>
          </w:p>
        </w:tc>
      </w:tr>
      <w:tr w14:paraId="276BB6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3052" w:type="dxa"/>
            <w:tcBorders>
              <w:top w:val="nil"/>
              <w:left w:val="nil"/>
              <w:bottom w:val="nil"/>
              <w:right w:val="single" w:color="auto" w:sz="4" w:space="0"/>
            </w:tcBorders>
            <w:noWrap w:val="0"/>
            <w:vAlign w:val="center"/>
          </w:tcPr>
          <w:p w14:paraId="5B1D8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3103" w:type="dxa"/>
            <w:tcBorders>
              <w:top w:val="nil"/>
              <w:left w:val="single" w:color="auto" w:sz="4" w:space="0"/>
              <w:bottom w:val="nil"/>
              <w:right w:val="single" w:color="auto" w:sz="4" w:space="0"/>
            </w:tcBorders>
            <w:noWrap w:val="0"/>
            <w:vAlign w:val="center"/>
          </w:tcPr>
          <w:p w14:paraId="652FD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15</w:t>
            </w:r>
          </w:p>
        </w:tc>
        <w:tc>
          <w:tcPr>
            <w:tcW w:w="2563" w:type="dxa"/>
            <w:tcBorders>
              <w:top w:val="nil"/>
              <w:left w:val="single" w:color="auto" w:sz="4" w:space="0"/>
              <w:bottom w:val="nil"/>
              <w:right w:val="nil"/>
            </w:tcBorders>
            <w:noWrap w:val="0"/>
            <w:vAlign w:val="center"/>
          </w:tcPr>
          <w:p w14:paraId="12FD33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2128</w:t>
            </w:r>
          </w:p>
        </w:tc>
      </w:tr>
      <w:tr w14:paraId="3D4350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3052" w:type="dxa"/>
            <w:tcBorders>
              <w:top w:val="nil"/>
              <w:left w:val="nil"/>
              <w:bottom w:val="nil"/>
              <w:right w:val="single" w:color="auto" w:sz="4" w:space="0"/>
            </w:tcBorders>
            <w:noWrap w:val="0"/>
            <w:vAlign w:val="center"/>
          </w:tcPr>
          <w:p w14:paraId="773D7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3103" w:type="dxa"/>
            <w:tcBorders>
              <w:top w:val="nil"/>
              <w:left w:val="single" w:color="auto" w:sz="4" w:space="0"/>
              <w:bottom w:val="nil"/>
              <w:right w:val="single" w:color="auto" w:sz="4" w:space="0"/>
            </w:tcBorders>
            <w:noWrap w:val="0"/>
            <w:vAlign w:val="center"/>
          </w:tcPr>
          <w:p w14:paraId="3750E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104</w:t>
            </w:r>
          </w:p>
        </w:tc>
        <w:tc>
          <w:tcPr>
            <w:tcW w:w="2563" w:type="dxa"/>
            <w:tcBorders>
              <w:top w:val="nil"/>
              <w:left w:val="single" w:color="auto" w:sz="4" w:space="0"/>
              <w:bottom w:val="nil"/>
              <w:right w:val="nil"/>
            </w:tcBorders>
            <w:noWrap w:val="0"/>
            <w:vAlign w:val="center"/>
          </w:tcPr>
          <w:p w14:paraId="2981BD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971</w:t>
            </w:r>
          </w:p>
        </w:tc>
      </w:tr>
      <w:tr w14:paraId="6C3652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9" w:hRule="atLeast"/>
          <w:jc w:val="center"/>
        </w:trPr>
        <w:tc>
          <w:tcPr>
            <w:tcW w:w="3052" w:type="dxa"/>
            <w:tcBorders>
              <w:top w:val="nil"/>
              <w:left w:val="nil"/>
              <w:bottom w:val="single" w:color="auto" w:sz="12" w:space="0"/>
              <w:right w:val="single" w:color="auto" w:sz="4" w:space="0"/>
            </w:tcBorders>
            <w:noWrap w:val="0"/>
            <w:vAlign w:val="center"/>
          </w:tcPr>
          <w:p w14:paraId="55184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3103" w:type="dxa"/>
            <w:tcBorders>
              <w:top w:val="nil"/>
              <w:left w:val="single" w:color="auto" w:sz="4" w:space="0"/>
              <w:bottom w:val="single" w:color="auto" w:sz="12" w:space="0"/>
              <w:right w:val="single" w:color="auto" w:sz="4" w:space="0"/>
            </w:tcBorders>
            <w:noWrap w:val="0"/>
            <w:vAlign w:val="center"/>
          </w:tcPr>
          <w:p w14:paraId="130C17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66</w:t>
            </w:r>
          </w:p>
        </w:tc>
        <w:tc>
          <w:tcPr>
            <w:tcW w:w="2563" w:type="dxa"/>
            <w:tcBorders>
              <w:top w:val="nil"/>
              <w:left w:val="single" w:color="auto" w:sz="4" w:space="0"/>
              <w:bottom w:val="single" w:color="auto" w:sz="12" w:space="0"/>
              <w:right w:val="nil"/>
            </w:tcBorders>
            <w:noWrap w:val="0"/>
            <w:vAlign w:val="center"/>
          </w:tcPr>
          <w:p w14:paraId="53177B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524</w:t>
            </w:r>
          </w:p>
        </w:tc>
      </w:tr>
    </w:tbl>
    <w:p w14:paraId="07AE6833">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在科学研究和技术服务业企业法人单位中，内资企业占96.8%，其他企业占3.2%。</w:t>
      </w:r>
    </w:p>
    <w:p w14:paraId="5AC6711E">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在科学研究和技术服务业企业法人单位从业人员中，内资企业占89.5%，其他企业占10.5%（详见表5-2）。</w:t>
      </w:r>
    </w:p>
    <w:p w14:paraId="782F75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表5-2　按登记注册统计类别分组的科学研究和技术服务业</w:t>
      </w:r>
    </w:p>
    <w:p w14:paraId="54EFB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48"/>
        <w:gridCol w:w="2931"/>
        <w:gridCol w:w="2390"/>
      </w:tblGrid>
      <w:tr w14:paraId="15AF46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7" w:hRule="atLeast"/>
          <w:jc w:val="center"/>
        </w:trPr>
        <w:tc>
          <w:tcPr>
            <w:tcW w:w="1931" w:type="pct"/>
            <w:tcBorders>
              <w:top w:val="single" w:color="auto" w:sz="12" w:space="0"/>
              <w:left w:val="nil"/>
              <w:bottom w:val="single" w:color="auto" w:sz="4" w:space="0"/>
              <w:right w:val="single" w:color="auto" w:sz="4" w:space="0"/>
            </w:tcBorders>
            <w:noWrap w:val="0"/>
            <w:vAlign w:val="center"/>
          </w:tcPr>
          <w:p w14:paraId="12DB9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90" w:type="pct"/>
            <w:tcBorders>
              <w:top w:val="single" w:color="auto" w:sz="12" w:space="0"/>
              <w:left w:val="single" w:color="auto" w:sz="4" w:space="0"/>
              <w:bottom w:val="single" w:color="auto" w:sz="4" w:space="0"/>
              <w:right w:val="single" w:color="auto" w:sz="4" w:space="0"/>
            </w:tcBorders>
            <w:noWrap w:val="0"/>
            <w:vAlign w:val="center"/>
          </w:tcPr>
          <w:p w14:paraId="5B237D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1F2F8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78" w:type="pct"/>
            <w:tcBorders>
              <w:top w:val="single" w:color="auto" w:sz="12" w:space="0"/>
              <w:left w:val="single" w:color="auto" w:sz="4" w:space="0"/>
              <w:bottom w:val="single" w:color="auto" w:sz="4" w:space="0"/>
              <w:right w:val="nil"/>
            </w:tcBorders>
            <w:noWrap w:val="0"/>
            <w:vAlign w:val="center"/>
          </w:tcPr>
          <w:p w14:paraId="31FFB7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2FF87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05C976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931" w:type="pct"/>
            <w:tcBorders>
              <w:top w:val="single" w:color="auto" w:sz="4" w:space="0"/>
              <w:left w:val="nil"/>
              <w:bottom w:val="nil"/>
              <w:right w:val="single" w:color="auto" w:sz="4" w:space="0"/>
            </w:tcBorders>
            <w:noWrap w:val="0"/>
            <w:vAlign w:val="center"/>
          </w:tcPr>
          <w:p w14:paraId="0680B4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690" w:type="pct"/>
            <w:tcBorders>
              <w:top w:val="single" w:color="auto" w:sz="4" w:space="0"/>
              <w:left w:val="single" w:color="auto" w:sz="4" w:space="0"/>
              <w:bottom w:val="nil"/>
              <w:right w:val="single" w:color="auto" w:sz="4" w:space="0"/>
            </w:tcBorders>
            <w:noWrap w:val="0"/>
            <w:vAlign w:val="center"/>
          </w:tcPr>
          <w:p w14:paraId="3082D3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185</w:t>
            </w:r>
          </w:p>
        </w:tc>
        <w:tc>
          <w:tcPr>
            <w:tcW w:w="1378" w:type="pct"/>
            <w:tcBorders>
              <w:top w:val="single" w:color="auto" w:sz="4" w:space="0"/>
              <w:left w:val="single" w:color="auto" w:sz="4" w:space="0"/>
              <w:bottom w:val="nil"/>
              <w:right w:val="nil"/>
            </w:tcBorders>
            <w:noWrap w:val="0"/>
            <w:vAlign w:val="center"/>
          </w:tcPr>
          <w:p w14:paraId="096CF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3623</w:t>
            </w:r>
          </w:p>
        </w:tc>
      </w:tr>
      <w:tr w14:paraId="3DF9CE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31" w:type="pct"/>
            <w:tcBorders>
              <w:top w:val="nil"/>
              <w:left w:val="nil"/>
              <w:bottom w:val="nil"/>
              <w:right w:val="single" w:color="auto" w:sz="4" w:space="0"/>
            </w:tcBorders>
            <w:noWrap w:val="0"/>
            <w:vAlign w:val="center"/>
          </w:tcPr>
          <w:p w14:paraId="23F32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90" w:type="pct"/>
            <w:tcBorders>
              <w:top w:val="nil"/>
              <w:left w:val="single" w:color="auto" w:sz="4" w:space="0"/>
              <w:bottom w:val="nil"/>
              <w:right w:val="single" w:color="auto" w:sz="4" w:space="0"/>
            </w:tcBorders>
            <w:noWrap w:val="0"/>
            <w:vAlign w:val="center"/>
          </w:tcPr>
          <w:p w14:paraId="0C016A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179</w:t>
            </w:r>
          </w:p>
        </w:tc>
        <w:tc>
          <w:tcPr>
            <w:tcW w:w="1378" w:type="pct"/>
            <w:tcBorders>
              <w:top w:val="nil"/>
              <w:left w:val="single" w:color="auto" w:sz="4" w:space="0"/>
              <w:bottom w:val="nil"/>
              <w:right w:val="nil"/>
            </w:tcBorders>
            <w:noWrap w:val="0"/>
            <w:vAlign w:val="center"/>
          </w:tcPr>
          <w:p w14:paraId="50075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3241</w:t>
            </w:r>
          </w:p>
        </w:tc>
      </w:tr>
      <w:tr w14:paraId="2E8B49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4" w:hRule="atLeast"/>
          <w:jc w:val="center"/>
        </w:trPr>
        <w:tc>
          <w:tcPr>
            <w:tcW w:w="1931" w:type="pct"/>
            <w:tcBorders>
              <w:top w:val="nil"/>
              <w:left w:val="nil"/>
              <w:bottom w:val="single" w:color="auto" w:sz="12" w:space="0"/>
              <w:right w:val="single" w:color="auto" w:sz="4" w:space="0"/>
            </w:tcBorders>
            <w:noWrap w:val="0"/>
            <w:vAlign w:val="center"/>
          </w:tcPr>
          <w:p w14:paraId="09D89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w:t>
            </w:r>
            <w:r>
              <w:rPr>
                <w:rFonts w:hint="eastAsia" w:eastAsia="宋体" w:cs="宋体"/>
                <w:b w:val="0"/>
                <w:bCs/>
                <w:color w:val="0C0C0C"/>
                <w:kern w:val="0"/>
                <w:sz w:val="21"/>
                <w:szCs w:val="21"/>
                <w:highlight w:val="none"/>
                <w:lang w:val="en-US" w:eastAsia="zh-CN" w:bidi="ar"/>
              </w:rPr>
              <w:t>企业</w:t>
            </w:r>
          </w:p>
        </w:tc>
        <w:tc>
          <w:tcPr>
            <w:tcW w:w="1690" w:type="pct"/>
            <w:tcBorders>
              <w:top w:val="nil"/>
              <w:left w:val="single" w:color="auto" w:sz="4" w:space="0"/>
              <w:bottom w:val="single" w:color="auto" w:sz="12" w:space="0"/>
              <w:right w:val="single" w:color="auto" w:sz="4" w:space="0"/>
            </w:tcBorders>
            <w:noWrap w:val="0"/>
            <w:vAlign w:val="center"/>
          </w:tcPr>
          <w:p w14:paraId="210E91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6</w:t>
            </w:r>
          </w:p>
        </w:tc>
        <w:tc>
          <w:tcPr>
            <w:tcW w:w="1378" w:type="pct"/>
            <w:tcBorders>
              <w:top w:val="nil"/>
              <w:left w:val="single" w:color="auto" w:sz="4" w:space="0"/>
              <w:bottom w:val="single" w:color="auto" w:sz="12" w:space="0"/>
              <w:right w:val="nil"/>
            </w:tcBorders>
            <w:noWrap w:val="0"/>
            <w:vAlign w:val="center"/>
          </w:tcPr>
          <w:p w14:paraId="1C8EC8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382</w:t>
            </w:r>
          </w:p>
        </w:tc>
      </w:tr>
    </w:tbl>
    <w:p w14:paraId="43259975">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5067B82B">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2023年末，科学研究和技术服务业企业法人单位资产总计53.52亿元，比2018年末下降71.4%；负债合计37.94亿元，比2018年末下降54.5%。</w:t>
      </w:r>
    </w:p>
    <w:p w14:paraId="7DB9DCFA">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2023年，科学研究和技术服务业企业法人单位全年实现营业收入20.71亿元，比2018年增长199.3%（详见表5-3）。</w:t>
      </w:r>
    </w:p>
    <w:p w14:paraId="6F6CB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表5-3　按行业大类分组的科学研究和技术服务业</w:t>
      </w:r>
    </w:p>
    <w:p w14:paraId="66970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06"/>
        <w:gridCol w:w="1556"/>
        <w:gridCol w:w="1556"/>
        <w:gridCol w:w="1556"/>
      </w:tblGrid>
      <w:tr w14:paraId="13953E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4" w:hRule="atLeast"/>
          <w:jc w:val="center"/>
        </w:trPr>
        <w:tc>
          <w:tcPr>
            <w:tcW w:w="4053" w:type="dxa"/>
            <w:tcBorders>
              <w:top w:val="single" w:color="auto" w:sz="12" w:space="0"/>
              <w:left w:val="nil"/>
              <w:bottom w:val="single" w:color="auto" w:sz="4" w:space="0"/>
              <w:right w:val="single" w:color="auto" w:sz="4" w:space="0"/>
            </w:tcBorders>
            <w:noWrap w:val="0"/>
            <w:vAlign w:val="center"/>
          </w:tcPr>
          <w:p w14:paraId="290AC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69" w:type="dxa"/>
            <w:tcBorders>
              <w:top w:val="single" w:color="auto" w:sz="12" w:space="0"/>
              <w:left w:val="single" w:color="auto" w:sz="4" w:space="0"/>
              <w:bottom w:val="single" w:color="auto" w:sz="4" w:space="0"/>
              <w:right w:val="single" w:color="auto" w:sz="4" w:space="0"/>
            </w:tcBorders>
            <w:noWrap w:val="0"/>
            <w:vAlign w:val="center"/>
          </w:tcPr>
          <w:p w14:paraId="65553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399320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569" w:type="dxa"/>
            <w:tcBorders>
              <w:top w:val="single" w:color="auto" w:sz="12" w:space="0"/>
              <w:left w:val="single" w:color="auto" w:sz="4" w:space="0"/>
              <w:bottom w:val="single" w:color="auto" w:sz="4" w:space="0"/>
              <w:right w:val="single" w:color="auto" w:sz="4" w:space="0"/>
            </w:tcBorders>
            <w:noWrap w:val="0"/>
            <w:vAlign w:val="center"/>
          </w:tcPr>
          <w:p w14:paraId="5FA1D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08D04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568" w:type="dxa"/>
            <w:tcBorders>
              <w:top w:val="single" w:color="auto" w:sz="12" w:space="0"/>
              <w:left w:val="single" w:color="auto" w:sz="4" w:space="0"/>
              <w:bottom w:val="single" w:color="auto" w:sz="4" w:space="0"/>
              <w:right w:val="nil"/>
            </w:tcBorders>
            <w:noWrap w:val="0"/>
            <w:vAlign w:val="center"/>
          </w:tcPr>
          <w:p w14:paraId="4DCF7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53DDDD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4385B4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0" w:hRule="atLeast"/>
          <w:jc w:val="center"/>
        </w:trPr>
        <w:tc>
          <w:tcPr>
            <w:tcW w:w="4053" w:type="dxa"/>
            <w:tcBorders>
              <w:top w:val="single" w:color="auto" w:sz="4" w:space="0"/>
              <w:left w:val="nil"/>
              <w:bottom w:val="nil"/>
              <w:right w:val="single" w:color="auto" w:sz="4" w:space="0"/>
            </w:tcBorders>
            <w:noWrap w:val="0"/>
            <w:vAlign w:val="center"/>
          </w:tcPr>
          <w:p w14:paraId="56243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569" w:type="dxa"/>
            <w:tcBorders>
              <w:top w:val="single" w:color="auto" w:sz="4" w:space="0"/>
              <w:left w:val="single" w:color="auto" w:sz="4" w:space="0"/>
              <w:bottom w:val="nil"/>
              <w:right w:val="single" w:color="auto" w:sz="4" w:space="0"/>
            </w:tcBorders>
            <w:noWrap w:val="0"/>
            <w:vAlign w:val="center"/>
          </w:tcPr>
          <w:p w14:paraId="487B6E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53.52</w:t>
            </w:r>
          </w:p>
        </w:tc>
        <w:tc>
          <w:tcPr>
            <w:tcW w:w="1569" w:type="dxa"/>
            <w:tcBorders>
              <w:top w:val="single" w:color="auto" w:sz="4" w:space="0"/>
              <w:left w:val="single" w:color="auto" w:sz="4" w:space="0"/>
              <w:bottom w:val="nil"/>
              <w:right w:val="single" w:color="auto" w:sz="4" w:space="0"/>
            </w:tcBorders>
            <w:noWrap w:val="0"/>
            <w:vAlign w:val="center"/>
          </w:tcPr>
          <w:p w14:paraId="4BE8B4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37.94</w:t>
            </w:r>
          </w:p>
        </w:tc>
        <w:tc>
          <w:tcPr>
            <w:tcW w:w="1568" w:type="dxa"/>
            <w:tcBorders>
              <w:top w:val="single" w:color="auto" w:sz="4" w:space="0"/>
              <w:left w:val="single" w:color="auto" w:sz="4" w:space="0"/>
              <w:bottom w:val="nil"/>
              <w:right w:val="nil"/>
            </w:tcBorders>
            <w:noWrap w:val="0"/>
            <w:vAlign w:val="center"/>
          </w:tcPr>
          <w:p w14:paraId="50510F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20.71</w:t>
            </w:r>
          </w:p>
        </w:tc>
      </w:tr>
      <w:tr w14:paraId="653BD8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8" w:hRule="atLeast"/>
          <w:jc w:val="center"/>
        </w:trPr>
        <w:tc>
          <w:tcPr>
            <w:tcW w:w="4053" w:type="dxa"/>
            <w:tcBorders>
              <w:top w:val="nil"/>
              <w:left w:val="nil"/>
              <w:bottom w:val="nil"/>
              <w:right w:val="single" w:color="auto" w:sz="4" w:space="0"/>
            </w:tcBorders>
            <w:noWrap w:val="0"/>
            <w:vAlign w:val="center"/>
          </w:tcPr>
          <w:p w14:paraId="1D925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1569" w:type="dxa"/>
            <w:tcBorders>
              <w:top w:val="nil"/>
              <w:left w:val="single" w:color="auto" w:sz="4" w:space="0"/>
              <w:bottom w:val="nil"/>
              <w:right w:val="single" w:color="auto" w:sz="4" w:space="0"/>
            </w:tcBorders>
            <w:noWrap w:val="0"/>
            <w:vAlign w:val="center"/>
          </w:tcPr>
          <w:p w14:paraId="540CE4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35.44</w:t>
            </w:r>
          </w:p>
        </w:tc>
        <w:tc>
          <w:tcPr>
            <w:tcW w:w="1569" w:type="dxa"/>
            <w:tcBorders>
              <w:top w:val="nil"/>
              <w:left w:val="single" w:color="auto" w:sz="4" w:space="0"/>
              <w:bottom w:val="nil"/>
              <w:right w:val="single" w:color="auto" w:sz="4" w:space="0"/>
            </w:tcBorders>
            <w:noWrap w:val="0"/>
            <w:vAlign w:val="center"/>
          </w:tcPr>
          <w:p w14:paraId="2FEFE5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29.35</w:t>
            </w:r>
          </w:p>
        </w:tc>
        <w:tc>
          <w:tcPr>
            <w:tcW w:w="1568" w:type="dxa"/>
            <w:tcBorders>
              <w:top w:val="nil"/>
              <w:left w:val="single" w:color="auto" w:sz="4" w:space="0"/>
              <w:bottom w:val="nil"/>
              <w:right w:val="nil"/>
            </w:tcBorders>
            <w:noWrap w:val="0"/>
            <w:vAlign w:val="center"/>
          </w:tcPr>
          <w:p w14:paraId="6471F7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17.81</w:t>
            </w:r>
          </w:p>
        </w:tc>
      </w:tr>
      <w:tr w14:paraId="00B5CA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8" w:hRule="atLeast"/>
          <w:jc w:val="center"/>
        </w:trPr>
        <w:tc>
          <w:tcPr>
            <w:tcW w:w="4053" w:type="dxa"/>
            <w:tcBorders>
              <w:top w:val="nil"/>
              <w:left w:val="nil"/>
              <w:bottom w:val="nil"/>
              <w:right w:val="single" w:color="auto" w:sz="4" w:space="0"/>
            </w:tcBorders>
            <w:noWrap w:val="0"/>
            <w:vAlign w:val="center"/>
          </w:tcPr>
          <w:p w14:paraId="4FE12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1569" w:type="dxa"/>
            <w:tcBorders>
              <w:top w:val="nil"/>
              <w:left w:val="single" w:color="auto" w:sz="4" w:space="0"/>
              <w:bottom w:val="nil"/>
              <w:right w:val="single" w:color="auto" w:sz="4" w:space="0"/>
            </w:tcBorders>
            <w:noWrap w:val="0"/>
            <w:vAlign w:val="center"/>
          </w:tcPr>
          <w:p w14:paraId="16AE7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14.34</w:t>
            </w:r>
          </w:p>
        </w:tc>
        <w:tc>
          <w:tcPr>
            <w:tcW w:w="1569" w:type="dxa"/>
            <w:tcBorders>
              <w:top w:val="nil"/>
              <w:left w:val="single" w:color="auto" w:sz="4" w:space="0"/>
              <w:bottom w:val="nil"/>
              <w:right w:val="single" w:color="auto" w:sz="4" w:space="0"/>
            </w:tcBorders>
            <w:noWrap w:val="0"/>
            <w:vAlign w:val="center"/>
          </w:tcPr>
          <w:p w14:paraId="5BF8F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6.45</w:t>
            </w:r>
          </w:p>
        </w:tc>
        <w:tc>
          <w:tcPr>
            <w:tcW w:w="1568" w:type="dxa"/>
            <w:tcBorders>
              <w:top w:val="nil"/>
              <w:left w:val="single" w:color="auto" w:sz="4" w:space="0"/>
              <w:bottom w:val="nil"/>
              <w:right w:val="nil"/>
            </w:tcBorders>
            <w:noWrap w:val="0"/>
            <w:vAlign w:val="center"/>
          </w:tcPr>
          <w:p w14:paraId="0C804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2.23</w:t>
            </w:r>
          </w:p>
        </w:tc>
      </w:tr>
      <w:tr w14:paraId="454652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4053" w:type="dxa"/>
            <w:tcBorders>
              <w:top w:val="nil"/>
              <w:left w:val="nil"/>
              <w:bottom w:val="single" w:color="auto" w:sz="12" w:space="0"/>
              <w:right w:val="single" w:color="auto" w:sz="4" w:space="0"/>
            </w:tcBorders>
            <w:noWrap w:val="0"/>
            <w:vAlign w:val="center"/>
          </w:tcPr>
          <w:p w14:paraId="39443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1569" w:type="dxa"/>
            <w:tcBorders>
              <w:top w:val="nil"/>
              <w:left w:val="single" w:color="auto" w:sz="4" w:space="0"/>
              <w:bottom w:val="single" w:color="auto" w:sz="12" w:space="0"/>
              <w:right w:val="single" w:color="auto" w:sz="4" w:space="0"/>
            </w:tcBorders>
            <w:noWrap w:val="0"/>
            <w:vAlign w:val="center"/>
          </w:tcPr>
          <w:p w14:paraId="249B4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3.74</w:t>
            </w:r>
          </w:p>
        </w:tc>
        <w:tc>
          <w:tcPr>
            <w:tcW w:w="1569" w:type="dxa"/>
            <w:tcBorders>
              <w:top w:val="nil"/>
              <w:left w:val="single" w:color="auto" w:sz="4" w:space="0"/>
              <w:bottom w:val="single" w:color="auto" w:sz="12" w:space="0"/>
              <w:right w:val="single" w:color="auto" w:sz="4" w:space="0"/>
            </w:tcBorders>
            <w:noWrap w:val="0"/>
            <w:vAlign w:val="center"/>
          </w:tcPr>
          <w:p w14:paraId="25759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2.15</w:t>
            </w:r>
          </w:p>
        </w:tc>
        <w:tc>
          <w:tcPr>
            <w:tcW w:w="1568" w:type="dxa"/>
            <w:tcBorders>
              <w:top w:val="nil"/>
              <w:left w:val="single" w:color="auto" w:sz="4" w:space="0"/>
              <w:bottom w:val="single" w:color="auto" w:sz="12" w:space="0"/>
              <w:right w:val="nil"/>
            </w:tcBorders>
            <w:noWrap w:val="0"/>
            <w:vAlign w:val="center"/>
          </w:tcPr>
          <w:p w14:paraId="37FBB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0.67</w:t>
            </w:r>
          </w:p>
        </w:tc>
      </w:tr>
    </w:tbl>
    <w:p w14:paraId="75A7D23C">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黑体" w:cs="黑体"/>
          <w:color w:val="0C0C0C"/>
          <w:sz w:val="28"/>
          <w:szCs w:val="28"/>
          <w:u w:val="none"/>
          <w:lang w:val="en-US" w:eastAsia="zh-CN"/>
        </w:rPr>
      </w:pPr>
      <w:r>
        <w:rPr>
          <w:rFonts w:hint="eastAsia" w:ascii="Times New Roman" w:hAnsi="Times New Roman" w:eastAsia="黑体" w:cs="黑体"/>
          <w:color w:val="0C0C0C"/>
          <w:sz w:val="28"/>
          <w:szCs w:val="28"/>
          <w:u w:val="none"/>
          <w:lang w:val="en-US" w:eastAsia="zh-CN"/>
        </w:rPr>
        <w:t>二、水利、环境和公共设施管理业</w:t>
      </w:r>
    </w:p>
    <w:p w14:paraId="125EBF1E">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（一）法人单位数和从业人员</w:t>
      </w:r>
    </w:p>
    <w:p w14:paraId="21D5C8D8">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2023年末，全市共有水利、环境和公共设施管理业法人单位39个，从业人员2538人，分别比2018年末增长95.0%和26.1%。其中，行政事业及非企业法人单位2个，比2018年末下降50%；从业人员40人，比2018年末下降81.4%。</w:t>
      </w:r>
    </w:p>
    <w:p w14:paraId="2EB099B0">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483ACC0D">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2023年末，水利、环境和公共设施管理业企业法人单位资产总计11.77亿元，比2018年末增长759.1%；负债合计8.0亿元，比2018年末增长788.9%。全年实现营业收入2.33亿元，比2018年增长86.4%。</w:t>
      </w:r>
    </w:p>
    <w:p w14:paraId="1B6865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_GB2312" w:hAnsi="仿宋_GB2312" w:eastAsia="仿宋_GB2312" w:cs="仿宋_GB2312"/>
          <w:i w:val="0"/>
          <w:caps w:val="0"/>
          <w:color w:val="FF0000"/>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 xml:space="preserve">    行政事业及非企业法人单位年末资产119.5万元，比2018年末下降76.0%。本年支出（费用）合计431.8万元。</w:t>
      </w:r>
    </w:p>
    <w:p w14:paraId="2F62B617">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黑体" w:cs="黑体"/>
          <w:color w:val="0C0C0C"/>
          <w:sz w:val="28"/>
          <w:szCs w:val="28"/>
          <w:u w:val="none"/>
          <w:lang w:val="en-US" w:eastAsia="zh-CN"/>
        </w:rPr>
      </w:pPr>
      <w:r>
        <w:rPr>
          <w:rFonts w:hint="eastAsia" w:ascii="Times New Roman" w:hAnsi="Times New Roman" w:eastAsia="黑体" w:cs="黑体"/>
          <w:color w:val="0C0C0C"/>
          <w:sz w:val="32"/>
          <w:szCs w:val="32"/>
          <w:u w:val="none"/>
          <w:lang w:val="en-US" w:eastAsia="zh-CN"/>
        </w:rPr>
        <w:t>三、居民服务、修理和其他服务业</w:t>
      </w:r>
    </w:p>
    <w:p w14:paraId="41EDDFE3">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49C79908">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 w:eastAsia="zh-CN" w:bidi="ar"/>
        </w:rPr>
        <w:t>2023年末，全市共有居民服务、修理和其他服务业企业法人单位</w:t>
      </w:r>
      <w:r>
        <w:rPr>
          <w:rFonts w:hint="eastAsia" w:ascii="仿宋_GB2312" w:hAnsi="仿宋_GB2312" w:eastAsia="仿宋_GB2312" w:cs="仿宋_GB2312"/>
          <w:i w:val="0"/>
          <w:caps w:val="0"/>
          <w:color w:val="0C0C0C"/>
          <w:spacing w:val="0"/>
          <w:kern w:val="0"/>
          <w:sz w:val="32"/>
          <w:szCs w:val="32"/>
          <w:highlight w:val="none"/>
          <w:lang w:val="en-US" w:eastAsia="zh-CN" w:bidi="ar"/>
        </w:rPr>
        <w:t>122</w:t>
      </w:r>
      <w:r>
        <w:rPr>
          <w:rFonts w:hint="eastAsia" w:ascii="仿宋_GB2312" w:hAnsi="仿宋_GB2312" w:eastAsia="仿宋_GB2312" w:cs="仿宋_GB2312"/>
          <w:i w:val="0"/>
          <w:caps w:val="0"/>
          <w:color w:val="0C0C0C"/>
          <w:spacing w:val="0"/>
          <w:kern w:val="0"/>
          <w:sz w:val="32"/>
          <w:szCs w:val="32"/>
          <w:highlight w:val="none"/>
          <w:lang w:val="en" w:eastAsia="zh-CN" w:bidi="ar"/>
        </w:rPr>
        <w:t>个，从业人员</w:t>
      </w:r>
      <w:r>
        <w:rPr>
          <w:rFonts w:hint="eastAsia" w:ascii="仿宋_GB2312" w:hAnsi="仿宋_GB2312" w:eastAsia="仿宋_GB2312" w:cs="仿宋_GB2312"/>
          <w:i w:val="0"/>
          <w:caps w:val="0"/>
          <w:color w:val="0C0C0C"/>
          <w:spacing w:val="0"/>
          <w:kern w:val="0"/>
          <w:sz w:val="32"/>
          <w:szCs w:val="32"/>
          <w:highlight w:val="none"/>
          <w:lang w:val="en-US" w:eastAsia="zh-CN" w:bidi="ar"/>
        </w:rPr>
        <w:t>787</w:t>
      </w:r>
      <w:r>
        <w:rPr>
          <w:rFonts w:hint="eastAsia" w:ascii="仿宋_GB2312" w:hAnsi="仿宋_GB2312" w:eastAsia="仿宋_GB2312" w:cs="仿宋_GB2312"/>
          <w:i w:val="0"/>
          <w:caps w:val="0"/>
          <w:color w:val="0C0C0C"/>
          <w:spacing w:val="0"/>
          <w:kern w:val="0"/>
          <w:sz w:val="32"/>
          <w:szCs w:val="32"/>
          <w:highlight w:val="none"/>
          <w:lang w:val="en" w:eastAsia="zh-CN" w:bidi="ar"/>
        </w:rPr>
        <w:t>人，分别比2018年末增长</w:t>
      </w:r>
      <w:r>
        <w:rPr>
          <w:rFonts w:hint="eastAsia" w:ascii="仿宋_GB2312" w:hAnsi="仿宋_GB2312" w:eastAsia="仿宋_GB2312" w:cs="仿宋_GB2312"/>
          <w:i w:val="0"/>
          <w:caps w:val="0"/>
          <w:color w:val="0C0C0C"/>
          <w:spacing w:val="0"/>
          <w:kern w:val="0"/>
          <w:sz w:val="32"/>
          <w:szCs w:val="32"/>
          <w:highlight w:val="none"/>
          <w:lang w:val="en-US" w:eastAsia="zh-CN" w:bidi="ar"/>
        </w:rPr>
        <w:t>76.8</w:t>
      </w:r>
      <w:r>
        <w:rPr>
          <w:rFonts w:hint="eastAsia" w:ascii="仿宋_GB2312" w:hAnsi="仿宋_GB2312" w:eastAsia="仿宋_GB2312" w:cs="仿宋_GB2312"/>
          <w:i w:val="0"/>
          <w:caps w:val="0"/>
          <w:color w:val="0C0C0C"/>
          <w:spacing w:val="0"/>
          <w:kern w:val="0"/>
          <w:sz w:val="32"/>
          <w:szCs w:val="32"/>
          <w:highlight w:val="none"/>
          <w:lang w:val="en" w:eastAsia="zh-CN" w:bidi="ar"/>
        </w:rPr>
        <w:t>%和</w:t>
      </w:r>
      <w:r>
        <w:rPr>
          <w:rFonts w:hint="eastAsia" w:ascii="仿宋_GB2312" w:hAnsi="仿宋_GB2312" w:eastAsia="仿宋_GB2312" w:cs="仿宋_GB2312"/>
          <w:i w:val="0"/>
          <w:caps w:val="0"/>
          <w:color w:val="0C0C0C"/>
          <w:spacing w:val="0"/>
          <w:kern w:val="0"/>
          <w:sz w:val="32"/>
          <w:szCs w:val="32"/>
          <w:highlight w:val="none"/>
          <w:lang w:val="en-US" w:eastAsia="zh-CN" w:bidi="ar"/>
        </w:rPr>
        <w:t>29.7</w:t>
      </w:r>
      <w:r>
        <w:rPr>
          <w:rFonts w:hint="eastAsia" w:ascii="仿宋_GB2312" w:hAnsi="仿宋_GB2312" w:eastAsia="仿宋_GB2312" w:cs="仿宋_GB2312"/>
          <w:i w:val="0"/>
          <w:caps w:val="0"/>
          <w:color w:val="0C0C0C"/>
          <w:spacing w:val="0"/>
          <w:kern w:val="0"/>
          <w:sz w:val="32"/>
          <w:szCs w:val="32"/>
          <w:highlight w:val="none"/>
          <w:lang w:val="en" w:eastAsia="zh-CN" w:bidi="ar"/>
        </w:rPr>
        <w:t>%（详见表5-4）</w:t>
      </w:r>
      <w:r>
        <w:rPr>
          <w:rFonts w:hint="eastAsia" w:ascii="仿宋_GB2312" w:hAnsi="仿宋_GB2312" w:eastAsia="仿宋_GB2312" w:cs="仿宋_GB2312"/>
          <w:i w:val="0"/>
          <w:caps w:val="0"/>
          <w:color w:val="0C0C0C"/>
          <w:spacing w:val="0"/>
          <w:kern w:val="0"/>
          <w:sz w:val="32"/>
          <w:szCs w:val="32"/>
          <w:highlight w:val="none"/>
          <w:lang w:val="en-US" w:eastAsia="zh-CN" w:bidi="ar"/>
        </w:rPr>
        <w:t>。</w:t>
      </w:r>
    </w:p>
    <w:p w14:paraId="23055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表5-4　按行业大类分组的居民服务、修理和其他服务业</w:t>
      </w:r>
    </w:p>
    <w:p w14:paraId="10D67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500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37"/>
        <w:gridCol w:w="2462"/>
        <w:gridCol w:w="1887"/>
      </w:tblGrid>
      <w:tr w14:paraId="085647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2496" w:type="pct"/>
            <w:tcBorders>
              <w:top w:val="single" w:color="auto" w:sz="12" w:space="0"/>
              <w:left w:val="nil"/>
              <w:bottom w:val="single" w:color="auto" w:sz="4" w:space="0"/>
              <w:right w:val="single" w:color="auto" w:sz="4" w:space="0"/>
            </w:tcBorders>
            <w:noWrap w:val="0"/>
            <w:vAlign w:val="center"/>
          </w:tcPr>
          <w:p w14:paraId="54869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14:paraId="459F98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1086" w:type="pct"/>
            <w:tcBorders>
              <w:top w:val="single" w:color="auto" w:sz="12" w:space="0"/>
              <w:left w:val="single" w:color="auto" w:sz="4" w:space="0"/>
              <w:bottom w:val="single" w:color="auto" w:sz="4" w:space="0"/>
              <w:right w:val="nil"/>
            </w:tcBorders>
            <w:noWrap w:val="0"/>
            <w:vAlign w:val="center"/>
          </w:tcPr>
          <w:p w14:paraId="0359D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14:paraId="093BAF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1" w:hRule="atLeast"/>
          <w:jc w:val="center"/>
        </w:trPr>
        <w:tc>
          <w:tcPr>
            <w:tcW w:w="2496" w:type="pct"/>
            <w:tcBorders>
              <w:top w:val="single" w:color="auto" w:sz="4" w:space="0"/>
              <w:left w:val="nil"/>
              <w:bottom w:val="nil"/>
              <w:right w:val="single" w:color="auto" w:sz="4" w:space="0"/>
            </w:tcBorders>
            <w:noWrap w:val="0"/>
            <w:vAlign w:val="center"/>
          </w:tcPr>
          <w:p w14:paraId="31810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noWrap w:val="0"/>
            <w:vAlign w:val="center"/>
          </w:tcPr>
          <w:p w14:paraId="24FB7D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122</w:t>
            </w:r>
          </w:p>
        </w:tc>
        <w:tc>
          <w:tcPr>
            <w:tcW w:w="1086" w:type="pct"/>
            <w:tcBorders>
              <w:top w:val="single" w:color="auto" w:sz="4" w:space="0"/>
              <w:left w:val="single" w:color="auto" w:sz="4" w:space="0"/>
              <w:bottom w:val="nil"/>
              <w:right w:val="nil"/>
            </w:tcBorders>
            <w:noWrap w:val="0"/>
            <w:vAlign w:val="center"/>
          </w:tcPr>
          <w:p w14:paraId="651AE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787</w:t>
            </w:r>
          </w:p>
        </w:tc>
      </w:tr>
      <w:tr w14:paraId="36EB3D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96" w:type="pct"/>
            <w:tcBorders>
              <w:top w:val="nil"/>
              <w:left w:val="nil"/>
              <w:bottom w:val="nil"/>
              <w:right w:val="single" w:color="auto" w:sz="4" w:space="0"/>
            </w:tcBorders>
            <w:noWrap w:val="0"/>
            <w:vAlign w:val="center"/>
          </w:tcPr>
          <w:p w14:paraId="5904BA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noWrap w:val="0"/>
            <w:vAlign w:val="center"/>
          </w:tcPr>
          <w:p w14:paraId="55327A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65</w:t>
            </w:r>
          </w:p>
        </w:tc>
        <w:tc>
          <w:tcPr>
            <w:tcW w:w="1086" w:type="pct"/>
            <w:tcBorders>
              <w:top w:val="nil"/>
              <w:left w:val="single" w:color="auto" w:sz="4" w:space="0"/>
              <w:bottom w:val="nil"/>
              <w:right w:val="nil"/>
            </w:tcBorders>
            <w:noWrap w:val="0"/>
            <w:vAlign w:val="center"/>
          </w:tcPr>
          <w:p w14:paraId="5FEE6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390</w:t>
            </w:r>
          </w:p>
        </w:tc>
      </w:tr>
      <w:tr w14:paraId="1F0CEE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96" w:type="pct"/>
            <w:tcBorders>
              <w:top w:val="nil"/>
              <w:left w:val="nil"/>
              <w:bottom w:val="nil"/>
              <w:right w:val="single" w:color="auto" w:sz="4" w:space="0"/>
            </w:tcBorders>
            <w:noWrap w:val="0"/>
            <w:vAlign w:val="center"/>
          </w:tcPr>
          <w:p w14:paraId="349A4D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noWrap w:val="0"/>
            <w:vAlign w:val="center"/>
          </w:tcPr>
          <w:p w14:paraId="0AC20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28</w:t>
            </w:r>
          </w:p>
        </w:tc>
        <w:tc>
          <w:tcPr>
            <w:tcW w:w="1086" w:type="pct"/>
            <w:tcBorders>
              <w:top w:val="nil"/>
              <w:left w:val="single" w:color="auto" w:sz="4" w:space="0"/>
              <w:bottom w:val="nil"/>
              <w:right w:val="nil"/>
            </w:tcBorders>
            <w:noWrap w:val="0"/>
            <w:vAlign w:val="center"/>
          </w:tcPr>
          <w:p w14:paraId="7899BE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144</w:t>
            </w:r>
          </w:p>
        </w:tc>
      </w:tr>
      <w:tr w14:paraId="412FD2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0" w:hRule="atLeast"/>
          <w:jc w:val="center"/>
        </w:trPr>
        <w:tc>
          <w:tcPr>
            <w:tcW w:w="2496" w:type="pct"/>
            <w:tcBorders>
              <w:top w:val="nil"/>
              <w:left w:val="nil"/>
              <w:bottom w:val="single" w:color="auto" w:sz="12" w:space="0"/>
              <w:right w:val="single" w:color="auto" w:sz="4" w:space="0"/>
            </w:tcBorders>
            <w:noWrap w:val="0"/>
            <w:vAlign w:val="center"/>
          </w:tcPr>
          <w:p w14:paraId="14266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noWrap w:val="0"/>
            <w:vAlign w:val="center"/>
          </w:tcPr>
          <w:p w14:paraId="79AED7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29</w:t>
            </w:r>
          </w:p>
        </w:tc>
        <w:tc>
          <w:tcPr>
            <w:tcW w:w="1086" w:type="pct"/>
            <w:tcBorders>
              <w:top w:val="nil"/>
              <w:left w:val="single" w:color="auto" w:sz="4" w:space="0"/>
              <w:bottom w:val="single" w:color="auto" w:sz="12" w:space="0"/>
              <w:right w:val="nil"/>
            </w:tcBorders>
            <w:noWrap w:val="0"/>
            <w:vAlign w:val="center"/>
          </w:tcPr>
          <w:p w14:paraId="2FCC8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253</w:t>
            </w:r>
          </w:p>
        </w:tc>
      </w:tr>
    </w:tbl>
    <w:p w14:paraId="5E61D7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4" w:firstLineChars="0"/>
        <w:jc w:val="left"/>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在居民服务、修理和其他服务业企业法人单位中，内资企业占96.7%，其他企业占3.3%。</w:t>
      </w:r>
    </w:p>
    <w:p w14:paraId="0B4AB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4" w:firstLineChars="0"/>
        <w:jc w:val="left"/>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在居民服务、修理和其他服务业企业法人单位从业人员中，内资企业占99.9%，其他企业占0.1%（详见表5-5）。</w:t>
      </w:r>
    </w:p>
    <w:p w14:paraId="7F80EA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表5-5　按登记注册统计类别分组的居民服务、修理和其他服务业</w:t>
      </w:r>
    </w:p>
    <w:p w14:paraId="3C8621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68"/>
        <w:gridCol w:w="2922"/>
        <w:gridCol w:w="2379"/>
      </w:tblGrid>
      <w:tr w14:paraId="07AA29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93" w:hRule="atLeast"/>
          <w:jc w:val="center"/>
        </w:trPr>
        <w:tc>
          <w:tcPr>
            <w:tcW w:w="1942" w:type="pct"/>
            <w:tcBorders>
              <w:top w:val="single" w:color="auto" w:sz="12" w:space="0"/>
              <w:left w:val="nil"/>
              <w:bottom w:val="single" w:color="auto" w:sz="4" w:space="0"/>
              <w:right w:val="single" w:color="auto" w:sz="4" w:space="0"/>
            </w:tcBorders>
            <w:noWrap w:val="0"/>
            <w:vAlign w:val="center"/>
          </w:tcPr>
          <w:p w14:paraId="41AAB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5" w:type="pct"/>
            <w:tcBorders>
              <w:top w:val="single" w:color="auto" w:sz="12" w:space="0"/>
              <w:left w:val="single" w:color="auto" w:sz="4" w:space="0"/>
              <w:bottom w:val="single" w:color="auto" w:sz="4" w:space="0"/>
              <w:right w:val="single" w:color="auto" w:sz="4" w:space="0"/>
            </w:tcBorders>
            <w:noWrap w:val="0"/>
            <w:vAlign w:val="center"/>
          </w:tcPr>
          <w:p w14:paraId="666E80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111EA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72" w:type="pct"/>
            <w:tcBorders>
              <w:top w:val="single" w:color="auto" w:sz="12" w:space="0"/>
              <w:left w:val="single" w:color="auto" w:sz="4" w:space="0"/>
              <w:bottom w:val="single" w:color="auto" w:sz="4" w:space="0"/>
              <w:right w:val="nil"/>
            </w:tcBorders>
            <w:noWrap w:val="0"/>
            <w:vAlign w:val="center"/>
          </w:tcPr>
          <w:p w14:paraId="3B1F3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20EE69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19DE8D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1942" w:type="pct"/>
            <w:tcBorders>
              <w:top w:val="single" w:color="auto" w:sz="4" w:space="0"/>
              <w:left w:val="nil"/>
              <w:bottom w:val="nil"/>
              <w:right w:val="single" w:color="auto" w:sz="4" w:space="0"/>
            </w:tcBorders>
            <w:noWrap w:val="0"/>
            <w:vAlign w:val="center"/>
          </w:tcPr>
          <w:p w14:paraId="34C1C3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685" w:type="pct"/>
            <w:tcBorders>
              <w:top w:val="single" w:color="auto" w:sz="4" w:space="0"/>
              <w:left w:val="single" w:color="auto" w:sz="4" w:space="0"/>
              <w:bottom w:val="nil"/>
              <w:right w:val="single" w:color="auto" w:sz="4" w:space="0"/>
            </w:tcBorders>
            <w:noWrap w:val="0"/>
            <w:vAlign w:val="center"/>
          </w:tcPr>
          <w:p w14:paraId="761136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122</w:t>
            </w:r>
          </w:p>
        </w:tc>
        <w:tc>
          <w:tcPr>
            <w:tcW w:w="1372" w:type="pct"/>
            <w:tcBorders>
              <w:top w:val="single" w:color="auto" w:sz="4" w:space="0"/>
              <w:left w:val="single" w:color="auto" w:sz="4" w:space="0"/>
              <w:bottom w:val="nil"/>
              <w:right w:val="nil"/>
            </w:tcBorders>
            <w:noWrap w:val="0"/>
            <w:vAlign w:val="center"/>
          </w:tcPr>
          <w:p w14:paraId="11838E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787</w:t>
            </w:r>
          </w:p>
        </w:tc>
      </w:tr>
      <w:tr w14:paraId="7A7081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942" w:type="pct"/>
            <w:tcBorders>
              <w:top w:val="nil"/>
              <w:left w:val="nil"/>
              <w:bottom w:val="nil"/>
              <w:right w:val="single" w:color="auto" w:sz="4" w:space="0"/>
            </w:tcBorders>
            <w:noWrap w:val="0"/>
            <w:vAlign w:val="center"/>
          </w:tcPr>
          <w:p w14:paraId="11004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85" w:type="pct"/>
            <w:tcBorders>
              <w:top w:val="nil"/>
              <w:left w:val="single" w:color="auto" w:sz="4" w:space="0"/>
              <w:bottom w:val="nil"/>
              <w:right w:val="single" w:color="auto" w:sz="4" w:space="0"/>
            </w:tcBorders>
            <w:noWrap w:val="0"/>
            <w:vAlign w:val="center"/>
          </w:tcPr>
          <w:p w14:paraId="5A406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118</w:t>
            </w:r>
          </w:p>
        </w:tc>
        <w:tc>
          <w:tcPr>
            <w:tcW w:w="1372" w:type="pct"/>
            <w:tcBorders>
              <w:top w:val="nil"/>
              <w:left w:val="single" w:color="auto" w:sz="4" w:space="0"/>
              <w:bottom w:val="nil"/>
              <w:right w:val="nil"/>
            </w:tcBorders>
            <w:noWrap w:val="0"/>
            <w:vAlign w:val="center"/>
          </w:tcPr>
          <w:p w14:paraId="2FF85E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786</w:t>
            </w:r>
          </w:p>
        </w:tc>
      </w:tr>
      <w:tr w14:paraId="13C622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1942" w:type="pct"/>
            <w:tcBorders>
              <w:top w:val="nil"/>
              <w:left w:val="nil"/>
              <w:bottom w:val="single" w:color="auto" w:sz="12" w:space="0"/>
              <w:right w:val="single" w:color="auto" w:sz="4" w:space="0"/>
            </w:tcBorders>
            <w:noWrap w:val="0"/>
            <w:vAlign w:val="center"/>
          </w:tcPr>
          <w:p w14:paraId="303CB0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w:t>
            </w:r>
            <w:r>
              <w:rPr>
                <w:rFonts w:hint="eastAsia" w:eastAsia="宋体" w:cs="宋体"/>
                <w:b w:val="0"/>
                <w:bCs/>
                <w:color w:val="0C0C0C"/>
                <w:kern w:val="0"/>
                <w:sz w:val="21"/>
                <w:szCs w:val="21"/>
                <w:highlight w:val="none"/>
                <w:lang w:val="en-US" w:eastAsia="zh-CN" w:bidi="ar"/>
              </w:rPr>
              <w:t>企业</w:t>
            </w:r>
          </w:p>
        </w:tc>
        <w:tc>
          <w:tcPr>
            <w:tcW w:w="1685" w:type="pct"/>
            <w:tcBorders>
              <w:top w:val="nil"/>
              <w:left w:val="single" w:color="auto" w:sz="4" w:space="0"/>
              <w:bottom w:val="single" w:color="auto" w:sz="12" w:space="0"/>
              <w:right w:val="single" w:color="auto" w:sz="4" w:space="0"/>
            </w:tcBorders>
            <w:noWrap w:val="0"/>
            <w:vAlign w:val="center"/>
          </w:tcPr>
          <w:p w14:paraId="1CFEE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4</w:t>
            </w:r>
          </w:p>
        </w:tc>
        <w:tc>
          <w:tcPr>
            <w:tcW w:w="1372" w:type="pct"/>
            <w:tcBorders>
              <w:top w:val="nil"/>
              <w:left w:val="single" w:color="auto" w:sz="4" w:space="0"/>
              <w:bottom w:val="single" w:color="auto" w:sz="12" w:space="0"/>
              <w:right w:val="nil"/>
            </w:tcBorders>
            <w:noWrap w:val="0"/>
            <w:vAlign w:val="center"/>
          </w:tcPr>
          <w:p w14:paraId="107A6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w:t>
            </w:r>
          </w:p>
        </w:tc>
      </w:tr>
    </w:tbl>
    <w:p w14:paraId="282DACC8">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7A748905">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2023年末，居民服务、修理和其他服务业企业法人单位资产总计0.87亿元，比2018年末下降31%；负债合计0.74亿元，比2018年末增长51%。全年实现营业收入0.63亿元，比2018年增长65.8%（详见表5-6）。</w:t>
      </w:r>
    </w:p>
    <w:p w14:paraId="2199DE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表5-6　按行业大类分组的居民服务、修理和其他服务业</w:t>
      </w:r>
    </w:p>
    <w:p w14:paraId="1266F9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99"/>
        <w:gridCol w:w="1471"/>
        <w:gridCol w:w="1439"/>
        <w:gridCol w:w="1460"/>
      </w:tblGrid>
      <w:tr w14:paraId="7B9B11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59" w:hRule="atLeast"/>
          <w:jc w:val="center"/>
        </w:trPr>
        <w:tc>
          <w:tcPr>
            <w:tcW w:w="2479" w:type="pct"/>
            <w:tcBorders>
              <w:top w:val="single" w:color="auto" w:sz="12" w:space="0"/>
              <w:left w:val="nil"/>
              <w:bottom w:val="single" w:color="auto" w:sz="4" w:space="0"/>
              <w:right w:val="single" w:color="auto" w:sz="4" w:space="0"/>
            </w:tcBorders>
            <w:noWrap w:val="0"/>
            <w:vAlign w:val="center"/>
          </w:tcPr>
          <w:p w14:paraId="14DB02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14:paraId="208A29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4C6813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C0C0C"/>
                <w:sz w:val="21"/>
                <w:szCs w:val="24"/>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830" w:type="pct"/>
            <w:tcBorders>
              <w:top w:val="single" w:color="auto" w:sz="12" w:space="0"/>
              <w:left w:val="single" w:color="auto" w:sz="4" w:space="0"/>
              <w:bottom w:val="single" w:color="auto" w:sz="4" w:space="0"/>
              <w:right w:val="single" w:color="auto" w:sz="4" w:space="0"/>
            </w:tcBorders>
            <w:noWrap w:val="0"/>
            <w:vAlign w:val="center"/>
          </w:tcPr>
          <w:p w14:paraId="2643E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24556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842" w:type="pct"/>
            <w:tcBorders>
              <w:top w:val="single" w:color="auto" w:sz="12" w:space="0"/>
              <w:left w:val="single" w:color="auto" w:sz="4" w:space="0"/>
              <w:bottom w:val="single" w:color="auto" w:sz="4" w:space="0"/>
              <w:right w:val="nil"/>
            </w:tcBorders>
            <w:noWrap w:val="0"/>
            <w:vAlign w:val="center"/>
          </w:tcPr>
          <w:p w14:paraId="689D6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541D62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6A98CC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2479" w:type="pct"/>
            <w:tcBorders>
              <w:top w:val="single" w:color="auto" w:sz="4" w:space="0"/>
              <w:left w:val="nil"/>
              <w:bottom w:val="nil"/>
              <w:right w:val="single" w:color="auto" w:sz="4" w:space="0"/>
            </w:tcBorders>
            <w:noWrap w:val="0"/>
            <w:vAlign w:val="center"/>
          </w:tcPr>
          <w:p w14:paraId="4E89E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848" w:type="pct"/>
            <w:tcBorders>
              <w:top w:val="single" w:color="auto" w:sz="4" w:space="0"/>
              <w:left w:val="single" w:color="auto" w:sz="4" w:space="0"/>
              <w:bottom w:val="nil"/>
              <w:right w:val="single" w:color="auto" w:sz="4" w:space="0"/>
            </w:tcBorders>
            <w:noWrap w:val="0"/>
            <w:vAlign w:val="center"/>
          </w:tcPr>
          <w:p w14:paraId="13FD4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0.87</w:t>
            </w:r>
          </w:p>
        </w:tc>
        <w:tc>
          <w:tcPr>
            <w:tcW w:w="830" w:type="pct"/>
            <w:tcBorders>
              <w:top w:val="single" w:color="auto" w:sz="4" w:space="0"/>
              <w:left w:val="single" w:color="auto" w:sz="4" w:space="0"/>
              <w:bottom w:val="nil"/>
              <w:right w:val="single" w:color="auto" w:sz="4" w:space="0"/>
            </w:tcBorders>
            <w:noWrap w:val="0"/>
            <w:vAlign w:val="center"/>
          </w:tcPr>
          <w:p w14:paraId="5E126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0.74</w:t>
            </w:r>
          </w:p>
        </w:tc>
        <w:tc>
          <w:tcPr>
            <w:tcW w:w="842" w:type="pct"/>
            <w:tcBorders>
              <w:top w:val="single" w:color="auto" w:sz="4" w:space="0"/>
              <w:left w:val="single" w:color="auto" w:sz="4" w:space="0"/>
              <w:bottom w:val="nil"/>
              <w:right w:val="nil"/>
            </w:tcBorders>
            <w:noWrap w:val="0"/>
            <w:vAlign w:val="center"/>
          </w:tcPr>
          <w:p w14:paraId="24E20E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0.63</w:t>
            </w:r>
          </w:p>
        </w:tc>
      </w:tr>
      <w:tr w14:paraId="219810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1" w:hRule="atLeast"/>
          <w:jc w:val="center"/>
        </w:trPr>
        <w:tc>
          <w:tcPr>
            <w:tcW w:w="2479" w:type="pct"/>
            <w:tcBorders>
              <w:top w:val="nil"/>
              <w:left w:val="nil"/>
              <w:bottom w:val="nil"/>
              <w:right w:val="single" w:color="auto" w:sz="4" w:space="0"/>
            </w:tcBorders>
            <w:noWrap w:val="0"/>
            <w:vAlign w:val="center"/>
          </w:tcPr>
          <w:p w14:paraId="50217A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848" w:type="pct"/>
            <w:tcBorders>
              <w:top w:val="nil"/>
              <w:left w:val="single" w:color="auto" w:sz="4" w:space="0"/>
              <w:bottom w:val="nil"/>
              <w:right w:val="single" w:color="auto" w:sz="4" w:space="0"/>
            </w:tcBorders>
            <w:noWrap w:val="0"/>
            <w:vAlign w:val="center"/>
          </w:tcPr>
          <w:p w14:paraId="31900D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0.53</w:t>
            </w:r>
          </w:p>
        </w:tc>
        <w:tc>
          <w:tcPr>
            <w:tcW w:w="830" w:type="pct"/>
            <w:tcBorders>
              <w:top w:val="nil"/>
              <w:left w:val="single" w:color="auto" w:sz="4" w:space="0"/>
              <w:bottom w:val="nil"/>
              <w:right w:val="single" w:color="auto" w:sz="4" w:space="0"/>
            </w:tcBorders>
            <w:noWrap w:val="0"/>
            <w:vAlign w:val="center"/>
          </w:tcPr>
          <w:p w14:paraId="45586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0.49</w:t>
            </w:r>
          </w:p>
        </w:tc>
        <w:tc>
          <w:tcPr>
            <w:tcW w:w="842" w:type="pct"/>
            <w:tcBorders>
              <w:top w:val="nil"/>
              <w:left w:val="single" w:color="auto" w:sz="4" w:space="0"/>
              <w:bottom w:val="nil"/>
              <w:right w:val="nil"/>
            </w:tcBorders>
            <w:noWrap w:val="0"/>
            <w:vAlign w:val="center"/>
          </w:tcPr>
          <w:p w14:paraId="161646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0.38</w:t>
            </w:r>
          </w:p>
        </w:tc>
      </w:tr>
      <w:tr w14:paraId="0A6BEF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1" w:hRule="atLeast"/>
          <w:jc w:val="center"/>
        </w:trPr>
        <w:tc>
          <w:tcPr>
            <w:tcW w:w="2479" w:type="pct"/>
            <w:tcBorders>
              <w:top w:val="nil"/>
              <w:left w:val="nil"/>
              <w:bottom w:val="nil"/>
              <w:right w:val="single" w:color="auto" w:sz="4" w:space="0"/>
            </w:tcBorders>
            <w:noWrap w:val="0"/>
            <w:vAlign w:val="center"/>
          </w:tcPr>
          <w:p w14:paraId="7D528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848" w:type="pct"/>
            <w:tcBorders>
              <w:top w:val="nil"/>
              <w:left w:val="single" w:color="auto" w:sz="4" w:space="0"/>
              <w:bottom w:val="nil"/>
              <w:right w:val="single" w:color="auto" w:sz="4" w:space="0"/>
            </w:tcBorders>
            <w:noWrap w:val="0"/>
            <w:vAlign w:val="center"/>
          </w:tcPr>
          <w:p w14:paraId="69869B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0.15</w:t>
            </w:r>
          </w:p>
        </w:tc>
        <w:tc>
          <w:tcPr>
            <w:tcW w:w="830" w:type="pct"/>
            <w:tcBorders>
              <w:top w:val="nil"/>
              <w:left w:val="single" w:color="auto" w:sz="4" w:space="0"/>
              <w:bottom w:val="nil"/>
              <w:right w:val="single" w:color="auto" w:sz="4" w:space="0"/>
            </w:tcBorders>
            <w:noWrap w:val="0"/>
            <w:vAlign w:val="center"/>
          </w:tcPr>
          <w:p w14:paraId="570A1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0.13</w:t>
            </w:r>
          </w:p>
        </w:tc>
        <w:tc>
          <w:tcPr>
            <w:tcW w:w="842" w:type="pct"/>
            <w:tcBorders>
              <w:top w:val="nil"/>
              <w:left w:val="single" w:color="auto" w:sz="4" w:space="0"/>
              <w:bottom w:val="nil"/>
              <w:right w:val="nil"/>
            </w:tcBorders>
            <w:noWrap w:val="0"/>
            <w:vAlign w:val="center"/>
          </w:tcPr>
          <w:p w14:paraId="0E854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0.12</w:t>
            </w:r>
          </w:p>
        </w:tc>
      </w:tr>
      <w:tr w14:paraId="7BAF80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79" w:type="pct"/>
            <w:tcBorders>
              <w:top w:val="nil"/>
              <w:left w:val="nil"/>
              <w:bottom w:val="single" w:color="auto" w:sz="12" w:space="0"/>
              <w:right w:val="single" w:color="auto" w:sz="4" w:space="0"/>
            </w:tcBorders>
            <w:noWrap w:val="0"/>
            <w:vAlign w:val="center"/>
          </w:tcPr>
          <w:p w14:paraId="4989D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848" w:type="pct"/>
            <w:tcBorders>
              <w:top w:val="nil"/>
              <w:left w:val="single" w:color="auto" w:sz="4" w:space="0"/>
              <w:bottom w:val="single" w:color="auto" w:sz="12" w:space="0"/>
              <w:right w:val="single" w:color="auto" w:sz="4" w:space="0"/>
            </w:tcBorders>
            <w:noWrap w:val="0"/>
            <w:vAlign w:val="center"/>
          </w:tcPr>
          <w:p w14:paraId="48DE6E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0.19</w:t>
            </w:r>
          </w:p>
        </w:tc>
        <w:tc>
          <w:tcPr>
            <w:tcW w:w="830" w:type="pct"/>
            <w:tcBorders>
              <w:top w:val="nil"/>
              <w:left w:val="single" w:color="auto" w:sz="4" w:space="0"/>
              <w:bottom w:val="single" w:color="auto" w:sz="12" w:space="0"/>
              <w:right w:val="single" w:color="auto" w:sz="4" w:space="0"/>
            </w:tcBorders>
            <w:noWrap w:val="0"/>
            <w:vAlign w:val="center"/>
          </w:tcPr>
          <w:p w14:paraId="328AB9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0.11</w:t>
            </w:r>
          </w:p>
        </w:tc>
        <w:tc>
          <w:tcPr>
            <w:tcW w:w="842" w:type="pct"/>
            <w:tcBorders>
              <w:top w:val="nil"/>
              <w:left w:val="single" w:color="auto" w:sz="4" w:space="0"/>
              <w:bottom w:val="single" w:color="auto" w:sz="12" w:space="0"/>
              <w:right w:val="nil"/>
            </w:tcBorders>
            <w:noWrap w:val="0"/>
            <w:vAlign w:val="center"/>
          </w:tcPr>
          <w:p w14:paraId="286B6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0.13</w:t>
            </w:r>
          </w:p>
        </w:tc>
      </w:tr>
    </w:tbl>
    <w:p w14:paraId="088C9F1D">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Times New Roman" w:hAnsi="Times New Roman" w:eastAsia="黑体" w:cs="黑体"/>
          <w:color w:val="0C0C0C"/>
          <w:sz w:val="32"/>
          <w:szCs w:val="32"/>
          <w:u w:val="none"/>
          <w:lang w:val="en-US" w:eastAsia="zh-CN"/>
        </w:rPr>
      </w:pPr>
      <w:r>
        <w:rPr>
          <w:rFonts w:hint="eastAsia" w:ascii="Times New Roman" w:hAnsi="Times New Roman" w:eastAsia="黑体" w:cs="黑体"/>
          <w:color w:val="0C0C0C"/>
          <w:sz w:val="32"/>
          <w:szCs w:val="32"/>
          <w:u w:val="none"/>
          <w:lang w:val="en-US" w:eastAsia="zh-CN"/>
        </w:rPr>
        <w:t>四、教育</w:t>
      </w:r>
    </w:p>
    <w:p w14:paraId="52D0A7B4">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（一）法人单位数和从业人员</w:t>
      </w:r>
    </w:p>
    <w:p w14:paraId="56164DF3">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2023年末，全市共有教育法人单位211个，从业人员10426人，分别比2018年末增长0.5%和18.2%。其中，行政事业及非企业法人单位121个，从业人员8991人，分别比2018年末下降24.8%和增长10.2%。</w:t>
      </w:r>
    </w:p>
    <w:p w14:paraId="5B7B13CB">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2D26617E">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2023年末，教育企业法人单位资产总计0.85亿元，比2018年末下降68.9%；负债合计1.76亿元。全年实现营业收入1.1亿元，比2018年增长181.5%。</w:t>
      </w:r>
    </w:p>
    <w:p w14:paraId="21299DBB">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行政事业及非企业法人单位年末资产28.94亿元，比2018年末下降71%。本年支出（费用）合计18.75亿元，比2018年增长34.2%。</w:t>
      </w:r>
    </w:p>
    <w:p w14:paraId="75C1F044">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color w:val="0C0C0C"/>
          <w:sz w:val="32"/>
          <w:szCs w:val="32"/>
          <w:u w:val="none"/>
          <w:lang w:val="en-US" w:eastAsia="zh-CN"/>
        </w:rPr>
      </w:pPr>
      <w:r>
        <w:rPr>
          <w:rFonts w:hint="eastAsia" w:ascii="黑体" w:hAnsi="黑体" w:eastAsia="黑体" w:cs="黑体"/>
          <w:color w:val="0C0C0C"/>
          <w:sz w:val="32"/>
          <w:szCs w:val="32"/>
          <w:u w:val="none"/>
          <w:lang w:val="en-US" w:eastAsia="zh-CN"/>
        </w:rPr>
        <w:t>五、卫生和社会工作</w:t>
      </w:r>
    </w:p>
    <w:p w14:paraId="66DAC400">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（一）法人单位数和从业人员</w:t>
      </w:r>
    </w:p>
    <w:p w14:paraId="44C03964">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2023年末，全市共有卫生和社会工作法人单位119个，从业人员5983人，分别比2018年末增长29.3%和40.7%。其中，行政事业及非企业法人单位51个，比2018年末增长21.4%；从业人员3641人</w:t>
      </w:r>
      <w:r>
        <w:rPr>
          <w:rFonts w:hint="eastAsia" w:ascii="仿宋_GB2312" w:hAnsi="仿宋_GB2312" w:eastAsia="仿宋_GB2312" w:cs="仿宋_GB2312"/>
          <w:i w:val="0"/>
          <w:caps w:val="0"/>
          <w:color w:val="auto"/>
          <w:spacing w:val="0"/>
          <w:kern w:val="0"/>
          <w:sz w:val="32"/>
          <w:szCs w:val="32"/>
          <w:highlight w:val="none"/>
          <w:lang w:val="en-US" w:eastAsia="zh-CN" w:bidi="ar"/>
        </w:rPr>
        <w:t>。</w:t>
      </w:r>
    </w:p>
    <w:p w14:paraId="465F241C">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5B06B79D">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FF0000"/>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2023年末，卫生和社会工作企业法人单位资产总计40.74亿元，比2018年末下降0.1%；负债合计42.32亿元。全年实现营业收入12.33亿元，比2018年增长813.3%。</w:t>
      </w:r>
    </w:p>
    <w:p w14:paraId="4E15CA5B">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行政事业及非企业法人单位年末资产26.65亿元，比2018年末增长110.7%。本年支出（费用）合计17.35亿元，比2018年增长46.5%。</w:t>
      </w:r>
    </w:p>
    <w:p w14:paraId="216F4F92">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color w:val="0C0C0C"/>
          <w:sz w:val="32"/>
          <w:szCs w:val="32"/>
          <w:u w:val="none"/>
          <w:lang w:val="en-US" w:eastAsia="zh-CN"/>
        </w:rPr>
      </w:pPr>
      <w:r>
        <w:rPr>
          <w:rFonts w:hint="eastAsia" w:ascii="黑体" w:hAnsi="黑体" w:eastAsia="黑体" w:cs="黑体"/>
          <w:b w:val="0"/>
          <w:bCs w:val="0"/>
          <w:color w:val="0C0C0C"/>
          <w:sz w:val="32"/>
          <w:szCs w:val="32"/>
          <w:u w:val="none"/>
          <w:lang w:val="en-US" w:eastAsia="zh-CN"/>
        </w:rPr>
        <w:t>六、文化、体育和娱乐业</w:t>
      </w:r>
    </w:p>
    <w:p w14:paraId="68299610">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（一）法人单位数和从业人员</w:t>
      </w:r>
    </w:p>
    <w:p w14:paraId="709AE5D8">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2023年末，全市共有文化、体育和娱乐业法人单位141个，从业人员957人，分别比2018年末增长8.5%和9.7%。其中，企业法人单位127个，从业人员570人，分别比2018年末增长6.7%和下降6.7%。</w:t>
      </w:r>
    </w:p>
    <w:p w14:paraId="73793B4C">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3E3E823D">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2023年末，文化、体育和娱乐业企业法人单位资产总计2.98亿元，比2018年末下降6.3%；负债合计2.12亿元。全年实现营业收入0.997亿元，比2018年增长69%。</w:t>
      </w:r>
    </w:p>
    <w:p w14:paraId="32D49977">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行政事业及非企业法人单位年末资产12.70亿元，比2018年末增长43.3%。本年支出（费用）合计1.19亿元，比2018年下降25.2%。</w:t>
      </w:r>
    </w:p>
    <w:p w14:paraId="58A054E0">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color w:val="0C0C0C"/>
          <w:sz w:val="32"/>
          <w:szCs w:val="32"/>
          <w:u w:val="none"/>
          <w:lang w:val="en-US" w:eastAsia="zh-CN"/>
        </w:rPr>
      </w:pPr>
      <w:r>
        <w:rPr>
          <w:rFonts w:hint="eastAsia" w:ascii="黑体" w:hAnsi="黑体" w:eastAsia="黑体" w:cs="黑体"/>
          <w:color w:val="0C0C0C"/>
          <w:sz w:val="32"/>
          <w:szCs w:val="32"/>
          <w:u w:val="none"/>
          <w:lang w:val="en-US" w:eastAsia="zh-CN"/>
        </w:rPr>
        <w:t>七、公共管理、社会保障和社会组织</w:t>
      </w:r>
    </w:p>
    <w:p w14:paraId="54D5AF8D">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2023年末，全市共有公共管理、社会保障和社会组织法人单位455个，比2018年末增长12.3%；从业人员8069人，增长12.9%。行政事业及非企业法人单位本年支出（费用）合计38.31亿元，比2018年下降39.1%。</w:t>
      </w:r>
    </w:p>
    <w:p w14:paraId="4F69BAC6">
      <w:pPr>
        <w:rPr>
          <w:rFonts w:hint="eastAsia"/>
          <w:lang w:val="en-US" w:eastAsia="zh-CN"/>
        </w:rPr>
      </w:pPr>
    </w:p>
    <w:p w14:paraId="3381EF02">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注释：</w:t>
      </w:r>
    </w:p>
    <w:p w14:paraId="753E101E">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5B1689FF">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12E4CD6A">
      <w:pPr>
        <w:widowControl/>
        <w:spacing w:line="375" w:lineRule="atLeast"/>
        <w:jc w:val="left"/>
        <w:rPr>
          <w:rFonts w:hint="eastAsia"/>
          <w:lang w:val="en-US" w:eastAsia="zh-CN"/>
        </w:rPr>
      </w:pPr>
      <w:r>
        <w:rPr>
          <w:rFonts w:hint="eastAsia" w:ascii="Times New Roman" w:hAnsi="Times New Roman" w:eastAsia="楷体_GB2312" w:cs="楷体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[3]表中的合计数和部分计算数据因小数取舍而产生的误差，均未作机械调整。为保证数据精确度，个别数据保留2位小数。</w:t>
      </w: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D88A">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80B">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3DBDAD4E">
      <w:pPr>
        <w:pStyle w:val="8"/>
        <w:snapToGrid w:val="0"/>
        <w:spacing w:line="240" w:lineRule="auto"/>
        <w:ind w:firstLine="0" w:firstLineChars="0"/>
        <w:jc w:val="both"/>
        <w:textAlignment w:val="auto"/>
        <w:rPr>
          <w:rStyle w:val="13"/>
          <w:rFonts w:hint="eastAsia" w:eastAsia="宋体" w:cs="Times New Roman"/>
          <w:szCs w:val="18"/>
          <w:vertAlign w:val="superscript"/>
          <w:lang w:val="en-US" w:eastAsia="zh-CN"/>
        </w:rPr>
      </w:pPr>
      <w:r>
        <w:rPr>
          <w:rStyle w:val="13"/>
          <w:rFonts w:hint="eastAsia" w:ascii="Calibri" w:hAnsi="Calibri" w:eastAsia="宋体" w:cs="Times New Roman"/>
          <w:vertAlign w:val="superscript"/>
          <w:lang w:val="en-US" w:eastAsia="zh-CN"/>
        </w:rPr>
        <w:footnoteRef/>
      </w:r>
      <w:r>
        <w:rPr>
          <w:rStyle w:val="13"/>
          <w:rFonts w:hint="eastAsia" w:ascii="Calibri" w:hAnsi="Calibri" w:eastAsia="宋体" w:cs="Times New Roman"/>
          <w:vertAlign w:val="superscript"/>
          <w:lang w:val="en-US" w:eastAsia="zh-CN"/>
        </w:rPr>
        <w:t xml:space="preserve"> </w:t>
      </w:r>
      <w:r>
        <w:rPr>
          <w:rStyle w:val="13"/>
          <w:rFonts w:hint="eastAsia" w:eastAsia="宋体" w:cs="Times New Roman"/>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AA37">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768B">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E4F04"/>
    <w:rsid w:val="05A81219"/>
    <w:rsid w:val="05C25634"/>
    <w:rsid w:val="06C45BA7"/>
    <w:rsid w:val="06FD08ED"/>
    <w:rsid w:val="07814318"/>
    <w:rsid w:val="090E6DE2"/>
    <w:rsid w:val="09E7687C"/>
    <w:rsid w:val="0AAC3046"/>
    <w:rsid w:val="0AE24082"/>
    <w:rsid w:val="0F382F71"/>
    <w:rsid w:val="0F6E05DA"/>
    <w:rsid w:val="11BB23CB"/>
    <w:rsid w:val="11DB6B5A"/>
    <w:rsid w:val="120B07E6"/>
    <w:rsid w:val="139A1258"/>
    <w:rsid w:val="14191500"/>
    <w:rsid w:val="166C48FD"/>
    <w:rsid w:val="19CE2DBB"/>
    <w:rsid w:val="1A620D3B"/>
    <w:rsid w:val="23845689"/>
    <w:rsid w:val="24D456F9"/>
    <w:rsid w:val="28080906"/>
    <w:rsid w:val="2E826544"/>
    <w:rsid w:val="30257789"/>
    <w:rsid w:val="324E1F59"/>
    <w:rsid w:val="32AE11C4"/>
    <w:rsid w:val="33721B98"/>
    <w:rsid w:val="37EA48ED"/>
    <w:rsid w:val="3D2739F3"/>
    <w:rsid w:val="3E135068"/>
    <w:rsid w:val="3E7E2966"/>
    <w:rsid w:val="3E9B71A7"/>
    <w:rsid w:val="3EFE4F04"/>
    <w:rsid w:val="3F817CD1"/>
    <w:rsid w:val="4069302E"/>
    <w:rsid w:val="40FB4EBE"/>
    <w:rsid w:val="416922FA"/>
    <w:rsid w:val="44A6072E"/>
    <w:rsid w:val="49BB2414"/>
    <w:rsid w:val="4B2A1C61"/>
    <w:rsid w:val="4C8B235D"/>
    <w:rsid w:val="4D1B4BF6"/>
    <w:rsid w:val="4E3917D8"/>
    <w:rsid w:val="50BD049E"/>
    <w:rsid w:val="525011ED"/>
    <w:rsid w:val="55173EF5"/>
    <w:rsid w:val="552F379A"/>
    <w:rsid w:val="59D73AFD"/>
    <w:rsid w:val="5DBF666B"/>
    <w:rsid w:val="5E2356B9"/>
    <w:rsid w:val="5F42729B"/>
    <w:rsid w:val="5F7268F8"/>
    <w:rsid w:val="61420E0E"/>
    <w:rsid w:val="61C54472"/>
    <w:rsid w:val="62A104EB"/>
    <w:rsid w:val="63BD210C"/>
    <w:rsid w:val="66755426"/>
    <w:rsid w:val="6CD176D0"/>
    <w:rsid w:val="6CF546C4"/>
    <w:rsid w:val="6DE5298B"/>
    <w:rsid w:val="741E09A4"/>
    <w:rsid w:val="765E0C6A"/>
    <w:rsid w:val="76BE0361"/>
    <w:rsid w:val="79D00993"/>
    <w:rsid w:val="79E05927"/>
    <w:rsid w:val="7CD8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spacing w:after="120"/>
    </w:pPr>
  </w:style>
  <w:style w:type="paragraph" w:styleId="4">
    <w:name w:val="Title"/>
    <w:basedOn w:val="1"/>
    <w:next w:val="1"/>
    <w:qFormat/>
    <w:uiPriority w:val="10"/>
    <w:pPr>
      <w:widowControl/>
      <w:ind w:firstLine="0" w:firstLineChars="0"/>
      <w:jc w:val="center"/>
    </w:pPr>
    <w:rPr>
      <w:rFonts w:eastAsia="方正小标宋简体"/>
      <w:b/>
      <w:bCs/>
      <w:sz w:val="40"/>
    </w:rPr>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w:basedOn w:val="3"/>
    <w:next w:val="10"/>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0">
    <w:name w:val="Body Text First Indent 2"/>
    <w:basedOn w:val="5"/>
    <w:next w:val="1"/>
    <w:qFormat/>
    <w:uiPriority w:val="0"/>
    <w:pPr>
      <w:ind w:firstLine="420" w:firstLineChars="200"/>
    </w:pPr>
  </w:style>
  <w:style w:type="character" w:styleId="13">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2444</Words>
  <Characters>3103</Characters>
  <Lines>0</Lines>
  <Paragraphs>0</Paragraphs>
  <TotalTime>27</TotalTime>
  <ScaleCrop>false</ScaleCrop>
  <LinksUpToDate>false</LinksUpToDate>
  <CharactersWithSpaces>3120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2025-03-11T07:09:00Z</dcterms:created>
  <dc:creator>偶上</dc:creator>
  <cp:lastModifiedBy>cola</cp:lastModifiedBy>
  <cp:lastPrinted>2025-05-13T02:04:00Z</cp:lastPrinted>
  <dcterms:modified xsi:type="dcterms:W3CDTF">2025-05-22T01:14:24Z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6B6CFB5DAB14441EA6190C5C93C035E7_13</vt:lpwstr>
  </property>
  <property fmtid="{D5CDD505-2E9C-101B-9397-08002B2CF9AE}" pid="4" name="KSOTemplateDocerSaveRecord">
    <vt:lpwstr>eyJoZGlkIjoiMDllMTZhZDRkODZlNmQyYTMyMzZjMzg1ZDgyODc0NTciLCJ1c2VySWQiOiIyMTAzOTM3NCJ9</vt:lpwstr>
  </property>
</Properties>
</file>