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580" w:lineRule="exact"/>
        <w:textAlignment w:val="auto"/>
        <w:rPr>
          <w:rFonts w:hint="eastAsia" w:ascii="黑体" w:hAnsi="黑体" w:eastAsia="黑体" w:cs="黑体"/>
          <w:bCs/>
          <w:sz w:val="32"/>
          <w:szCs w:val="32"/>
          <w:lang w:val="en-US" w:eastAsia="zh-CN"/>
        </w:rPr>
      </w:pPr>
      <w:r>
        <w:rPr>
          <w:rFonts w:hint="eastAsia" w:ascii="黑体" w:hAnsi="黑体" w:eastAsia="黑体" w:cs="黑体"/>
          <w:bCs/>
          <w:sz w:val="32"/>
          <w:szCs w:val="32"/>
        </w:rPr>
        <w:t>附件</w:t>
      </w:r>
      <w:r>
        <w:rPr>
          <w:rFonts w:hint="eastAsia" w:ascii="黑体" w:hAnsi="黑体" w:eastAsia="黑体" w:cs="黑体"/>
          <w:bCs/>
          <w:sz w:val="32"/>
          <w:szCs w:val="32"/>
          <w:lang w:val="en-US" w:eastAsia="zh-CN"/>
        </w:rPr>
        <w:t>3</w:t>
      </w:r>
    </w:p>
    <w:p>
      <w:pPr>
        <w:keepNext w:val="0"/>
        <w:keepLines w:val="0"/>
        <w:pageBreakBefore w:val="0"/>
        <w:widowControl w:val="0"/>
        <w:kinsoku/>
        <w:wordWrap/>
        <w:overflowPunct/>
        <w:topLinePunct w:val="0"/>
        <w:autoSpaceDE/>
        <w:autoSpaceDN/>
        <w:bidi w:val="0"/>
        <w:adjustRightInd/>
        <w:snapToGrid w:val="0"/>
        <w:spacing w:line="580" w:lineRule="exact"/>
        <w:jc w:val="center"/>
        <w:textAlignment w:val="auto"/>
        <w:rPr>
          <w:rFonts w:ascii="仿宋_GB2312" w:hAnsi="华文中宋"/>
          <w:bCs/>
          <w:sz w:val="36"/>
          <w:szCs w:val="44"/>
        </w:rPr>
      </w:pPr>
    </w:p>
    <w:p>
      <w:pPr>
        <w:keepNext w:val="0"/>
        <w:keepLines w:val="0"/>
        <w:pageBreakBefore w:val="0"/>
        <w:widowControl w:val="0"/>
        <w:kinsoku/>
        <w:wordWrap/>
        <w:overflowPunct/>
        <w:topLinePunct w:val="0"/>
        <w:autoSpaceDE/>
        <w:autoSpaceDN/>
        <w:bidi w:val="0"/>
        <w:adjustRightInd/>
        <w:snapToGrid w:val="0"/>
        <w:spacing w:line="580" w:lineRule="exact"/>
        <w:jc w:val="center"/>
        <w:textAlignment w:val="auto"/>
        <w:rPr>
          <w:rFonts w:hint="eastAsia" w:ascii="方正小标宋简体" w:hAnsi="方正小标宋简体" w:eastAsia="方正小标宋简体" w:cs="方正小标宋简体"/>
          <w:b w:val="0"/>
          <w:bCs/>
          <w:sz w:val="36"/>
          <w:szCs w:val="44"/>
        </w:rPr>
      </w:pPr>
      <w:r>
        <w:rPr>
          <w:rFonts w:hint="eastAsia" w:ascii="方正小标宋简体" w:hAnsi="方正小标宋简体" w:eastAsia="方正小标宋简体" w:cs="方正小标宋简体"/>
          <w:b w:val="0"/>
          <w:bCs/>
          <w:sz w:val="36"/>
          <w:szCs w:val="44"/>
          <w:lang w:val="en-US" w:eastAsia="zh-CN"/>
        </w:rPr>
        <w:t>海南</w:t>
      </w:r>
      <w:r>
        <w:rPr>
          <w:rFonts w:hint="eastAsia" w:ascii="方正小标宋简体" w:hAnsi="方正小标宋简体" w:eastAsia="方正小标宋简体" w:cs="方正小标宋简体"/>
          <w:b w:val="0"/>
          <w:bCs/>
          <w:sz w:val="36"/>
          <w:szCs w:val="44"/>
        </w:rPr>
        <w:t>省</w:t>
      </w:r>
      <w:r>
        <w:rPr>
          <w:rFonts w:hint="eastAsia" w:ascii="方正小标宋简体" w:hAnsi="方正小标宋简体" w:eastAsia="方正小标宋简体" w:cs="方正小标宋简体"/>
          <w:b w:val="0"/>
          <w:bCs/>
          <w:sz w:val="36"/>
          <w:szCs w:val="44"/>
          <w:lang w:val="en-US" w:eastAsia="zh-CN"/>
        </w:rPr>
        <w:t>医疗服务与保障能力提升（公立医院综合改革）补助资金</w:t>
      </w:r>
      <w:r>
        <w:rPr>
          <w:rFonts w:hint="eastAsia" w:ascii="方正小标宋简体" w:hAnsi="方正小标宋简体" w:eastAsia="方正小标宋简体" w:cs="方正小标宋简体"/>
          <w:b w:val="0"/>
          <w:bCs/>
          <w:sz w:val="36"/>
          <w:szCs w:val="44"/>
        </w:rPr>
        <w:t>转移支付20</w:t>
      </w:r>
      <w:r>
        <w:rPr>
          <w:rFonts w:hint="eastAsia" w:ascii="方正小标宋简体" w:hAnsi="方正小标宋简体" w:eastAsia="方正小标宋简体" w:cs="方正小标宋简体"/>
          <w:b w:val="0"/>
          <w:bCs/>
          <w:sz w:val="36"/>
          <w:szCs w:val="44"/>
          <w:lang w:val="en-US" w:eastAsia="zh-CN"/>
        </w:rPr>
        <w:t>2</w:t>
      </w:r>
      <w:r>
        <w:rPr>
          <w:rFonts w:hint="default" w:ascii="方正小标宋简体" w:hAnsi="方正小标宋简体" w:eastAsia="方正小标宋简体" w:cs="方正小标宋简体"/>
          <w:b w:val="0"/>
          <w:bCs/>
          <w:sz w:val="36"/>
          <w:szCs w:val="44"/>
          <w:lang w:val="en" w:eastAsia="zh-CN"/>
        </w:rPr>
        <w:t>5</w:t>
      </w:r>
      <w:r>
        <w:rPr>
          <w:rFonts w:hint="eastAsia" w:ascii="方正小标宋简体" w:hAnsi="方正小标宋简体" w:eastAsia="方正小标宋简体" w:cs="方正小标宋简体"/>
          <w:b w:val="0"/>
          <w:bCs/>
          <w:sz w:val="36"/>
          <w:szCs w:val="44"/>
        </w:rPr>
        <w:t>年度绩效自评报告</w:t>
      </w:r>
    </w:p>
    <w:p>
      <w:pPr>
        <w:keepNext w:val="0"/>
        <w:keepLines w:val="0"/>
        <w:pageBreakBefore w:val="0"/>
        <w:widowControl w:val="0"/>
        <w:kinsoku/>
        <w:wordWrap/>
        <w:overflowPunct/>
        <w:topLinePunct w:val="0"/>
        <w:autoSpaceDE/>
        <w:autoSpaceDN/>
        <w:bidi w:val="0"/>
        <w:adjustRightInd/>
        <w:snapToGrid w:val="0"/>
        <w:spacing w:line="580" w:lineRule="exact"/>
        <w:jc w:val="center"/>
        <w:textAlignment w:val="auto"/>
        <w:rPr>
          <w:rFonts w:ascii="仿宋_GB2312"/>
          <w:szCs w:val="32"/>
        </w:rPr>
      </w:pPr>
    </w:p>
    <w:p>
      <w:pPr>
        <w:keepNext w:val="0"/>
        <w:keepLines w:val="0"/>
        <w:pageBreakBefore w:val="0"/>
        <w:widowControl w:val="0"/>
        <w:kinsoku/>
        <w:wordWrap/>
        <w:overflowPunct/>
        <w:topLinePunct w:val="0"/>
        <w:autoSpaceDE/>
        <w:autoSpaceDN/>
        <w:bidi w:val="0"/>
        <w:adjustRightInd/>
        <w:snapToGrid w:val="0"/>
        <w:spacing w:line="580" w:lineRule="exact"/>
        <w:ind w:firstLine="600" w:firstLineChars="200"/>
        <w:textAlignment w:val="auto"/>
        <w:rPr>
          <w:rFonts w:ascii="黑体" w:hAnsi="黑体" w:eastAsia="黑体" w:cs="黑体"/>
          <w:bCs/>
          <w:szCs w:val="32"/>
        </w:rPr>
      </w:pPr>
      <w:r>
        <w:rPr>
          <w:rFonts w:hint="eastAsia" w:ascii="黑体" w:hAnsi="黑体" w:eastAsia="黑体" w:cs="黑体"/>
          <w:bCs/>
          <w:szCs w:val="32"/>
        </w:rPr>
        <w:t>一、绩效目标分解下达情况</w:t>
      </w:r>
    </w:p>
    <w:p>
      <w:pPr>
        <w:keepNext w:val="0"/>
        <w:keepLines w:val="0"/>
        <w:pageBreakBefore w:val="0"/>
        <w:widowControl w:val="0"/>
        <w:kinsoku/>
        <w:wordWrap/>
        <w:overflowPunct/>
        <w:topLinePunct w:val="0"/>
        <w:autoSpaceDE/>
        <w:autoSpaceDN/>
        <w:bidi w:val="0"/>
        <w:adjustRightInd/>
        <w:snapToGrid w:val="0"/>
        <w:spacing w:line="580" w:lineRule="exact"/>
        <w:ind w:firstLine="600" w:firstLineChars="200"/>
        <w:textAlignment w:val="auto"/>
        <w:outlineLvl w:val="0"/>
        <w:rPr>
          <w:rFonts w:ascii="仿宋_GB2312"/>
          <w:szCs w:val="32"/>
        </w:rPr>
      </w:pPr>
      <w:r>
        <w:rPr>
          <w:rFonts w:hint="eastAsia" w:ascii="仿宋_GB2312"/>
          <w:szCs w:val="32"/>
          <w:lang w:eastAsia="zh-CN"/>
        </w:rPr>
        <w:t>为推进公立医院综合改革，根据《海南省财政厅关于提前下单关于2025年医疗服务与保障能力提升（公立医院综合改革）补助资金预算的通知》，我单位收到“医疗服务与保障能力提升（公立医院综合改革）补助资金”</w:t>
      </w:r>
      <w:r>
        <w:rPr>
          <w:rFonts w:hint="eastAsia" w:ascii="仿宋_GB2312"/>
          <w:szCs w:val="32"/>
          <w:lang w:val="en-US" w:eastAsia="zh-CN"/>
        </w:rPr>
        <w:t>项目</w:t>
      </w:r>
      <w:r>
        <w:rPr>
          <w:rFonts w:hint="eastAsia" w:ascii="仿宋_GB2312"/>
          <w:szCs w:val="32"/>
          <w:lang w:eastAsia="zh-CN"/>
        </w:rPr>
        <w:t>资金200万，资金来源为中央财政资金200万，地方财政资金0，其他资金0，主要用于用于电子病历系统升级建设。</w:t>
      </w:r>
      <w:r>
        <w:rPr>
          <w:rFonts w:ascii="仿宋_GB2312"/>
          <w:szCs w:val="32"/>
        </w:rPr>
        <w:tab/>
      </w:r>
      <w:bookmarkStart w:id="0" w:name="_GoBack"/>
      <w:bookmarkEnd w:id="0"/>
    </w:p>
    <w:p>
      <w:pPr>
        <w:keepNext w:val="0"/>
        <w:keepLines w:val="0"/>
        <w:pageBreakBefore w:val="0"/>
        <w:widowControl w:val="0"/>
        <w:kinsoku/>
        <w:wordWrap/>
        <w:overflowPunct/>
        <w:topLinePunct w:val="0"/>
        <w:autoSpaceDE/>
        <w:autoSpaceDN/>
        <w:bidi w:val="0"/>
        <w:adjustRightInd/>
        <w:snapToGrid w:val="0"/>
        <w:spacing w:line="580" w:lineRule="exact"/>
        <w:ind w:firstLine="600" w:firstLineChars="200"/>
        <w:textAlignment w:val="auto"/>
        <w:rPr>
          <w:rFonts w:ascii="黑体" w:hAnsi="黑体" w:eastAsia="黑体" w:cs="黑体"/>
          <w:bCs/>
          <w:szCs w:val="32"/>
          <w:highlight w:val="none"/>
        </w:rPr>
      </w:pPr>
      <w:r>
        <w:rPr>
          <w:rFonts w:hint="eastAsia" w:ascii="黑体" w:hAnsi="黑体" w:eastAsia="黑体" w:cs="黑体"/>
          <w:bCs/>
          <w:szCs w:val="32"/>
          <w:highlight w:val="none"/>
        </w:rPr>
        <w:t>二、</w:t>
      </w:r>
      <w:r>
        <w:rPr>
          <w:rFonts w:hint="eastAsia" w:ascii="黑体" w:hAnsi="黑体" w:eastAsia="黑体" w:cs="黑体"/>
          <w:bCs/>
          <w:szCs w:val="32"/>
          <w:highlight w:val="none"/>
          <w:lang w:eastAsia="zh-CN"/>
        </w:rPr>
        <w:t>绩效</w:t>
      </w:r>
      <w:r>
        <w:rPr>
          <w:rFonts w:hint="eastAsia" w:ascii="黑体" w:hAnsi="黑体" w:eastAsia="黑体" w:cs="黑体"/>
          <w:bCs/>
          <w:szCs w:val="32"/>
          <w:highlight w:val="none"/>
        </w:rPr>
        <w:t>情况分析</w:t>
      </w:r>
    </w:p>
    <w:p>
      <w:pPr>
        <w:keepNext w:val="0"/>
        <w:keepLines w:val="0"/>
        <w:pageBreakBefore w:val="0"/>
        <w:widowControl w:val="0"/>
        <w:kinsoku/>
        <w:wordWrap/>
        <w:overflowPunct/>
        <w:topLinePunct w:val="0"/>
        <w:autoSpaceDE/>
        <w:autoSpaceDN/>
        <w:bidi w:val="0"/>
        <w:adjustRightInd/>
        <w:snapToGrid w:val="0"/>
        <w:spacing w:line="580" w:lineRule="exact"/>
        <w:ind w:firstLine="602" w:firstLineChars="200"/>
        <w:textAlignment w:val="auto"/>
        <w:outlineLvl w:val="0"/>
        <w:rPr>
          <w:rFonts w:hint="eastAsia" w:ascii="楷体_GB2312" w:hAnsi="楷体_GB2312" w:eastAsia="楷体_GB2312" w:cs="楷体_GB2312"/>
          <w:b/>
          <w:bCs/>
          <w:szCs w:val="32"/>
          <w:highlight w:val="none"/>
        </w:rPr>
      </w:pPr>
      <w:r>
        <w:rPr>
          <w:rFonts w:hint="eastAsia" w:ascii="楷体_GB2312" w:hAnsi="楷体_GB2312" w:eastAsia="楷体_GB2312" w:cs="楷体_GB2312"/>
          <w:b/>
          <w:bCs/>
          <w:szCs w:val="32"/>
          <w:highlight w:val="none"/>
        </w:rPr>
        <w:t>（一）资金投入情况分析。</w:t>
      </w:r>
    </w:p>
    <w:p>
      <w:pPr>
        <w:keepNext w:val="0"/>
        <w:keepLines w:val="0"/>
        <w:pageBreakBefore w:val="0"/>
        <w:widowControl w:val="0"/>
        <w:kinsoku/>
        <w:wordWrap/>
        <w:overflowPunct/>
        <w:topLinePunct w:val="0"/>
        <w:autoSpaceDE/>
        <w:autoSpaceDN/>
        <w:bidi w:val="0"/>
        <w:adjustRightInd/>
        <w:snapToGrid w:val="0"/>
        <w:spacing w:line="580" w:lineRule="exact"/>
        <w:ind w:firstLine="600" w:firstLineChars="200"/>
        <w:textAlignment w:val="auto"/>
        <w:outlineLvl w:val="0"/>
        <w:rPr>
          <w:rFonts w:hint="eastAsia" w:ascii="仿宋_GB2312" w:hAnsi="仿宋_GB2312" w:eastAsia="仿宋_GB2312" w:cs="仿宋_GB2312"/>
          <w:b w:val="0"/>
          <w:bCs w:val="0"/>
          <w:szCs w:val="32"/>
          <w:highlight w:val="none"/>
          <w:lang w:eastAsia="zh-CN"/>
        </w:rPr>
      </w:pPr>
      <w:r>
        <w:rPr>
          <w:rFonts w:hint="eastAsia" w:ascii="仿宋_GB2312" w:hAnsi="仿宋_GB2312" w:eastAsia="仿宋_GB2312" w:cs="仿宋_GB2312"/>
          <w:b w:val="0"/>
          <w:bCs w:val="0"/>
          <w:szCs w:val="32"/>
          <w:highlight w:val="none"/>
          <w:lang w:eastAsia="zh-CN"/>
        </w:rPr>
        <w:t>本项目2025年度全年预算总额为2,000,000.00元，全部为中央财政资金。截至报告期末，全年实际执行数为589,658.28元，预算执行率为29.48%。资金执行进度偏低。</w:t>
      </w:r>
    </w:p>
    <w:p>
      <w:pPr>
        <w:keepNext w:val="0"/>
        <w:keepLines w:val="0"/>
        <w:pageBreakBefore w:val="0"/>
        <w:widowControl w:val="0"/>
        <w:numPr>
          <w:ilvl w:val="0"/>
          <w:numId w:val="1"/>
        </w:numPr>
        <w:kinsoku/>
        <w:wordWrap/>
        <w:overflowPunct/>
        <w:topLinePunct w:val="0"/>
        <w:autoSpaceDE/>
        <w:autoSpaceDN/>
        <w:bidi w:val="0"/>
        <w:adjustRightInd/>
        <w:snapToGrid w:val="0"/>
        <w:spacing w:line="580" w:lineRule="exact"/>
        <w:ind w:firstLine="602" w:firstLineChars="200"/>
        <w:textAlignment w:val="auto"/>
        <w:outlineLvl w:val="0"/>
        <w:rPr>
          <w:rFonts w:hint="eastAsia" w:ascii="楷体_GB2312" w:hAnsi="楷体_GB2312" w:eastAsia="楷体_GB2312" w:cs="楷体_GB2312"/>
          <w:b/>
          <w:bCs/>
          <w:szCs w:val="32"/>
          <w:highlight w:val="none"/>
          <w:lang w:eastAsia="zh-CN"/>
        </w:rPr>
      </w:pPr>
      <w:r>
        <w:rPr>
          <w:rFonts w:hint="eastAsia" w:ascii="楷体_GB2312" w:hAnsi="楷体_GB2312" w:eastAsia="楷体_GB2312" w:cs="楷体_GB2312"/>
          <w:b/>
          <w:bCs/>
          <w:szCs w:val="32"/>
          <w:highlight w:val="none"/>
          <w:lang w:eastAsia="zh-CN"/>
        </w:rPr>
        <w:t>资金管理情况分析。</w:t>
      </w:r>
    </w:p>
    <w:p>
      <w:pPr>
        <w:keepNext w:val="0"/>
        <w:keepLines w:val="0"/>
        <w:pageBreakBefore w:val="0"/>
        <w:widowControl w:val="0"/>
        <w:numPr>
          <w:numId w:val="0"/>
        </w:numPr>
        <w:kinsoku/>
        <w:wordWrap/>
        <w:overflowPunct/>
        <w:topLinePunct w:val="0"/>
        <w:autoSpaceDE/>
        <w:autoSpaceDN/>
        <w:bidi w:val="0"/>
        <w:adjustRightInd/>
        <w:snapToGrid w:val="0"/>
        <w:spacing w:line="580" w:lineRule="exact"/>
        <w:ind w:firstLine="600" w:firstLineChars="200"/>
        <w:textAlignment w:val="auto"/>
        <w:outlineLvl w:val="0"/>
        <w:rPr>
          <w:rFonts w:hint="default" w:ascii="仿宋_GB2312" w:hAnsi="仿宋_GB2312" w:eastAsia="仿宋_GB2312" w:cs="仿宋_GB2312"/>
          <w:b w:val="0"/>
          <w:bCs w:val="0"/>
          <w:szCs w:val="32"/>
          <w:highlight w:val="none"/>
          <w:lang w:val="en-US" w:eastAsia="zh-CN"/>
        </w:rPr>
      </w:pPr>
      <w:r>
        <w:rPr>
          <w:rFonts w:hint="eastAsia" w:ascii="仿宋_GB2312" w:hAnsi="仿宋_GB2312" w:cs="仿宋_GB2312"/>
          <w:b w:val="0"/>
          <w:bCs w:val="0"/>
          <w:szCs w:val="32"/>
          <w:highlight w:val="none"/>
          <w:lang w:eastAsia="zh-CN"/>
        </w:rPr>
        <w:t>资金已于2025年3月份下达，较为及时。</w:t>
      </w:r>
      <w:r>
        <w:rPr>
          <w:rFonts w:hint="eastAsia" w:ascii="仿宋_GB2312" w:hAnsi="仿宋_GB2312" w:cs="仿宋_GB2312"/>
          <w:b w:val="0"/>
          <w:bCs w:val="0"/>
          <w:szCs w:val="32"/>
          <w:highlight w:val="none"/>
          <w:lang w:val="en-US" w:eastAsia="zh-CN"/>
        </w:rPr>
        <w:t>下达的资金</w:t>
      </w:r>
      <w:r>
        <w:t>向医院核心业务系统升级改造倾斜，符合项目设立的初衷。</w:t>
      </w:r>
      <w:r>
        <w:rPr>
          <w:rFonts w:hint="eastAsia"/>
          <w:lang w:val="en-US" w:eastAsia="zh-CN"/>
        </w:rPr>
        <w:t>项目资金专人负责并专款专用，并且</w:t>
      </w:r>
      <w:r>
        <w:t>开展预算绩效管理，设置了明确的绩效目标与指标</w:t>
      </w:r>
      <w:r>
        <w:rPr>
          <w:rFonts w:hint="eastAsia"/>
          <w:lang w:eastAsia="zh-CN"/>
        </w:rPr>
        <w:t>。</w:t>
      </w:r>
      <w:r>
        <w:rPr>
          <w:rFonts w:hint="eastAsia"/>
          <w:lang w:val="en-US" w:eastAsia="zh-CN"/>
        </w:rPr>
        <w:t>主要用于</w:t>
      </w:r>
      <w:r>
        <w:t>新建血透系统，完成病理、手麻、重症系统等核心业务系统升级改造</w:t>
      </w:r>
      <w:r>
        <w:rPr>
          <w:rFonts w:hint="eastAsia"/>
          <w:lang w:eastAsia="zh-CN"/>
        </w:rPr>
        <w:t>，</w:t>
      </w:r>
      <w:r>
        <w:rPr>
          <w:rFonts w:hint="eastAsia"/>
          <w:lang w:val="en-US" w:eastAsia="zh-CN"/>
        </w:rPr>
        <w:t>目前系统工作完成进度为70%，资金拨付至30%。根据合同约定进行拨付，手续齐全，符合规范。</w:t>
      </w:r>
      <w:r>
        <w:t>存在问题</w:t>
      </w:r>
      <w:r>
        <w:rPr>
          <w:rFonts w:hint="eastAsia"/>
          <w:lang w:val="en-US" w:eastAsia="zh-CN"/>
        </w:rPr>
        <w:t>为</w:t>
      </w:r>
      <w:r>
        <w:t>支付进度较低</w:t>
      </w:r>
      <w:r>
        <w:rPr>
          <w:rFonts w:hint="eastAsia"/>
          <w:lang w:eastAsia="zh-CN"/>
        </w:rPr>
        <w:t>，</w:t>
      </w:r>
      <w:r>
        <w:t>主要原因是部分配套硬件设备未到位，导致项目无法完成最终验收和全额支付。</w:t>
      </w:r>
    </w:p>
    <w:p>
      <w:pPr>
        <w:keepNext w:val="0"/>
        <w:keepLines w:val="0"/>
        <w:pageBreakBefore w:val="0"/>
        <w:widowControl w:val="0"/>
        <w:numPr>
          <w:ilvl w:val="0"/>
          <w:numId w:val="1"/>
        </w:numPr>
        <w:kinsoku/>
        <w:wordWrap/>
        <w:overflowPunct/>
        <w:topLinePunct w:val="0"/>
        <w:autoSpaceDE/>
        <w:autoSpaceDN/>
        <w:bidi w:val="0"/>
        <w:adjustRightInd/>
        <w:snapToGrid w:val="0"/>
        <w:spacing w:line="580" w:lineRule="exact"/>
        <w:ind w:left="0" w:leftChars="0" w:firstLine="602" w:firstLineChars="200"/>
        <w:textAlignment w:val="auto"/>
        <w:outlineLvl w:val="0"/>
        <w:rPr>
          <w:rFonts w:hint="eastAsia" w:ascii="楷体_GB2312" w:hAnsi="楷体_GB2312" w:eastAsia="楷体_GB2312" w:cs="楷体_GB2312"/>
          <w:b/>
          <w:bCs/>
          <w:szCs w:val="32"/>
        </w:rPr>
      </w:pPr>
      <w:r>
        <w:rPr>
          <w:rFonts w:hint="eastAsia" w:ascii="楷体_GB2312" w:hAnsi="楷体_GB2312" w:eastAsia="楷体_GB2312" w:cs="楷体_GB2312"/>
          <w:b/>
          <w:bCs/>
          <w:szCs w:val="32"/>
        </w:rPr>
        <w:t>总体绩效目标完成情况分析。</w:t>
      </w:r>
    </w:p>
    <w:p>
      <w:pPr>
        <w:keepNext w:val="0"/>
        <w:keepLines w:val="0"/>
        <w:pageBreakBefore w:val="0"/>
        <w:widowControl w:val="0"/>
        <w:numPr>
          <w:numId w:val="0"/>
        </w:numPr>
        <w:kinsoku/>
        <w:wordWrap/>
        <w:overflowPunct/>
        <w:topLinePunct w:val="0"/>
        <w:autoSpaceDE/>
        <w:autoSpaceDN/>
        <w:bidi w:val="0"/>
        <w:adjustRightInd/>
        <w:snapToGrid w:val="0"/>
        <w:spacing w:line="580" w:lineRule="exact"/>
        <w:ind w:firstLine="600" w:firstLineChars="200"/>
        <w:textAlignment w:val="auto"/>
        <w:outlineLvl w:val="0"/>
        <w:rPr>
          <w:rFonts w:hint="eastAsia" w:ascii="仿宋_GB2312" w:hAnsi="仿宋_GB2312" w:eastAsia="仿宋_GB2312" w:cs="仿宋_GB2312"/>
          <w:b w:val="0"/>
          <w:bCs w:val="0"/>
          <w:szCs w:val="32"/>
          <w:lang w:eastAsia="zh-CN"/>
        </w:rPr>
      </w:pPr>
      <w:r>
        <w:rPr>
          <w:rFonts w:hint="eastAsia" w:ascii="仿宋_GB2312" w:hAnsi="仿宋_GB2312" w:eastAsia="仿宋_GB2312" w:cs="仿宋_GB2312"/>
          <w:b w:val="0"/>
          <w:bCs w:val="0"/>
          <w:szCs w:val="32"/>
          <w:lang w:eastAsia="zh-CN"/>
        </w:rPr>
        <w:t>已基本完成相关软件系统的安装部署、调试、培训及接口对接工作。下一步将加快配套硬件设备的调试与对接，完成后进行项目预验收并投入试运行。总体来看，软件部分建设目标基本达成，但因硬件配套问题，项目整体尚未完成验收，总体目标处于基本完成但未最终收尾的阶段。</w:t>
      </w:r>
    </w:p>
    <w:p>
      <w:pPr>
        <w:keepNext w:val="0"/>
        <w:keepLines w:val="0"/>
        <w:pageBreakBefore w:val="0"/>
        <w:widowControl w:val="0"/>
        <w:numPr>
          <w:ilvl w:val="0"/>
          <w:numId w:val="1"/>
        </w:numPr>
        <w:kinsoku/>
        <w:wordWrap/>
        <w:overflowPunct/>
        <w:topLinePunct w:val="0"/>
        <w:autoSpaceDE/>
        <w:autoSpaceDN/>
        <w:bidi w:val="0"/>
        <w:adjustRightInd/>
        <w:snapToGrid w:val="0"/>
        <w:spacing w:line="580" w:lineRule="exact"/>
        <w:ind w:left="0" w:leftChars="0" w:firstLine="602" w:firstLineChars="200"/>
        <w:textAlignment w:val="auto"/>
        <w:outlineLvl w:val="0"/>
        <w:rPr>
          <w:rFonts w:hint="eastAsia" w:ascii="楷体_GB2312" w:hAnsi="楷体_GB2312" w:eastAsia="楷体_GB2312" w:cs="楷体_GB2312"/>
          <w:b/>
          <w:bCs/>
          <w:szCs w:val="32"/>
        </w:rPr>
      </w:pPr>
      <w:r>
        <w:rPr>
          <w:rFonts w:hint="eastAsia" w:ascii="楷体_GB2312" w:hAnsi="楷体_GB2312" w:eastAsia="楷体_GB2312" w:cs="楷体_GB2312"/>
          <w:b/>
          <w:bCs/>
          <w:szCs w:val="32"/>
        </w:rPr>
        <w:t>绩效指标完成情况分析。</w:t>
      </w:r>
    </w:p>
    <w:p>
      <w:pPr>
        <w:keepNext w:val="0"/>
        <w:keepLines w:val="0"/>
        <w:pageBreakBefore w:val="0"/>
        <w:widowControl w:val="0"/>
        <w:numPr>
          <w:numId w:val="0"/>
        </w:numPr>
        <w:kinsoku/>
        <w:wordWrap/>
        <w:overflowPunct/>
        <w:topLinePunct w:val="0"/>
        <w:autoSpaceDE/>
        <w:autoSpaceDN/>
        <w:bidi w:val="0"/>
        <w:adjustRightInd/>
        <w:snapToGrid w:val="0"/>
        <w:spacing w:line="580" w:lineRule="exact"/>
        <w:ind w:firstLine="600" w:firstLineChars="200"/>
        <w:textAlignment w:val="auto"/>
        <w:outlineLvl w:val="0"/>
        <w:rPr>
          <w:rFonts w:hint="eastAsia" w:ascii="仿宋_GB2312"/>
          <w:szCs w:val="32"/>
          <w:lang w:val="en-US" w:eastAsia="zh-CN"/>
        </w:rPr>
      </w:pPr>
      <w:r>
        <w:rPr>
          <w:rFonts w:hint="eastAsia" w:ascii="仿宋_GB2312"/>
          <w:szCs w:val="32"/>
          <w:lang w:val="en-US" w:eastAsia="zh-CN"/>
        </w:rPr>
        <w:t>根据资金使用规范设置了3个产出指标，1个效益指标和1个满意度指标，具体情况如下：</w:t>
      </w:r>
    </w:p>
    <w:p>
      <w:pPr>
        <w:keepNext w:val="0"/>
        <w:keepLines w:val="0"/>
        <w:pageBreakBefore w:val="0"/>
        <w:widowControl w:val="0"/>
        <w:numPr>
          <w:ilvl w:val="0"/>
          <w:numId w:val="2"/>
        </w:numPr>
        <w:kinsoku/>
        <w:wordWrap/>
        <w:overflowPunct/>
        <w:topLinePunct w:val="0"/>
        <w:autoSpaceDE/>
        <w:autoSpaceDN/>
        <w:bidi w:val="0"/>
        <w:adjustRightInd/>
        <w:snapToGrid w:val="0"/>
        <w:spacing w:line="580" w:lineRule="exact"/>
        <w:ind w:firstLine="600" w:firstLineChars="200"/>
        <w:textAlignment w:val="auto"/>
        <w:outlineLvl w:val="0"/>
        <w:rPr>
          <w:rFonts w:hint="eastAsia" w:ascii="仿宋_GB2312"/>
          <w:szCs w:val="32"/>
          <w:lang w:val="en-US" w:eastAsia="zh-CN"/>
        </w:rPr>
      </w:pPr>
      <w:r>
        <w:rPr>
          <w:rFonts w:hint="eastAsia" w:ascii="仿宋_GB2312"/>
          <w:szCs w:val="32"/>
          <w:lang w:val="en-US" w:eastAsia="zh-CN"/>
        </w:rPr>
        <w:t>医疗服务收入（不含药品、耗材、检查、化验收入）占公立医院医疗收入的比例提高的指标已完成。2025年数为39.85%，较2024年37.36提高了2.49%，说明系统经过升级改造诊疗效率更高，医疗服务收入占比显著提高。</w:t>
      </w:r>
    </w:p>
    <w:p>
      <w:pPr>
        <w:keepNext w:val="0"/>
        <w:keepLines w:val="0"/>
        <w:pageBreakBefore w:val="0"/>
        <w:widowControl w:val="0"/>
        <w:numPr>
          <w:ilvl w:val="0"/>
          <w:numId w:val="2"/>
        </w:numPr>
        <w:kinsoku/>
        <w:wordWrap/>
        <w:overflowPunct/>
        <w:topLinePunct w:val="0"/>
        <w:autoSpaceDE/>
        <w:autoSpaceDN/>
        <w:bidi w:val="0"/>
        <w:adjustRightInd/>
        <w:snapToGrid w:val="0"/>
        <w:spacing w:line="580" w:lineRule="exact"/>
        <w:ind w:firstLine="600" w:firstLineChars="200"/>
        <w:textAlignment w:val="auto"/>
        <w:outlineLvl w:val="0"/>
        <w:rPr>
          <w:rFonts w:hint="default" w:ascii="仿宋_GB2312"/>
          <w:szCs w:val="32"/>
          <w:lang w:val="en-US" w:eastAsia="zh-CN"/>
        </w:rPr>
      </w:pPr>
      <w:r>
        <w:rPr>
          <w:rFonts w:hint="eastAsia" w:ascii="仿宋_GB2312"/>
          <w:szCs w:val="32"/>
          <w:lang w:val="en-US" w:eastAsia="zh-CN"/>
        </w:rPr>
        <w:t>三级公立医院出院患者手术占比和四级手术比例均提高的指标已完成。2025年数值为22.50%，较2024年21.65%增长0.85%；同时四级手术2025年占比10.47%，较2024年9%也有了显著的提高，说明作为三级医院不仅手术率提高了，疑难重症手术能力得到提升。</w:t>
      </w:r>
    </w:p>
    <w:p>
      <w:pPr>
        <w:keepNext w:val="0"/>
        <w:keepLines w:val="0"/>
        <w:pageBreakBefore w:val="0"/>
        <w:widowControl w:val="0"/>
        <w:numPr>
          <w:ilvl w:val="0"/>
          <w:numId w:val="2"/>
        </w:numPr>
        <w:kinsoku/>
        <w:wordWrap/>
        <w:overflowPunct/>
        <w:topLinePunct w:val="0"/>
        <w:autoSpaceDE/>
        <w:autoSpaceDN/>
        <w:bidi w:val="0"/>
        <w:adjustRightInd/>
        <w:snapToGrid w:val="0"/>
        <w:spacing w:line="580" w:lineRule="exact"/>
        <w:ind w:firstLine="600" w:firstLineChars="200"/>
        <w:textAlignment w:val="auto"/>
        <w:outlineLvl w:val="0"/>
        <w:rPr>
          <w:rFonts w:hint="default" w:ascii="仿宋_GB2312"/>
          <w:szCs w:val="32"/>
          <w:lang w:val="en-US" w:eastAsia="zh-CN"/>
        </w:rPr>
      </w:pPr>
      <w:r>
        <w:rPr>
          <w:rFonts w:hint="eastAsia" w:ascii="仿宋_GB2312"/>
          <w:szCs w:val="32"/>
          <w:lang w:val="en-US" w:eastAsia="zh-CN"/>
        </w:rPr>
        <w:t>管理费用占公立医院业务支出的比例要求同比降低，已达成。2024年管理费占比为13.31%，2025年管理费占比为11.78%，同比减少了1.53%，内部管理效率有所改善。</w:t>
      </w:r>
    </w:p>
    <w:p>
      <w:pPr>
        <w:keepNext w:val="0"/>
        <w:keepLines w:val="0"/>
        <w:pageBreakBefore w:val="0"/>
        <w:widowControl w:val="0"/>
        <w:numPr>
          <w:ilvl w:val="0"/>
          <w:numId w:val="2"/>
        </w:numPr>
        <w:kinsoku/>
        <w:wordWrap/>
        <w:overflowPunct/>
        <w:topLinePunct w:val="0"/>
        <w:autoSpaceDE/>
        <w:autoSpaceDN/>
        <w:bidi w:val="0"/>
        <w:adjustRightInd/>
        <w:snapToGrid w:val="0"/>
        <w:spacing w:line="580" w:lineRule="exact"/>
        <w:ind w:firstLine="600" w:firstLineChars="200"/>
        <w:textAlignment w:val="auto"/>
        <w:outlineLvl w:val="0"/>
        <w:rPr>
          <w:rFonts w:hint="default" w:ascii="仿宋_GB2312"/>
          <w:szCs w:val="32"/>
          <w:lang w:val="en-US" w:eastAsia="zh-CN"/>
        </w:rPr>
      </w:pPr>
      <w:r>
        <w:rPr>
          <w:rFonts w:hint="eastAsia" w:ascii="仿宋_GB2312"/>
          <w:szCs w:val="32"/>
          <w:lang w:val="en-US" w:eastAsia="zh-CN"/>
        </w:rPr>
        <w:t>公立医院门诊患者满意度要求比上年提高的指标已完成。2025年门诊患者满意度为95.42%，较2024年94.32%提高1.1%，此次信息化建设投入新增了血透系统，满足透析患者就医需求的同时也提高了治疗效率和管理效率。</w:t>
      </w:r>
    </w:p>
    <w:p>
      <w:pPr>
        <w:keepNext w:val="0"/>
        <w:keepLines w:val="0"/>
        <w:pageBreakBefore w:val="0"/>
        <w:widowControl w:val="0"/>
        <w:kinsoku/>
        <w:wordWrap/>
        <w:overflowPunct/>
        <w:topLinePunct w:val="0"/>
        <w:autoSpaceDE/>
        <w:autoSpaceDN/>
        <w:bidi w:val="0"/>
        <w:adjustRightInd/>
        <w:snapToGrid w:val="0"/>
        <w:spacing w:line="580" w:lineRule="exact"/>
        <w:ind w:firstLine="600" w:firstLineChars="200"/>
        <w:textAlignment w:val="auto"/>
        <w:rPr>
          <w:rFonts w:ascii="仿宋_GB2312"/>
          <w:szCs w:val="32"/>
        </w:rPr>
      </w:pPr>
      <w:r>
        <w:rPr>
          <w:rFonts w:hint="eastAsia" w:ascii="黑体" w:hAnsi="黑体" w:eastAsia="黑体" w:cs="黑体"/>
          <w:bCs/>
          <w:szCs w:val="32"/>
        </w:rPr>
        <w:t>三、偏离绩效目标的原因和下一步改进措施</w:t>
      </w:r>
    </w:p>
    <w:p>
      <w:pPr>
        <w:keepNext w:val="0"/>
        <w:keepLines w:val="0"/>
        <w:pageBreakBefore w:val="0"/>
        <w:widowControl w:val="0"/>
        <w:numPr>
          <w:numId w:val="0"/>
        </w:numPr>
        <w:kinsoku/>
        <w:wordWrap/>
        <w:overflowPunct/>
        <w:topLinePunct w:val="0"/>
        <w:autoSpaceDE/>
        <w:autoSpaceDN/>
        <w:bidi w:val="0"/>
        <w:adjustRightInd/>
        <w:snapToGrid w:val="0"/>
        <w:spacing w:line="580" w:lineRule="exact"/>
        <w:ind w:firstLine="600" w:firstLineChars="200"/>
        <w:textAlignment w:val="auto"/>
        <w:outlineLvl w:val="0"/>
        <w:rPr>
          <w:rFonts w:hint="eastAsia" w:ascii="仿宋_GB2312"/>
          <w:szCs w:val="32"/>
          <w:lang w:val="en-US" w:eastAsia="zh-CN"/>
        </w:rPr>
      </w:pPr>
      <w:r>
        <w:rPr>
          <w:rFonts w:hint="eastAsia" w:ascii="仿宋_GB2312"/>
          <w:szCs w:val="32"/>
          <w:lang w:val="en-US" w:eastAsia="zh-CN"/>
        </w:rPr>
        <w:t>目前存在的问题是预算执行率仅29.48%，严重偏低。核心原因是项目配套硬件设备未及时到位，导致软件系统部署完成后，无法进行整体验收，从而影响了后续资金的支付进度。</w:t>
      </w:r>
    </w:p>
    <w:p>
      <w:pPr>
        <w:keepNext w:val="0"/>
        <w:keepLines w:val="0"/>
        <w:pageBreakBefore w:val="0"/>
        <w:widowControl w:val="0"/>
        <w:numPr>
          <w:numId w:val="0"/>
        </w:numPr>
        <w:kinsoku/>
        <w:wordWrap/>
        <w:overflowPunct/>
        <w:topLinePunct w:val="0"/>
        <w:autoSpaceDE/>
        <w:autoSpaceDN/>
        <w:bidi w:val="0"/>
        <w:adjustRightInd/>
        <w:snapToGrid w:val="0"/>
        <w:spacing w:line="580" w:lineRule="exact"/>
        <w:ind w:firstLine="600" w:firstLineChars="200"/>
        <w:textAlignment w:val="auto"/>
        <w:outlineLvl w:val="0"/>
        <w:rPr>
          <w:rFonts w:hint="eastAsia" w:eastAsia="仿宋_GB2312"/>
          <w:lang w:eastAsia="zh-CN"/>
        </w:rPr>
      </w:pPr>
      <w:r>
        <w:rPr>
          <w:rFonts w:hint="eastAsia" w:ascii="仿宋_GB2312"/>
          <w:szCs w:val="32"/>
          <w:lang w:val="en-US" w:eastAsia="zh-CN"/>
        </w:rPr>
        <w:t>下一步改进措施：督促设备供应商加快配件供货、安装与调试。加强项目全流程的进度督导与协调，确保硬件、软件环节无缝衔接，尽快完成项目整体验收，加快资金支付。</w:t>
      </w:r>
    </w:p>
    <w:p>
      <w:pPr>
        <w:keepNext w:val="0"/>
        <w:keepLines w:val="0"/>
        <w:pageBreakBefore w:val="0"/>
        <w:widowControl w:val="0"/>
        <w:numPr>
          <w:ilvl w:val="0"/>
          <w:numId w:val="3"/>
        </w:numPr>
        <w:kinsoku/>
        <w:wordWrap/>
        <w:overflowPunct/>
        <w:topLinePunct w:val="0"/>
        <w:autoSpaceDE/>
        <w:autoSpaceDN/>
        <w:bidi w:val="0"/>
        <w:adjustRightInd/>
        <w:snapToGrid w:val="0"/>
        <w:spacing w:line="580" w:lineRule="exact"/>
        <w:ind w:firstLine="600" w:firstLineChars="200"/>
        <w:textAlignment w:val="auto"/>
        <w:rPr>
          <w:rFonts w:hint="eastAsia" w:ascii="黑体" w:hAnsi="黑体" w:eastAsia="黑体" w:cs="黑体"/>
          <w:bCs/>
          <w:szCs w:val="32"/>
        </w:rPr>
      </w:pPr>
      <w:r>
        <w:rPr>
          <w:rFonts w:hint="eastAsia" w:ascii="黑体" w:hAnsi="黑体" w:eastAsia="黑体" w:cs="黑体"/>
          <w:bCs/>
          <w:szCs w:val="32"/>
        </w:rPr>
        <w:t>绩效自评结果拟应用和公开情况</w:t>
      </w:r>
    </w:p>
    <w:p>
      <w:pPr>
        <w:keepNext w:val="0"/>
        <w:keepLines w:val="0"/>
        <w:pageBreakBefore w:val="0"/>
        <w:widowControl w:val="0"/>
        <w:kinsoku/>
        <w:wordWrap/>
        <w:overflowPunct/>
        <w:topLinePunct w:val="0"/>
        <w:autoSpaceDE/>
        <w:autoSpaceDN/>
        <w:bidi w:val="0"/>
        <w:adjustRightInd/>
        <w:snapToGrid w:val="0"/>
        <w:spacing w:line="580" w:lineRule="exact"/>
        <w:ind w:firstLine="600" w:firstLineChars="200"/>
        <w:textAlignment w:val="auto"/>
        <w:rPr>
          <w:rFonts w:ascii="黑体" w:hAnsi="黑体" w:eastAsia="黑体" w:cs="黑体"/>
          <w:bCs/>
          <w:szCs w:val="32"/>
        </w:rPr>
      </w:pPr>
      <w:r>
        <w:rPr>
          <w:rFonts w:hint="eastAsia" w:ascii="黑体" w:hAnsi="黑体" w:eastAsia="黑体" w:cs="黑体"/>
          <w:bCs/>
          <w:szCs w:val="32"/>
        </w:rPr>
        <w:t>五、其他需要说明的问题</w:t>
      </w:r>
    </w:p>
    <w:p>
      <w:pPr>
        <w:keepNext w:val="0"/>
        <w:keepLines w:val="0"/>
        <w:pageBreakBefore w:val="0"/>
        <w:widowControl w:val="0"/>
        <w:kinsoku/>
        <w:wordWrap/>
        <w:overflowPunct/>
        <w:topLinePunct w:val="0"/>
        <w:autoSpaceDE/>
        <w:autoSpaceDN/>
        <w:bidi w:val="0"/>
        <w:adjustRightInd/>
        <w:snapToGrid w:val="0"/>
        <w:spacing w:line="580" w:lineRule="exact"/>
        <w:ind w:firstLine="600" w:firstLineChars="200"/>
        <w:textAlignment w:val="auto"/>
        <w:rPr>
          <w:rFonts w:hint="default" w:eastAsia="仿宋_GB2312"/>
          <w:lang w:val="en-US" w:eastAsia="zh-CN"/>
        </w:rPr>
      </w:pPr>
      <w:r>
        <w:rPr>
          <w:rFonts w:hint="eastAsia"/>
          <w:lang w:val="en-US" w:eastAsia="zh-CN"/>
        </w:rPr>
        <w:t>无。</w:t>
      </w:r>
    </w:p>
    <w:p>
      <w:pPr>
        <w:keepNext w:val="0"/>
        <w:keepLines w:val="0"/>
        <w:pageBreakBefore w:val="0"/>
        <w:widowControl w:val="0"/>
        <w:kinsoku/>
        <w:wordWrap/>
        <w:overflowPunct/>
        <w:topLinePunct w:val="0"/>
        <w:autoSpaceDE/>
        <w:autoSpaceDN/>
        <w:bidi w:val="0"/>
        <w:adjustRightInd/>
        <w:snapToGrid w:val="0"/>
        <w:spacing w:line="580" w:lineRule="exact"/>
        <w:ind w:firstLine="600" w:firstLineChars="200"/>
        <w:textAlignment w:val="auto"/>
        <w:rPr>
          <w:rFonts w:hint="eastAsia" w:ascii="黑体" w:hAnsi="黑体" w:eastAsia="黑体" w:cs="黑体"/>
          <w:lang w:val="en"/>
        </w:rPr>
      </w:pPr>
      <w:r>
        <w:rPr>
          <w:rFonts w:hint="eastAsia" w:ascii="黑体" w:hAnsi="黑体" w:eastAsia="黑体" w:cs="黑体"/>
          <w:lang w:val="en"/>
        </w:rPr>
        <w:t>六、附件</w:t>
      </w:r>
    </w:p>
    <w:p>
      <w:pPr>
        <w:keepNext w:val="0"/>
        <w:keepLines w:val="0"/>
        <w:pageBreakBefore w:val="0"/>
        <w:widowControl w:val="0"/>
        <w:kinsoku/>
        <w:wordWrap/>
        <w:overflowPunct/>
        <w:topLinePunct w:val="0"/>
        <w:autoSpaceDE/>
        <w:autoSpaceDN/>
        <w:bidi w:val="0"/>
        <w:adjustRightInd/>
        <w:snapToGrid w:val="0"/>
        <w:spacing w:line="580" w:lineRule="exact"/>
        <w:ind w:firstLine="600" w:firstLineChars="200"/>
        <w:textAlignment w:val="auto"/>
        <w:rPr>
          <w:rFonts w:hint="eastAsia" w:ascii="黑体" w:hAnsi="黑体" w:eastAsia="黑体" w:cs="黑体"/>
          <w:lang w:val="en"/>
        </w:rPr>
      </w:pPr>
      <w:r>
        <w:rPr>
          <w:rFonts w:hint="eastAsia"/>
        </w:rPr>
        <w:t>转移支付区域（项目）绩效自评表</w:t>
      </w:r>
    </w:p>
    <w:sectPr>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3DE0395"/>
    <w:multiLevelType w:val="singleLevel"/>
    <w:tmpl w:val="D3DE0395"/>
    <w:lvl w:ilvl="0" w:tentative="0">
      <w:start w:val="4"/>
      <w:numFmt w:val="chineseCounting"/>
      <w:suff w:val="nothing"/>
      <w:lvlText w:val="%1、"/>
      <w:lvlJc w:val="left"/>
      <w:rPr>
        <w:rFonts w:hint="eastAsia"/>
      </w:rPr>
    </w:lvl>
  </w:abstractNum>
  <w:abstractNum w:abstractNumId="1">
    <w:nsid w:val="D4079CBE"/>
    <w:multiLevelType w:val="singleLevel"/>
    <w:tmpl w:val="D4079CBE"/>
    <w:lvl w:ilvl="0" w:tentative="0">
      <w:start w:val="2"/>
      <w:numFmt w:val="chineseCounting"/>
      <w:suff w:val="nothing"/>
      <w:lvlText w:val="（%1）"/>
      <w:lvlJc w:val="left"/>
      <w:rPr>
        <w:rFonts w:hint="eastAsia"/>
      </w:rPr>
    </w:lvl>
  </w:abstractNum>
  <w:abstractNum w:abstractNumId="2">
    <w:nsid w:val="FD8C3A55"/>
    <w:multiLevelType w:val="singleLevel"/>
    <w:tmpl w:val="FD8C3A55"/>
    <w:lvl w:ilvl="0" w:tentative="0">
      <w:start w:val="1"/>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dit="readOnly" w:enforcement="0"/>
  <w:defaultTabStop w:val="420"/>
  <w:drawingGridHorizontalSpacing w:val="150"/>
  <w:drawingGridVerticalSpacing w:val="581"/>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7F82"/>
    <w:rsid w:val="000101E1"/>
    <w:rsid w:val="000732DA"/>
    <w:rsid w:val="00075CDC"/>
    <w:rsid w:val="000B1E8F"/>
    <w:rsid w:val="000B6964"/>
    <w:rsid w:val="00103D16"/>
    <w:rsid w:val="00111638"/>
    <w:rsid w:val="00111928"/>
    <w:rsid w:val="0012041C"/>
    <w:rsid w:val="00164D84"/>
    <w:rsid w:val="00173016"/>
    <w:rsid w:val="0017509C"/>
    <w:rsid w:val="001808CA"/>
    <w:rsid w:val="001A4E46"/>
    <w:rsid w:val="001E03FE"/>
    <w:rsid w:val="002123E8"/>
    <w:rsid w:val="00250053"/>
    <w:rsid w:val="0029569C"/>
    <w:rsid w:val="002A5FA7"/>
    <w:rsid w:val="002B3EEF"/>
    <w:rsid w:val="002B54E4"/>
    <w:rsid w:val="002E5562"/>
    <w:rsid w:val="002F6705"/>
    <w:rsid w:val="00301FC0"/>
    <w:rsid w:val="00336A16"/>
    <w:rsid w:val="003663A3"/>
    <w:rsid w:val="00387DD5"/>
    <w:rsid w:val="003B0980"/>
    <w:rsid w:val="003C6374"/>
    <w:rsid w:val="003D2CB9"/>
    <w:rsid w:val="00413F12"/>
    <w:rsid w:val="00493012"/>
    <w:rsid w:val="004D2137"/>
    <w:rsid w:val="005D1514"/>
    <w:rsid w:val="005D7CC3"/>
    <w:rsid w:val="006218A1"/>
    <w:rsid w:val="00682A10"/>
    <w:rsid w:val="006A30E4"/>
    <w:rsid w:val="006A74BF"/>
    <w:rsid w:val="006C1CEE"/>
    <w:rsid w:val="006D5A86"/>
    <w:rsid w:val="00707C2E"/>
    <w:rsid w:val="00722A7D"/>
    <w:rsid w:val="00724A6B"/>
    <w:rsid w:val="0073331B"/>
    <w:rsid w:val="00733C2D"/>
    <w:rsid w:val="00756C7F"/>
    <w:rsid w:val="007D7E6E"/>
    <w:rsid w:val="00850797"/>
    <w:rsid w:val="00853FC4"/>
    <w:rsid w:val="008720F1"/>
    <w:rsid w:val="00882EFA"/>
    <w:rsid w:val="008B2F56"/>
    <w:rsid w:val="008F0996"/>
    <w:rsid w:val="00903791"/>
    <w:rsid w:val="009600BD"/>
    <w:rsid w:val="00961C83"/>
    <w:rsid w:val="009922BC"/>
    <w:rsid w:val="009E0D8C"/>
    <w:rsid w:val="00A02AF3"/>
    <w:rsid w:val="00A25077"/>
    <w:rsid w:val="00A610CC"/>
    <w:rsid w:val="00A8737E"/>
    <w:rsid w:val="00AA19AF"/>
    <w:rsid w:val="00BC6882"/>
    <w:rsid w:val="00BD3FE0"/>
    <w:rsid w:val="00BE58CF"/>
    <w:rsid w:val="00CA5578"/>
    <w:rsid w:val="00CA7DAA"/>
    <w:rsid w:val="00D04826"/>
    <w:rsid w:val="00D63908"/>
    <w:rsid w:val="00D8718A"/>
    <w:rsid w:val="00D93453"/>
    <w:rsid w:val="00DC524D"/>
    <w:rsid w:val="00E071D6"/>
    <w:rsid w:val="00ED3E0F"/>
    <w:rsid w:val="00F015E4"/>
    <w:rsid w:val="00F57F82"/>
    <w:rsid w:val="00F75224"/>
    <w:rsid w:val="00F91EAE"/>
    <w:rsid w:val="00FA086C"/>
    <w:rsid w:val="00FA2093"/>
    <w:rsid w:val="00FA357A"/>
    <w:rsid w:val="037D0BC8"/>
    <w:rsid w:val="0845082D"/>
    <w:rsid w:val="09E965F2"/>
    <w:rsid w:val="0C3D6FDE"/>
    <w:rsid w:val="0FF7AA4F"/>
    <w:rsid w:val="139840D3"/>
    <w:rsid w:val="143E091F"/>
    <w:rsid w:val="14865FC8"/>
    <w:rsid w:val="150C2DB0"/>
    <w:rsid w:val="1A7D29EA"/>
    <w:rsid w:val="1BED314C"/>
    <w:rsid w:val="1D994BCF"/>
    <w:rsid w:val="1E761F05"/>
    <w:rsid w:val="1F7BE1E6"/>
    <w:rsid w:val="1FC7205C"/>
    <w:rsid w:val="228B3D05"/>
    <w:rsid w:val="284E74F8"/>
    <w:rsid w:val="2ADB48E8"/>
    <w:rsid w:val="36687282"/>
    <w:rsid w:val="367793B2"/>
    <w:rsid w:val="3794FC37"/>
    <w:rsid w:val="38EF7AD8"/>
    <w:rsid w:val="3E1672E6"/>
    <w:rsid w:val="3EB9C2BB"/>
    <w:rsid w:val="3FEF6A07"/>
    <w:rsid w:val="3FFCD4B4"/>
    <w:rsid w:val="415F08D8"/>
    <w:rsid w:val="44E2230F"/>
    <w:rsid w:val="48B51347"/>
    <w:rsid w:val="491B45FA"/>
    <w:rsid w:val="4A55216A"/>
    <w:rsid w:val="4FE0696A"/>
    <w:rsid w:val="546F8569"/>
    <w:rsid w:val="55673508"/>
    <w:rsid w:val="59595A6F"/>
    <w:rsid w:val="597350B8"/>
    <w:rsid w:val="599330CA"/>
    <w:rsid w:val="5A7FCB1F"/>
    <w:rsid w:val="5E52BA77"/>
    <w:rsid w:val="5FEAF7C9"/>
    <w:rsid w:val="60D5009F"/>
    <w:rsid w:val="64AC2E11"/>
    <w:rsid w:val="660721C9"/>
    <w:rsid w:val="661E6C75"/>
    <w:rsid w:val="67F75FF5"/>
    <w:rsid w:val="681D4831"/>
    <w:rsid w:val="692E4B19"/>
    <w:rsid w:val="69513EF7"/>
    <w:rsid w:val="6BF3256F"/>
    <w:rsid w:val="6CDF4BCE"/>
    <w:rsid w:val="6CE7018A"/>
    <w:rsid w:val="6E3E3F2D"/>
    <w:rsid w:val="70772672"/>
    <w:rsid w:val="715B2F02"/>
    <w:rsid w:val="76A548F2"/>
    <w:rsid w:val="7765772E"/>
    <w:rsid w:val="776F5E62"/>
    <w:rsid w:val="77867685"/>
    <w:rsid w:val="77EE7FE7"/>
    <w:rsid w:val="781F36B6"/>
    <w:rsid w:val="790627AD"/>
    <w:rsid w:val="79DFF8C4"/>
    <w:rsid w:val="7ADC59FA"/>
    <w:rsid w:val="7AFF2FC3"/>
    <w:rsid w:val="7BF6B4C5"/>
    <w:rsid w:val="7DDD794F"/>
    <w:rsid w:val="7DFA6624"/>
    <w:rsid w:val="7DFD8AD7"/>
    <w:rsid w:val="7DFEFB95"/>
    <w:rsid w:val="7ECD6B9A"/>
    <w:rsid w:val="7FBA576D"/>
    <w:rsid w:val="7FDE47D5"/>
    <w:rsid w:val="7FFC7CB2"/>
    <w:rsid w:val="7FFD003D"/>
    <w:rsid w:val="94BFC172"/>
    <w:rsid w:val="9BFA614C"/>
    <w:rsid w:val="AAFDD6AA"/>
    <w:rsid w:val="BAFE1E17"/>
    <w:rsid w:val="BBDF5B5A"/>
    <w:rsid w:val="BBE428C2"/>
    <w:rsid w:val="BFBF52D7"/>
    <w:rsid w:val="D9C286DF"/>
    <w:rsid w:val="DB275D46"/>
    <w:rsid w:val="DF6E82F1"/>
    <w:rsid w:val="DFCEE0CE"/>
    <w:rsid w:val="DFFF7077"/>
    <w:rsid w:val="EEBF76D9"/>
    <w:rsid w:val="F36EF6AC"/>
    <w:rsid w:val="F6FDCC0E"/>
    <w:rsid w:val="F767D450"/>
    <w:rsid w:val="F76FB1DB"/>
    <w:rsid w:val="F7FBEBBF"/>
    <w:rsid w:val="F9F3FBF0"/>
    <w:rsid w:val="FA39D4FF"/>
    <w:rsid w:val="FB9F8FA2"/>
    <w:rsid w:val="FDB5389F"/>
    <w:rsid w:val="FDFF12BB"/>
    <w:rsid w:val="FEF7954B"/>
    <w:rsid w:val="FFAFB80B"/>
    <w:rsid w:val="FFDF4FA5"/>
    <w:rsid w:val="FFEF29F4"/>
    <w:rsid w:val="FFF9F86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link w:val="9"/>
    <w:qFormat/>
    <w:uiPriority w:val="99"/>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 w:type="character" w:customStyle="1" w:styleId="9">
    <w:name w:val="页脚 Char"/>
    <w:basedOn w:val="7"/>
    <w:link w:val="3"/>
    <w:qFormat/>
    <w:uiPriority w:val="99"/>
    <w:rPr>
      <w:rFonts w:eastAsia="仿宋_GB2312"/>
      <w:kern w:val="2"/>
      <w:sz w:val="18"/>
      <w:szCs w:val="18"/>
    </w:rPr>
  </w:style>
  <w:style w:type="character" w:customStyle="1" w:styleId="10">
    <w:name w:val="页眉 Char"/>
    <w:basedOn w:val="7"/>
    <w:link w:val="4"/>
    <w:qFormat/>
    <w:uiPriority w:val="0"/>
    <w:rPr>
      <w:rFonts w:eastAsia="仿宋_GB2312"/>
      <w:kern w:val="2"/>
      <w:sz w:val="18"/>
      <w:szCs w:val="18"/>
    </w:rPr>
  </w:style>
  <w:style w:type="character" w:customStyle="1" w:styleId="11">
    <w:name w:val="批注框文本 Char"/>
    <w:basedOn w:val="7"/>
    <w:link w:val="2"/>
    <w:qFormat/>
    <w:uiPriority w:val="0"/>
    <w:rPr>
      <w:rFonts w:eastAsia="仿宋_GB2312"/>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405</Words>
  <Characters>410</Characters>
  <Lines>3</Lines>
  <Paragraphs>1</Paragraphs>
  <TotalTime>0</TotalTime>
  <ScaleCrop>false</ScaleCrop>
  <LinksUpToDate>false</LinksUpToDate>
  <CharactersWithSpaces>411</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2019-02-20T06:26:00Z</dcterms:created>
  <dc:creator>lhn</dc:creator>
  <cp:lastModifiedBy>Administrator</cp:lastModifiedBy>
  <cp:lastPrinted>2023-02-27T17:51:00Z</cp:lastPrinted>
  <dcterms:modified xsi:type="dcterms:W3CDTF">2026-03-05T01:14:01Z</dcterms:modified>
  <dc:title>财政支出绩效评价报告</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KSOTemplateDocerSaveRecord">
    <vt:lpwstr>eyJoZGlkIjoiMTcxZTQ2NThjMTcyZmViODYyNmI0OGZjZmEyOTgxNzEiLCJ1c2VySWQiOiIxMTk5NTY5NTI3In0=</vt:lpwstr>
  </property>
  <property fmtid="{D5CDD505-2E9C-101B-9397-08002B2CF9AE}" pid="4" name="ICV">
    <vt:lpwstr>39DBDFAF89674D3490543988F711B1A8_12</vt:lpwstr>
  </property>
</Properties>
</file>