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66C67">
      <w:pPr>
        <w:rPr>
          <w:sz w:val="84"/>
          <w:szCs w:val="84"/>
          <w:u w:val="single"/>
        </w:rPr>
      </w:pPr>
    </w:p>
    <w:p w14:paraId="137747B7">
      <w:pPr>
        <w:rPr>
          <w:sz w:val="84"/>
          <w:szCs w:val="84"/>
          <w:u w:val="single"/>
        </w:rPr>
      </w:pPr>
    </w:p>
    <w:p w14:paraId="0D8A4ADD">
      <w:pPr>
        <w:rPr>
          <w:sz w:val="84"/>
          <w:szCs w:val="84"/>
          <w:u w:val="single"/>
        </w:rPr>
      </w:pPr>
    </w:p>
    <w:p w14:paraId="1A355E65">
      <w:pPr>
        <w:rPr>
          <w:sz w:val="84"/>
          <w:szCs w:val="84"/>
          <w:u w:val="single"/>
        </w:rPr>
      </w:pPr>
    </w:p>
    <w:p w14:paraId="539DF356">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p>
    <w:p w14:paraId="0291EEC5">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琼海市嘉积镇社会事务服务中心</w:t>
      </w:r>
    </w:p>
    <w:p w14:paraId="0A6678FC">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单位预算</w:t>
      </w:r>
    </w:p>
    <w:p w14:paraId="1D7A0EFD">
      <w:pPr>
        <w:ind w:firstLine="1680"/>
        <w:jc w:val="center"/>
        <w:rPr>
          <w:sz w:val="84"/>
          <w:szCs w:val="84"/>
        </w:rPr>
      </w:pPr>
    </w:p>
    <w:p w14:paraId="56607B56">
      <w:pPr>
        <w:ind w:firstLine="1680"/>
        <w:jc w:val="center"/>
        <w:rPr>
          <w:sz w:val="84"/>
          <w:szCs w:val="84"/>
        </w:rPr>
      </w:pPr>
    </w:p>
    <w:p w14:paraId="5BFB6F77">
      <w:pPr>
        <w:ind w:firstLine="1680"/>
        <w:jc w:val="center"/>
        <w:rPr>
          <w:sz w:val="84"/>
          <w:szCs w:val="84"/>
        </w:rPr>
      </w:pPr>
    </w:p>
    <w:p w14:paraId="6B136BDD">
      <w:pPr>
        <w:ind w:firstLine="1680"/>
        <w:jc w:val="center"/>
        <w:rPr>
          <w:sz w:val="84"/>
          <w:szCs w:val="84"/>
        </w:rPr>
      </w:pPr>
    </w:p>
    <w:p w14:paraId="2B273BE9">
      <w:pPr>
        <w:ind w:firstLine="1680"/>
        <w:jc w:val="center"/>
        <w:rPr>
          <w:sz w:val="84"/>
          <w:szCs w:val="84"/>
        </w:rPr>
      </w:pPr>
    </w:p>
    <w:p w14:paraId="13768E9D">
      <w:pPr>
        <w:jc w:val="center"/>
        <w:rPr>
          <w:rFonts w:hint="eastAsia" w:ascii="黑体" w:hAnsi="黑体" w:eastAsia="黑体"/>
          <w:sz w:val="52"/>
          <w:szCs w:val="52"/>
        </w:rPr>
        <w:sectPr>
          <w:footerReference r:id="rId5" w:type="default"/>
          <w:pgSz w:w="11906" w:h="16838"/>
          <w:pgMar w:top="1213" w:right="1349" w:bottom="1213" w:left="1349" w:header="851" w:footer="992" w:gutter="0"/>
          <w:cols w:space="720" w:num="1"/>
          <w:docGrid w:type="lines" w:linePitch="312" w:charSpace="0"/>
        </w:sectPr>
      </w:pPr>
    </w:p>
    <w:p w14:paraId="7D8767A1">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57A0FBD8">
      <w:pPr>
        <w:keepNext w:val="0"/>
        <w:keepLines w:val="0"/>
        <w:pageBreakBefore w:val="0"/>
        <w:widowControl/>
        <w:kinsoku/>
        <w:wordWrap/>
        <w:overflowPunct/>
        <w:topLinePunct w:val="0"/>
        <w:autoSpaceDE/>
        <w:autoSpaceDN/>
        <w:bidi w:val="0"/>
        <w:adjustRightInd w:val="0"/>
        <w:snapToGrid w:val="0"/>
        <w:spacing w:after="160" w:line="578" w:lineRule="exact"/>
        <w:jc w:val="center"/>
        <w:textAlignment w:val="auto"/>
        <w:rPr>
          <w:rFonts w:hint="eastAsia" w:ascii="黑体" w:hAnsi="黑体" w:eastAsia="黑体"/>
          <w:sz w:val="52"/>
          <w:szCs w:val="52"/>
        </w:rPr>
      </w:pPr>
    </w:p>
    <w:p w14:paraId="0885B3EE">
      <w:pPr>
        <w:pStyle w:val="5"/>
        <w:keepNext w:val="0"/>
        <w:keepLines w:val="0"/>
        <w:pageBreakBefore w:val="0"/>
        <w:widowControl/>
        <w:numPr>
          <w:ilvl w:val="0"/>
          <w:numId w:val="1"/>
        </w:numPr>
        <w:kinsoku/>
        <w:wordWrap/>
        <w:overflowPunct/>
        <w:topLinePunct w:val="0"/>
        <w:autoSpaceDE/>
        <w:autoSpaceDN/>
        <w:bidi w:val="0"/>
        <w:adjustRightInd w:val="0"/>
        <w:snapToGrid w:val="0"/>
        <w:spacing w:after="160" w:line="578" w:lineRule="exact"/>
        <w:ind w:firstLineChars="0"/>
        <w:jc w:val="left"/>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琼海市嘉积镇社会事务服务中心</w:t>
      </w:r>
      <w:r>
        <w:rPr>
          <w:rFonts w:hint="eastAsia" w:ascii="黑体" w:hAnsi="黑体" w:eastAsia="黑体"/>
          <w:sz w:val="32"/>
          <w:szCs w:val="32"/>
        </w:rPr>
        <w:t>概况</w:t>
      </w:r>
    </w:p>
    <w:p w14:paraId="00674042">
      <w:pPr>
        <w:pStyle w:val="5"/>
        <w:keepNext w:val="0"/>
        <w:keepLines w:val="0"/>
        <w:pageBreakBefore w:val="0"/>
        <w:widowControl/>
        <w:numPr>
          <w:ilvl w:val="0"/>
          <w:numId w:val="2"/>
        </w:numPr>
        <w:kinsoku/>
        <w:wordWrap/>
        <w:overflowPunct/>
        <w:topLinePunct w:val="0"/>
        <w:autoSpaceDE/>
        <w:autoSpaceDN/>
        <w:bidi w:val="0"/>
        <w:adjustRightInd w:val="0"/>
        <w:snapToGrid w:val="0"/>
        <w:spacing w:after="160" w:line="578" w:lineRule="exact"/>
        <w:ind w:firstLineChars="0"/>
        <w:jc w:val="left"/>
        <w:textAlignment w:val="auto"/>
        <w:rPr>
          <w:rFonts w:ascii="黑体" w:hAnsi="黑体" w:eastAsia="黑体"/>
          <w:sz w:val="32"/>
          <w:szCs w:val="32"/>
        </w:rPr>
      </w:pPr>
      <w:r>
        <w:rPr>
          <w:rFonts w:hint="eastAsia" w:ascii="黑体" w:hAnsi="黑体" w:eastAsia="黑体"/>
          <w:sz w:val="32"/>
          <w:szCs w:val="32"/>
        </w:rPr>
        <w:t>主要职能</w:t>
      </w:r>
    </w:p>
    <w:p w14:paraId="23E474DC">
      <w:pPr>
        <w:pStyle w:val="5"/>
        <w:keepNext w:val="0"/>
        <w:keepLines w:val="0"/>
        <w:pageBreakBefore w:val="0"/>
        <w:widowControl/>
        <w:numPr>
          <w:ilvl w:val="0"/>
          <w:numId w:val="2"/>
        </w:numPr>
        <w:kinsoku/>
        <w:wordWrap/>
        <w:overflowPunct/>
        <w:topLinePunct w:val="0"/>
        <w:autoSpaceDE/>
        <w:autoSpaceDN/>
        <w:bidi w:val="0"/>
        <w:adjustRightInd w:val="0"/>
        <w:snapToGrid w:val="0"/>
        <w:spacing w:after="160" w:line="578" w:lineRule="exact"/>
        <w:ind w:firstLineChars="0"/>
        <w:jc w:val="left"/>
        <w:textAlignment w:val="auto"/>
        <w:rPr>
          <w:rFonts w:ascii="黑体" w:hAnsi="黑体" w:eastAsia="黑体"/>
          <w:sz w:val="32"/>
          <w:szCs w:val="32"/>
        </w:rPr>
      </w:pPr>
      <w:r>
        <w:rPr>
          <w:rFonts w:hint="eastAsia" w:ascii="黑体" w:hAnsi="黑体" w:eastAsia="黑体"/>
          <w:sz w:val="32"/>
          <w:szCs w:val="32"/>
        </w:rPr>
        <w:t>预算单位构成</w:t>
      </w:r>
    </w:p>
    <w:p w14:paraId="1BE109BB">
      <w:pPr>
        <w:pStyle w:val="5"/>
        <w:keepNext w:val="0"/>
        <w:keepLines w:val="0"/>
        <w:pageBreakBefore w:val="0"/>
        <w:widowControl/>
        <w:numPr>
          <w:ilvl w:val="0"/>
          <w:numId w:val="1"/>
        </w:numPr>
        <w:kinsoku/>
        <w:wordWrap/>
        <w:overflowPunct/>
        <w:topLinePunct w:val="0"/>
        <w:autoSpaceDE/>
        <w:autoSpaceDN/>
        <w:bidi w:val="0"/>
        <w:adjustRightInd w:val="0"/>
        <w:snapToGrid w:val="0"/>
        <w:spacing w:after="160" w:line="578" w:lineRule="exact"/>
        <w:ind w:firstLineChars="0"/>
        <w:textAlignment w:val="auto"/>
        <w:rPr>
          <w:rFonts w:ascii="黑体" w:hAnsi="黑体" w:eastAsia="黑体"/>
          <w:sz w:val="32"/>
          <w:szCs w:val="32"/>
        </w:rPr>
      </w:pPr>
      <w:r>
        <w:rPr>
          <w:rFonts w:hint="default" w:ascii="仿宋_GB2312" w:hAnsi="黑体" w:eastAsia="仿宋_GB2312" w:cs="仿宋_GB2312"/>
          <w:sz w:val="32"/>
          <w:szCs w:val="32"/>
          <w:lang w:val="en-US"/>
        </w:rPr>
        <w:t xml:space="preserve"> </w:t>
      </w:r>
      <w:r>
        <w:rPr>
          <w:rFonts w:hint="eastAsia" w:ascii="黑体" w:hAnsi="黑体" w:eastAsia="黑体" w:cs="黑体"/>
          <w:sz w:val="32"/>
          <w:szCs w:val="32"/>
        </w:rPr>
        <w:t>琼海市嘉积镇社会事务服务中心</w:t>
      </w:r>
      <w:r>
        <w:rPr>
          <w:rFonts w:hint="eastAsia" w:ascii="黑体" w:hAnsi="黑体" w:eastAsia="黑体" w:cs="黑体"/>
          <w:sz w:val="32"/>
          <w:szCs w:val="32"/>
          <w:lang w:val="en-US" w:eastAsia="zh-CN"/>
        </w:rPr>
        <w:t>2025</w:t>
      </w:r>
      <w:r>
        <w:rPr>
          <w:rFonts w:hint="eastAsia" w:ascii="黑体" w:hAnsi="黑体" w:eastAsia="黑体"/>
          <w:sz w:val="32"/>
          <w:szCs w:val="32"/>
        </w:rPr>
        <w:t>年单位预算表</w:t>
      </w:r>
    </w:p>
    <w:p w14:paraId="0762AEA9">
      <w:pPr>
        <w:pStyle w:val="5"/>
        <w:keepNext w:val="0"/>
        <w:keepLines w:val="0"/>
        <w:pageBreakBefore w:val="0"/>
        <w:widowControl/>
        <w:numPr>
          <w:ilvl w:val="0"/>
          <w:numId w:val="3"/>
        </w:numPr>
        <w:kinsoku/>
        <w:wordWrap/>
        <w:overflowPunct/>
        <w:topLinePunct w:val="0"/>
        <w:autoSpaceDE/>
        <w:autoSpaceDN/>
        <w:bidi w:val="0"/>
        <w:adjustRightInd w:val="0"/>
        <w:snapToGrid w:val="0"/>
        <w:spacing w:after="160"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3270EEBC">
      <w:pPr>
        <w:pStyle w:val="5"/>
        <w:keepNext w:val="0"/>
        <w:keepLines w:val="0"/>
        <w:pageBreakBefore w:val="0"/>
        <w:widowControl/>
        <w:numPr>
          <w:ilvl w:val="0"/>
          <w:numId w:val="3"/>
        </w:numPr>
        <w:kinsoku/>
        <w:wordWrap/>
        <w:overflowPunct/>
        <w:topLinePunct w:val="0"/>
        <w:autoSpaceDE/>
        <w:autoSpaceDN/>
        <w:bidi w:val="0"/>
        <w:adjustRightInd w:val="0"/>
        <w:snapToGrid w:val="0"/>
        <w:spacing w:after="160"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19275EC5">
      <w:pPr>
        <w:pStyle w:val="5"/>
        <w:keepNext w:val="0"/>
        <w:keepLines w:val="0"/>
        <w:pageBreakBefore w:val="0"/>
        <w:widowControl/>
        <w:numPr>
          <w:ilvl w:val="0"/>
          <w:numId w:val="3"/>
        </w:numPr>
        <w:kinsoku/>
        <w:wordWrap/>
        <w:overflowPunct/>
        <w:topLinePunct w:val="0"/>
        <w:autoSpaceDE/>
        <w:autoSpaceDN/>
        <w:bidi w:val="0"/>
        <w:adjustRightInd w:val="0"/>
        <w:snapToGrid w:val="0"/>
        <w:spacing w:after="160"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5493C288">
      <w:pPr>
        <w:pStyle w:val="5"/>
        <w:keepNext w:val="0"/>
        <w:keepLines w:val="0"/>
        <w:pageBreakBefore w:val="0"/>
        <w:widowControl/>
        <w:numPr>
          <w:ilvl w:val="0"/>
          <w:numId w:val="3"/>
        </w:numPr>
        <w:kinsoku/>
        <w:wordWrap/>
        <w:overflowPunct/>
        <w:topLinePunct w:val="0"/>
        <w:autoSpaceDE/>
        <w:autoSpaceDN/>
        <w:bidi w:val="0"/>
        <w:adjustRightInd w:val="0"/>
        <w:snapToGrid w:val="0"/>
        <w:spacing w:after="160"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38D30C1C">
      <w:pPr>
        <w:pStyle w:val="5"/>
        <w:keepNext w:val="0"/>
        <w:keepLines w:val="0"/>
        <w:pageBreakBefore w:val="0"/>
        <w:widowControl/>
        <w:numPr>
          <w:ilvl w:val="0"/>
          <w:numId w:val="3"/>
        </w:numPr>
        <w:kinsoku/>
        <w:wordWrap/>
        <w:overflowPunct/>
        <w:topLinePunct w:val="0"/>
        <w:autoSpaceDE/>
        <w:autoSpaceDN/>
        <w:bidi w:val="0"/>
        <w:adjustRightInd w:val="0"/>
        <w:snapToGrid w:val="0"/>
        <w:spacing w:after="160"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42076E89">
      <w:pPr>
        <w:pStyle w:val="5"/>
        <w:keepNext w:val="0"/>
        <w:keepLines w:val="0"/>
        <w:pageBreakBefore w:val="0"/>
        <w:widowControl/>
        <w:numPr>
          <w:ilvl w:val="0"/>
          <w:numId w:val="3"/>
        </w:numPr>
        <w:kinsoku/>
        <w:wordWrap/>
        <w:overflowPunct/>
        <w:topLinePunct w:val="0"/>
        <w:autoSpaceDE/>
        <w:autoSpaceDN/>
        <w:bidi w:val="0"/>
        <w:adjustRightInd w:val="0"/>
        <w:snapToGrid w:val="0"/>
        <w:spacing w:after="160"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E33EA2E">
      <w:pPr>
        <w:pStyle w:val="5"/>
        <w:keepNext w:val="0"/>
        <w:keepLines w:val="0"/>
        <w:pageBreakBefore w:val="0"/>
        <w:widowControl/>
        <w:numPr>
          <w:ilvl w:val="0"/>
          <w:numId w:val="3"/>
        </w:numPr>
        <w:kinsoku/>
        <w:wordWrap/>
        <w:overflowPunct/>
        <w:topLinePunct w:val="0"/>
        <w:autoSpaceDE/>
        <w:autoSpaceDN/>
        <w:bidi w:val="0"/>
        <w:adjustRightInd w:val="0"/>
        <w:snapToGrid w:val="0"/>
        <w:spacing w:after="160"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122C4458">
      <w:pPr>
        <w:pStyle w:val="5"/>
        <w:keepNext w:val="0"/>
        <w:keepLines w:val="0"/>
        <w:pageBreakBefore w:val="0"/>
        <w:widowControl/>
        <w:numPr>
          <w:ilvl w:val="0"/>
          <w:numId w:val="3"/>
        </w:numPr>
        <w:kinsoku/>
        <w:wordWrap/>
        <w:overflowPunct/>
        <w:topLinePunct w:val="0"/>
        <w:autoSpaceDE/>
        <w:autoSpaceDN/>
        <w:bidi w:val="0"/>
        <w:adjustRightInd w:val="0"/>
        <w:snapToGrid w:val="0"/>
        <w:spacing w:after="160"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637EEB1B">
      <w:pPr>
        <w:pStyle w:val="5"/>
        <w:keepNext w:val="0"/>
        <w:keepLines w:val="0"/>
        <w:pageBreakBefore w:val="0"/>
        <w:widowControl/>
        <w:numPr>
          <w:ilvl w:val="0"/>
          <w:numId w:val="3"/>
        </w:numPr>
        <w:kinsoku/>
        <w:wordWrap/>
        <w:overflowPunct/>
        <w:topLinePunct w:val="0"/>
        <w:autoSpaceDE/>
        <w:autoSpaceDN/>
        <w:bidi w:val="0"/>
        <w:adjustRightInd w:val="0"/>
        <w:snapToGrid w:val="0"/>
        <w:spacing w:after="160"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06948F54">
      <w:pPr>
        <w:pStyle w:val="5"/>
        <w:keepNext w:val="0"/>
        <w:keepLines w:val="0"/>
        <w:pageBreakBefore w:val="0"/>
        <w:widowControl/>
        <w:numPr>
          <w:ilvl w:val="0"/>
          <w:numId w:val="3"/>
        </w:numPr>
        <w:kinsoku/>
        <w:wordWrap/>
        <w:overflowPunct/>
        <w:topLinePunct w:val="0"/>
        <w:autoSpaceDE/>
        <w:autoSpaceDN/>
        <w:bidi w:val="0"/>
        <w:adjustRightInd w:val="0"/>
        <w:snapToGrid w:val="0"/>
        <w:spacing w:after="160"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14:paraId="1D652935">
      <w:pPr>
        <w:pStyle w:val="5"/>
        <w:keepNext w:val="0"/>
        <w:keepLines w:val="0"/>
        <w:pageBreakBefore w:val="0"/>
        <w:widowControl/>
        <w:numPr>
          <w:ilvl w:val="0"/>
          <w:numId w:val="1"/>
        </w:numPr>
        <w:kinsoku/>
        <w:wordWrap/>
        <w:overflowPunct/>
        <w:topLinePunct w:val="0"/>
        <w:autoSpaceDE/>
        <w:autoSpaceDN/>
        <w:bidi w:val="0"/>
        <w:adjustRightInd w:val="0"/>
        <w:snapToGrid w:val="0"/>
        <w:spacing w:after="160" w:line="578" w:lineRule="exact"/>
        <w:ind w:firstLine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琼海市嘉积镇社会事务服务中心</w:t>
      </w:r>
      <w:r>
        <w:rPr>
          <w:rFonts w:hint="eastAsia" w:ascii="黑体" w:hAnsi="黑体" w:eastAsia="黑体" w:cs="黑体"/>
          <w:sz w:val="32"/>
          <w:szCs w:val="32"/>
          <w:lang w:val="en-US" w:eastAsia="zh-CN"/>
        </w:rPr>
        <w:t>2025</w:t>
      </w:r>
      <w:r>
        <w:rPr>
          <w:rFonts w:hint="eastAsia" w:ascii="黑体" w:hAnsi="黑体" w:eastAsia="黑体"/>
          <w:sz w:val="32"/>
          <w:szCs w:val="32"/>
        </w:rPr>
        <w:t>年单位预算情况说明</w:t>
      </w:r>
    </w:p>
    <w:p w14:paraId="1C0428A5">
      <w:pPr>
        <w:pStyle w:val="5"/>
        <w:keepNext w:val="0"/>
        <w:keepLines w:val="0"/>
        <w:pageBreakBefore w:val="0"/>
        <w:widowControl/>
        <w:numPr>
          <w:ilvl w:val="0"/>
          <w:numId w:val="1"/>
        </w:numPr>
        <w:kinsoku/>
        <w:wordWrap/>
        <w:overflowPunct/>
        <w:topLinePunct w:val="0"/>
        <w:autoSpaceDE/>
        <w:autoSpaceDN/>
        <w:bidi w:val="0"/>
        <w:adjustRightInd w:val="0"/>
        <w:snapToGrid w:val="0"/>
        <w:spacing w:after="160" w:line="578" w:lineRule="exact"/>
        <w:ind w:firstLine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645A2846">
      <w:pPr>
        <w:pStyle w:val="5"/>
        <w:keepNext w:val="0"/>
        <w:keepLines w:val="0"/>
        <w:pageBreakBefore w:val="0"/>
        <w:widowControl/>
        <w:numPr>
          <w:ilvl w:val="0"/>
          <w:numId w:val="0"/>
        </w:numPr>
        <w:kinsoku/>
        <w:wordWrap/>
        <w:overflowPunct/>
        <w:topLinePunct w:val="0"/>
        <w:autoSpaceDE/>
        <w:autoSpaceDN/>
        <w:bidi w:val="0"/>
        <w:adjustRightInd w:val="0"/>
        <w:snapToGrid w:val="0"/>
        <w:spacing w:after="160" w:line="578" w:lineRule="exact"/>
        <w:ind w:leftChars="0"/>
        <w:jc w:val="both"/>
        <w:textAlignment w:val="auto"/>
        <w:rPr>
          <w:rFonts w:ascii="仿宋_GB2312" w:hAnsi="仿宋_GB2312" w:eastAsia="仿宋_GB2312" w:cs="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14:paraId="372A2835">
      <w:pPr>
        <w:pStyle w:val="5"/>
        <w:keepNext w:val="0"/>
        <w:keepLines w:val="0"/>
        <w:pageBreakBefore w:val="0"/>
        <w:numPr>
          <w:ilvl w:val="0"/>
          <w:numId w:val="4"/>
        </w:numPr>
        <w:kinsoku/>
        <w:wordWrap/>
        <w:overflowPunct/>
        <w:topLinePunct w:val="0"/>
        <w:autoSpaceDE/>
        <w:autoSpaceDN/>
        <w:bidi w:val="0"/>
        <w:spacing w:after="0"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琼海市嘉积镇社会事务服务中心</w:t>
      </w:r>
      <w:r>
        <w:rPr>
          <w:rFonts w:hint="eastAsia" w:ascii="黑体" w:hAnsi="黑体" w:eastAsia="黑体"/>
          <w:sz w:val="32"/>
          <w:szCs w:val="32"/>
        </w:rPr>
        <w:t>概况</w:t>
      </w:r>
    </w:p>
    <w:p w14:paraId="2F6B75B9">
      <w:pPr>
        <w:pStyle w:val="5"/>
        <w:keepNext w:val="0"/>
        <w:keepLines w:val="0"/>
        <w:pageBreakBefore w:val="0"/>
        <w:numPr>
          <w:ilvl w:val="0"/>
          <w:numId w:val="5"/>
        </w:numPr>
        <w:kinsoku/>
        <w:wordWrap/>
        <w:overflowPunct/>
        <w:topLinePunct w:val="0"/>
        <w:autoSpaceDE/>
        <w:autoSpaceDN/>
        <w:bidi w:val="0"/>
        <w:spacing w:after="0" w:line="560"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主要职能</w:t>
      </w:r>
    </w:p>
    <w:p w14:paraId="06BF4C87">
      <w:pPr>
        <w:pStyle w:val="6"/>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负责本辖区文化、广播宣传服务工作，组织群众开展各种文化、体育活动，繁荣群众文化、体育事业;协助做好社会治理工作。</w:t>
      </w:r>
    </w:p>
    <w:p w14:paraId="1C1616CC">
      <w:pPr>
        <w:pStyle w:val="6"/>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贯彻执行党和国家关于社会劳动保障工作的法律、法规、政策;配合社会保险经办机构做好确保养老金按时足额发放工作</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为企业离退休人员提供政策咨询、领取养老金资格认证等各项服务</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集中管理企业退休人员的人事档案</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组织企业退休人员开展各种有益的活动</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负责本辖区内劳动力资源统计和人才开发服务工作</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协助劳动部门做好下岗失业人员再就业、组织劳务派遣和劳务输出以及为就业困难群体提供就业援助等工作</w:t>
      </w:r>
      <w:r>
        <w:rPr>
          <w:rFonts w:hint="eastAsia" w:ascii="仿宋" w:hAnsi="仿宋" w:eastAsia="仿宋" w:cs="宋体"/>
          <w:color w:val="000000"/>
          <w:kern w:val="0"/>
          <w:sz w:val="32"/>
          <w:szCs w:val="30"/>
          <w:lang w:eastAsia="zh-CN"/>
        </w:rPr>
        <w:t>；</w:t>
      </w:r>
      <w:r>
        <w:rPr>
          <w:rFonts w:hint="eastAsia" w:ascii="仿宋" w:hAnsi="仿宋" w:eastAsia="仿宋" w:cs="宋体"/>
          <w:color w:val="000000"/>
          <w:kern w:val="0"/>
          <w:sz w:val="32"/>
          <w:szCs w:val="30"/>
        </w:rPr>
        <w:t>协助民政部门做好有关工作。</w:t>
      </w:r>
    </w:p>
    <w:p w14:paraId="318BB2E9">
      <w:pPr>
        <w:pStyle w:val="6"/>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开展文明社区建设，负责社区环境卫生工作。</w:t>
      </w:r>
    </w:p>
    <w:p w14:paraId="745CDAF3">
      <w:pPr>
        <w:pStyle w:val="6"/>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1723" w:hanging="1083" w:firstLineChars="0"/>
        <w:jc w:val="left"/>
        <w:textAlignment w:val="auto"/>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突出面对面、个性化、一对一服务退役军人，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w:t>
      </w:r>
    </w:p>
    <w:p w14:paraId="3405A456">
      <w:pPr>
        <w:pStyle w:val="6"/>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1723" w:hanging="1083" w:firstLineChars="0"/>
        <w:jc w:val="left"/>
        <w:textAlignment w:val="auto"/>
        <w:rPr>
          <w:rFonts w:hint="eastAsia" w:ascii="仿宋_GB2312" w:hAnsi="黑体" w:eastAsia="仿宋_GB2312" w:cs="仿宋_GB2312"/>
          <w:sz w:val="32"/>
          <w:szCs w:val="32"/>
          <w:lang w:val="en-US" w:eastAsia="zh-CN"/>
        </w:rPr>
      </w:pPr>
      <w:r>
        <w:rPr>
          <w:rFonts w:hint="eastAsia" w:ascii="仿宋" w:hAnsi="仿宋" w:eastAsia="仿宋" w:cs="宋体"/>
          <w:color w:val="000000"/>
          <w:kern w:val="0"/>
          <w:sz w:val="32"/>
          <w:szCs w:val="30"/>
        </w:rPr>
        <w:t>承担镇党委、政府和上级部门交办的其他工作。</w:t>
      </w:r>
    </w:p>
    <w:p w14:paraId="0909A762">
      <w:pPr>
        <w:pStyle w:val="5"/>
        <w:keepNext w:val="0"/>
        <w:keepLines w:val="0"/>
        <w:pageBreakBefore w:val="0"/>
        <w:numPr>
          <w:ilvl w:val="0"/>
          <w:numId w:val="5"/>
        </w:numPr>
        <w:kinsoku/>
        <w:wordWrap/>
        <w:overflowPunct/>
        <w:topLinePunct w:val="0"/>
        <w:autoSpaceDE/>
        <w:autoSpaceDN/>
        <w:bidi w:val="0"/>
        <w:spacing w:after="0" w:line="560"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预算单位构成</w:t>
      </w:r>
    </w:p>
    <w:p w14:paraId="091FE3A3">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641" w:leftChars="0"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rPr>
        <w:t>嘉积镇社会事务服务中心(嘉积镇退役军人服务站)设综合文化站、社会治理服务站、劳动和社会保障服务站、民政服务站和环境卫生服务站等5个内设机构。</w:t>
      </w:r>
    </w:p>
    <w:p w14:paraId="5E1B6E1C">
      <w:pPr>
        <w:keepNext w:val="0"/>
        <w:keepLines w:val="0"/>
        <w:pageBreakBefore w:val="0"/>
        <w:kinsoku/>
        <w:wordWrap/>
        <w:overflowPunct/>
        <w:topLinePunct w:val="0"/>
        <w:autoSpaceDE/>
        <w:autoSpaceDN/>
        <w:bidi w:val="0"/>
        <w:spacing w:after="0" w:line="560" w:lineRule="exact"/>
        <w:ind w:firstLine="0" w:firstLineChars="0"/>
        <w:jc w:val="center"/>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rPr>
        <w:t>琼海市嘉积镇社会事务服务中心</w:t>
      </w:r>
      <w:r>
        <w:rPr>
          <w:rFonts w:hint="eastAsia" w:ascii="黑体" w:hAnsi="黑体" w:eastAsia="黑体" w:cs="黑体"/>
          <w:sz w:val="32"/>
          <w:szCs w:val="32"/>
          <w:lang w:val="en-US" w:eastAsia="zh-CN"/>
        </w:rPr>
        <w:t>2025</w:t>
      </w:r>
      <w:r>
        <w:rPr>
          <w:rFonts w:hint="eastAsia" w:ascii="黑体" w:hAnsi="黑体" w:eastAsia="黑体"/>
          <w:sz w:val="32"/>
          <w:szCs w:val="32"/>
        </w:rPr>
        <w:t>年单位预算表</w:t>
      </w:r>
    </w:p>
    <w:p w14:paraId="1F900B58">
      <w:pPr>
        <w:keepNext w:val="0"/>
        <w:keepLines w:val="0"/>
        <w:pageBreakBefore w:val="0"/>
        <w:kinsoku/>
        <w:wordWrap/>
        <w:overflowPunct/>
        <w:topLinePunct w:val="0"/>
        <w:autoSpaceDE/>
        <w:autoSpaceDN/>
        <w:bidi w:val="0"/>
        <w:spacing w:after="0" w:line="560" w:lineRule="exact"/>
        <w:ind w:left="800"/>
        <w:jc w:val="left"/>
        <w:textAlignment w:val="auto"/>
        <w:rPr>
          <w:rFonts w:ascii="黑体" w:hAnsi="黑体" w:eastAsia="黑体"/>
          <w:sz w:val="32"/>
          <w:szCs w:val="32"/>
        </w:rPr>
      </w:pPr>
    </w:p>
    <w:p w14:paraId="2997D390">
      <w:pPr>
        <w:keepNext w:val="0"/>
        <w:keepLines w:val="0"/>
        <w:pageBreakBefore w:val="0"/>
        <w:kinsoku/>
        <w:wordWrap/>
        <w:overflowPunct/>
        <w:topLinePunct w:val="0"/>
        <w:autoSpaceDE/>
        <w:autoSpaceDN/>
        <w:bidi w:val="0"/>
        <w:spacing w:after="0" w:line="560" w:lineRule="exact"/>
        <w:ind w:left="800"/>
        <w:jc w:val="center"/>
        <w:textAlignment w:val="auto"/>
        <w:rPr>
          <w:rFonts w:ascii="仿宋_GB2312" w:hAnsi="黑体" w:eastAsia="仿宋_GB2312"/>
          <w:b/>
          <w:sz w:val="32"/>
          <w:szCs w:val="32"/>
        </w:rPr>
      </w:pPr>
      <w:r>
        <w:rPr>
          <w:rFonts w:hint="eastAsia" w:ascii="仿宋" w:hAnsi="仿宋" w:eastAsia="仿宋" w:cs="仿宋"/>
          <w:b/>
          <w:sz w:val="32"/>
          <w:szCs w:val="32"/>
        </w:rPr>
        <w:t>（此部分内容即为单位预算公开表）</w:t>
      </w:r>
    </w:p>
    <w:p w14:paraId="5E0844AE">
      <w:pPr>
        <w:keepNext w:val="0"/>
        <w:keepLines w:val="0"/>
        <w:pageBreakBefore w:val="0"/>
        <w:kinsoku/>
        <w:wordWrap/>
        <w:overflowPunct/>
        <w:topLinePunct w:val="0"/>
        <w:autoSpaceDE/>
        <w:autoSpaceDN/>
        <w:bidi w:val="0"/>
        <w:spacing w:after="0" w:line="560" w:lineRule="exact"/>
        <w:textAlignment w:val="auto"/>
        <w:rPr>
          <w:rFonts w:ascii="黑体" w:hAnsi="黑体" w:eastAsia="黑体"/>
          <w:sz w:val="32"/>
          <w:szCs w:val="32"/>
        </w:rPr>
      </w:pPr>
    </w:p>
    <w:p w14:paraId="04187110">
      <w:pPr>
        <w:keepNext w:val="0"/>
        <w:keepLines w:val="0"/>
        <w:pageBreakBefore w:val="0"/>
        <w:numPr>
          <w:ilvl w:val="-1"/>
          <w:numId w:val="0"/>
        </w:numPr>
        <w:kinsoku/>
        <w:wordWrap/>
        <w:overflowPunct/>
        <w:topLinePunct w:val="0"/>
        <w:autoSpaceDE/>
        <w:autoSpaceDN/>
        <w:bidi w:val="0"/>
        <w:spacing w:after="0" w:line="560" w:lineRule="exact"/>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rPr>
        <w:t>琼海市嘉积镇社会事务服务中心</w:t>
      </w:r>
      <w:r>
        <w:rPr>
          <w:rFonts w:hint="eastAsia" w:ascii="黑体" w:hAnsi="黑体" w:eastAsia="黑体" w:cs="黑体"/>
          <w:sz w:val="32"/>
          <w:szCs w:val="32"/>
          <w:lang w:val="en-US" w:eastAsia="zh-CN"/>
        </w:rPr>
        <w:t>2025</w:t>
      </w:r>
      <w:r>
        <w:rPr>
          <w:rFonts w:hint="eastAsia" w:ascii="黑体" w:hAnsi="黑体" w:eastAsia="黑体"/>
          <w:sz w:val="32"/>
          <w:szCs w:val="32"/>
        </w:rPr>
        <w:t>年单位</w:t>
      </w:r>
    </w:p>
    <w:p w14:paraId="76B297CE">
      <w:pPr>
        <w:keepNext w:val="0"/>
        <w:keepLines w:val="0"/>
        <w:pageBreakBefore w:val="0"/>
        <w:numPr>
          <w:ilvl w:val="-1"/>
          <w:numId w:val="0"/>
        </w:numPr>
        <w:kinsoku/>
        <w:wordWrap/>
        <w:overflowPunct/>
        <w:topLinePunct w:val="0"/>
        <w:autoSpaceDE/>
        <w:autoSpaceDN/>
        <w:bidi w:val="0"/>
        <w:spacing w:after="0" w:line="560" w:lineRule="exact"/>
        <w:ind w:firstLine="0" w:firstLineChars="0"/>
        <w:jc w:val="center"/>
        <w:textAlignment w:val="auto"/>
        <w:rPr>
          <w:rFonts w:ascii="黑体" w:hAnsi="黑体" w:eastAsia="黑体"/>
          <w:sz w:val="32"/>
          <w:szCs w:val="32"/>
        </w:rPr>
      </w:pPr>
      <w:r>
        <w:rPr>
          <w:rFonts w:hint="eastAsia" w:ascii="黑体" w:hAnsi="黑体" w:eastAsia="黑体"/>
          <w:sz w:val="32"/>
          <w:szCs w:val="32"/>
        </w:rPr>
        <w:t>预算情况说明</w:t>
      </w:r>
    </w:p>
    <w:p w14:paraId="6BA0DAC5">
      <w:pPr>
        <w:keepNext w:val="0"/>
        <w:keepLines w:val="0"/>
        <w:pageBreakBefore w:val="0"/>
        <w:kinsoku/>
        <w:wordWrap/>
        <w:overflowPunct/>
        <w:topLinePunct w:val="0"/>
        <w:autoSpaceDE/>
        <w:autoSpaceDN/>
        <w:bidi w:val="0"/>
        <w:spacing w:after="0" w:line="560" w:lineRule="exact"/>
        <w:jc w:val="center"/>
        <w:textAlignment w:val="auto"/>
        <w:rPr>
          <w:rFonts w:ascii="黑体" w:hAnsi="黑体" w:eastAsia="黑体"/>
          <w:sz w:val="32"/>
          <w:szCs w:val="32"/>
        </w:rPr>
      </w:pPr>
    </w:p>
    <w:p w14:paraId="12C5FE86">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rPr>
        <w:t>琼海市嘉积镇社会事务服务中心</w:t>
      </w:r>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14:paraId="000D4225">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琼海市嘉积镇社会事务服务中心202</w:t>
      </w:r>
      <w:r>
        <w:rPr>
          <w:rFonts w:hint="eastAsia" w:ascii="仿宋" w:hAnsi="仿宋" w:eastAsia="仿宋" w:cs="仿宋"/>
          <w:sz w:val="32"/>
          <w:szCs w:val="32"/>
          <w:lang w:val="en-US" w:eastAsia="zh-CN"/>
        </w:rPr>
        <w:t>5</w:t>
      </w:r>
      <w:r>
        <w:rPr>
          <w:rFonts w:hint="eastAsia" w:ascii="仿宋" w:hAnsi="仿宋" w:eastAsia="仿宋" w:cs="仿宋"/>
          <w:sz w:val="32"/>
          <w:szCs w:val="32"/>
        </w:rPr>
        <w:t>年财政拨款收支总预算3</w:t>
      </w:r>
      <w:r>
        <w:rPr>
          <w:rFonts w:hint="eastAsia" w:ascii="仿宋" w:hAnsi="仿宋" w:eastAsia="仿宋" w:cs="仿宋"/>
          <w:sz w:val="32"/>
          <w:szCs w:val="32"/>
          <w:lang w:val="en-US" w:eastAsia="zh-CN"/>
        </w:rPr>
        <w:t>33.94</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333.94</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289.41</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44.53</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333.94</w:t>
      </w:r>
      <w:r>
        <w:rPr>
          <w:rFonts w:hint="eastAsia" w:ascii="仿宋" w:hAnsi="仿宋" w:eastAsia="仿宋" w:cs="仿宋"/>
          <w:sz w:val="32"/>
          <w:szCs w:val="32"/>
        </w:rPr>
        <w:t>万元，包括文化旅游体育与传媒支出</w:t>
      </w:r>
      <w:r>
        <w:rPr>
          <w:rFonts w:hint="eastAsia" w:ascii="仿宋" w:hAnsi="仿宋" w:eastAsia="仿宋" w:cs="仿宋"/>
          <w:sz w:val="32"/>
          <w:szCs w:val="32"/>
          <w:lang w:val="en-US" w:eastAsia="zh-CN"/>
        </w:rPr>
        <w:t>188.64</w:t>
      </w:r>
      <w:r>
        <w:rPr>
          <w:rFonts w:hint="eastAsia" w:ascii="仿宋" w:hAnsi="仿宋" w:eastAsia="仿宋" w:cs="仿宋"/>
          <w:sz w:val="32"/>
          <w:szCs w:val="32"/>
        </w:rPr>
        <w:t>万元、社会保障和就业支</w:t>
      </w:r>
      <w:r>
        <w:rPr>
          <w:rFonts w:hint="eastAsia" w:ascii="仿宋" w:hAnsi="仿宋" w:eastAsia="仿宋" w:cs="仿宋"/>
          <w:spacing w:val="-6"/>
          <w:sz w:val="32"/>
          <w:szCs w:val="32"/>
        </w:rPr>
        <w:t>出45.</w:t>
      </w:r>
      <w:r>
        <w:rPr>
          <w:rFonts w:hint="eastAsia" w:ascii="仿宋" w:hAnsi="仿宋" w:eastAsia="仿宋" w:cs="仿宋"/>
          <w:spacing w:val="-6"/>
          <w:sz w:val="32"/>
          <w:szCs w:val="32"/>
          <w:lang w:val="en-US" w:eastAsia="zh-CN"/>
        </w:rPr>
        <w:t>29</w:t>
      </w:r>
      <w:r>
        <w:rPr>
          <w:rFonts w:hint="eastAsia" w:ascii="仿宋" w:hAnsi="仿宋" w:eastAsia="仿宋" w:cs="仿宋"/>
          <w:spacing w:val="-6"/>
          <w:sz w:val="32"/>
          <w:szCs w:val="32"/>
        </w:rPr>
        <w:t>万元、卫生健康支出3</w:t>
      </w:r>
      <w:r>
        <w:rPr>
          <w:rFonts w:hint="eastAsia" w:ascii="仿宋" w:hAnsi="仿宋" w:eastAsia="仿宋" w:cs="仿宋"/>
          <w:spacing w:val="-6"/>
          <w:sz w:val="32"/>
          <w:szCs w:val="32"/>
          <w:lang w:val="en-US" w:eastAsia="zh-CN"/>
        </w:rPr>
        <w:t>6.11</w:t>
      </w:r>
      <w:r>
        <w:rPr>
          <w:rFonts w:hint="eastAsia" w:ascii="仿宋" w:hAnsi="仿宋" w:eastAsia="仿宋" w:cs="仿宋"/>
          <w:spacing w:val="-6"/>
          <w:sz w:val="32"/>
          <w:szCs w:val="32"/>
        </w:rPr>
        <w:t>万元、 城乡社区支出</w:t>
      </w:r>
      <w:r>
        <w:rPr>
          <w:rFonts w:hint="eastAsia" w:ascii="仿宋" w:hAnsi="仿宋" w:eastAsia="仿宋" w:cs="仿宋"/>
          <w:spacing w:val="-6"/>
          <w:sz w:val="32"/>
          <w:szCs w:val="32"/>
          <w:lang w:val="en-US" w:eastAsia="zh-CN"/>
        </w:rPr>
        <w:t>44.53</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19.37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8AE1A1B">
      <w:pPr>
        <w:keepNext w:val="0"/>
        <w:keepLines w:val="0"/>
        <w:pageBreakBefore w:val="0"/>
        <w:kinsoku/>
        <w:wordWrap/>
        <w:overflowPunct/>
        <w:topLinePunct w:val="0"/>
        <w:autoSpaceDE/>
        <w:autoSpaceDN/>
        <w:bidi w:val="0"/>
        <w:spacing w:after="0"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rPr>
        <w:t>琼海市嘉积镇社会事务服务中心</w:t>
      </w:r>
      <w:r>
        <w:rPr>
          <w:rFonts w:hint="eastAsia" w:ascii="黑体" w:hAnsi="黑体" w:eastAsia="黑体" w:cs="黑体"/>
          <w:sz w:val="32"/>
          <w:szCs w:val="32"/>
          <w:lang w:val="en-US" w:eastAsia="zh-CN"/>
        </w:rPr>
        <w:t>2025</w:t>
      </w:r>
      <w:r>
        <w:rPr>
          <w:rFonts w:hint="eastAsia" w:ascii="黑体" w:hAnsi="黑体" w:eastAsia="黑体"/>
          <w:sz w:val="32"/>
          <w:szCs w:val="32"/>
        </w:rPr>
        <w:t>年一般公共预算当年拨款情况说明</w:t>
      </w:r>
    </w:p>
    <w:p w14:paraId="0F34DE39">
      <w:pPr>
        <w:keepNext w:val="0"/>
        <w:keepLines w:val="0"/>
        <w:pageBreakBefore w:val="0"/>
        <w:kinsoku/>
        <w:wordWrap/>
        <w:overflowPunct/>
        <w:topLinePunct w:val="0"/>
        <w:autoSpaceDE/>
        <w:autoSpaceDN/>
        <w:bidi w:val="0"/>
        <w:spacing w:after="0" w:line="560" w:lineRule="exact"/>
        <w:ind w:firstLine="640"/>
        <w:jc w:val="left"/>
        <w:textAlignment w:val="auto"/>
        <w:rPr>
          <w:rFonts w:ascii="楷体" w:hAnsi="楷体" w:eastAsia="楷体"/>
          <w:sz w:val="32"/>
          <w:szCs w:val="32"/>
        </w:rPr>
      </w:pPr>
      <w:r>
        <w:rPr>
          <w:rFonts w:hint="eastAsia" w:ascii="楷体" w:hAnsi="楷体" w:eastAsia="楷体"/>
          <w:sz w:val="32"/>
          <w:szCs w:val="32"/>
        </w:rPr>
        <w:t>（一）一般公共预算当年规模变化情况</w:t>
      </w:r>
    </w:p>
    <w:p w14:paraId="5DD43AD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琼海市嘉积镇社会事务服务中心202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289.41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减少28.66</w:t>
      </w:r>
      <w:r>
        <w:rPr>
          <w:rFonts w:hint="eastAsia" w:ascii="仿宋" w:hAnsi="仿宋" w:eastAsia="仿宋" w:cs="仿宋"/>
          <w:sz w:val="32"/>
          <w:szCs w:val="32"/>
        </w:rPr>
        <w:t>万元，主要</w:t>
      </w:r>
      <w:r>
        <w:rPr>
          <w:rFonts w:hint="eastAsia" w:ascii="仿宋" w:hAnsi="仿宋" w:eastAsia="仿宋" w:cs="仿宋"/>
          <w:sz w:val="32"/>
          <w:szCs w:val="32"/>
          <w:lang w:val="en-US" w:eastAsia="zh-CN"/>
        </w:rPr>
        <w:t>原因：</w:t>
      </w:r>
      <w:r>
        <w:rPr>
          <w:rFonts w:hint="eastAsia" w:ascii="仿宋" w:hAnsi="仿宋" w:eastAsia="仿宋" w:cs="仿宋"/>
          <w:b w:val="0"/>
          <w:bCs w:val="0"/>
          <w:color w:val="auto"/>
          <w:kern w:val="0"/>
          <w:sz w:val="32"/>
          <w:szCs w:val="32"/>
          <w:highlight w:val="none"/>
          <w:lang w:val="en-US" w:eastAsia="zh-CN" w:bidi="ar"/>
        </w:rPr>
        <w:t>一是因财政紧张，落实过紧日子的要求，</w:t>
      </w:r>
      <w:r>
        <w:rPr>
          <w:rFonts w:hint="eastAsia" w:ascii="仿宋_GB2312" w:hAnsi="仿宋_GB2312" w:eastAsia="仿宋_GB2312" w:cs="仿宋_GB2312"/>
          <w:color w:val="auto"/>
          <w:sz w:val="32"/>
          <w:szCs w:val="32"/>
          <w:highlight w:val="none"/>
          <w:lang w:val="en-US" w:eastAsia="zh-CN"/>
        </w:rPr>
        <w:t>项目支出预算减少</w:t>
      </w:r>
      <w:r>
        <w:rPr>
          <w:rFonts w:hint="eastAsia" w:ascii="仿宋" w:hAnsi="仿宋" w:eastAsia="仿宋" w:cs="仿宋"/>
          <w:b w:val="0"/>
          <w:bCs w:val="0"/>
          <w:color w:val="auto"/>
          <w:kern w:val="0"/>
          <w:sz w:val="32"/>
          <w:szCs w:val="32"/>
          <w:highlight w:val="none"/>
          <w:lang w:val="en-US" w:eastAsia="zh-CN" w:bidi="ar"/>
        </w:rPr>
        <w:t>；二是人员减少，</w:t>
      </w:r>
      <w:r>
        <w:rPr>
          <w:rFonts w:hint="eastAsia" w:ascii="仿宋" w:hAnsi="仿宋" w:eastAsia="仿宋" w:cs="仿宋"/>
          <w:b w:val="0"/>
          <w:bCs w:val="0"/>
          <w:color w:val="auto"/>
          <w:spacing w:val="-6"/>
          <w:kern w:val="0"/>
          <w:sz w:val="32"/>
          <w:szCs w:val="32"/>
          <w:highlight w:val="none"/>
          <w:lang w:val="en-US" w:eastAsia="zh-CN" w:bidi="ar"/>
        </w:rPr>
        <w:t>工资、绩效、社保等对应减少</w:t>
      </w:r>
      <w:r>
        <w:rPr>
          <w:rFonts w:hint="eastAsia" w:ascii="仿宋" w:hAnsi="仿宋" w:eastAsia="仿宋" w:cs="仿宋"/>
          <w:b w:val="0"/>
          <w:bCs w:val="0"/>
          <w:color w:val="auto"/>
          <w:kern w:val="0"/>
          <w:sz w:val="32"/>
          <w:szCs w:val="32"/>
          <w:highlight w:val="none"/>
          <w:lang w:val="en-US" w:eastAsia="zh-CN" w:bidi="ar"/>
        </w:rPr>
        <w:t>。</w:t>
      </w:r>
    </w:p>
    <w:p w14:paraId="1AED652D">
      <w:pPr>
        <w:keepNext w:val="0"/>
        <w:keepLines w:val="0"/>
        <w:pageBreakBefore w:val="0"/>
        <w:kinsoku/>
        <w:wordWrap/>
        <w:overflowPunct/>
        <w:topLinePunct w:val="0"/>
        <w:autoSpaceDE/>
        <w:autoSpaceDN/>
        <w:bidi w:val="0"/>
        <w:spacing w:after="0" w:line="560" w:lineRule="exact"/>
        <w:ind w:firstLine="640"/>
        <w:jc w:val="left"/>
        <w:textAlignment w:val="auto"/>
        <w:rPr>
          <w:rFonts w:ascii="楷体" w:hAnsi="楷体" w:eastAsia="楷体"/>
          <w:sz w:val="32"/>
          <w:szCs w:val="32"/>
        </w:rPr>
      </w:pPr>
      <w:r>
        <w:rPr>
          <w:rFonts w:hint="eastAsia" w:ascii="楷体" w:hAnsi="楷体" w:eastAsia="楷体"/>
          <w:sz w:val="32"/>
          <w:szCs w:val="32"/>
        </w:rPr>
        <w:t>（二）一般公共预算当年拨款结构情况</w:t>
      </w:r>
    </w:p>
    <w:p w14:paraId="74B4E97B">
      <w:pPr>
        <w:keepNext w:val="0"/>
        <w:keepLines w:val="0"/>
        <w:pageBreakBefore w:val="0"/>
        <w:kinsoku/>
        <w:wordWrap/>
        <w:overflowPunct/>
        <w:topLinePunct w:val="0"/>
        <w:autoSpaceDE/>
        <w:autoSpaceDN/>
        <w:bidi w:val="0"/>
        <w:spacing w:after="0"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文化旅游体育与传媒（类）支出</w:t>
      </w:r>
      <w:r>
        <w:rPr>
          <w:rFonts w:hint="eastAsia" w:ascii="仿宋" w:hAnsi="仿宋" w:eastAsia="仿宋" w:cs="仿宋"/>
          <w:sz w:val="32"/>
          <w:szCs w:val="32"/>
          <w:lang w:val="en-US" w:eastAsia="zh-CN"/>
        </w:rPr>
        <w:t>188.64</w:t>
      </w:r>
      <w:r>
        <w:rPr>
          <w:rFonts w:hint="eastAsia" w:ascii="仿宋" w:hAnsi="仿宋" w:eastAsia="仿宋" w:cs="仿宋"/>
          <w:sz w:val="32"/>
          <w:szCs w:val="32"/>
        </w:rPr>
        <w:t>万元，占</w:t>
      </w:r>
      <w:r>
        <w:rPr>
          <w:rFonts w:hint="eastAsia" w:ascii="仿宋" w:hAnsi="仿宋" w:eastAsia="仿宋" w:cs="仿宋"/>
          <w:sz w:val="32"/>
          <w:szCs w:val="32"/>
          <w:lang w:val="en-US" w:eastAsia="zh-CN"/>
        </w:rPr>
        <w:t>65.18</w:t>
      </w:r>
      <w:r>
        <w:rPr>
          <w:rFonts w:hint="eastAsia" w:ascii="仿宋" w:hAnsi="仿宋" w:eastAsia="仿宋" w:cs="仿宋"/>
          <w:sz w:val="32"/>
          <w:szCs w:val="32"/>
        </w:rPr>
        <w:t>%；社会保障和就业（类）支出</w:t>
      </w:r>
      <w:r>
        <w:rPr>
          <w:rFonts w:hint="eastAsia" w:ascii="仿宋" w:hAnsi="仿宋" w:eastAsia="仿宋" w:cs="仿宋"/>
          <w:spacing w:val="-6"/>
          <w:sz w:val="32"/>
          <w:szCs w:val="32"/>
        </w:rPr>
        <w:t>45.</w:t>
      </w:r>
      <w:r>
        <w:rPr>
          <w:rFonts w:hint="eastAsia" w:ascii="仿宋" w:hAnsi="仿宋" w:eastAsia="仿宋" w:cs="仿宋"/>
          <w:spacing w:val="-6"/>
          <w:sz w:val="32"/>
          <w:szCs w:val="32"/>
          <w:lang w:val="en-US" w:eastAsia="zh-CN"/>
        </w:rPr>
        <w:t>29</w:t>
      </w:r>
      <w:r>
        <w:rPr>
          <w:rFonts w:hint="eastAsia" w:ascii="仿宋" w:hAnsi="仿宋" w:eastAsia="仿宋" w:cs="仿宋"/>
          <w:sz w:val="32"/>
          <w:szCs w:val="32"/>
        </w:rPr>
        <w:t>万元，占</w:t>
      </w:r>
      <w:r>
        <w:rPr>
          <w:rFonts w:hint="eastAsia" w:ascii="仿宋" w:hAnsi="仿宋" w:eastAsia="仿宋" w:cs="仿宋"/>
          <w:sz w:val="32"/>
          <w:szCs w:val="32"/>
          <w:lang w:val="en-US" w:eastAsia="zh-CN"/>
        </w:rPr>
        <w:t>15.65</w:t>
      </w:r>
      <w:r>
        <w:rPr>
          <w:rFonts w:hint="eastAsia" w:ascii="仿宋" w:hAnsi="仿宋" w:eastAsia="仿宋" w:cs="仿宋"/>
          <w:sz w:val="32"/>
          <w:szCs w:val="32"/>
        </w:rPr>
        <w:t>%；卫生健康</w:t>
      </w:r>
      <w:r>
        <w:rPr>
          <w:rFonts w:hint="eastAsia" w:ascii="仿宋" w:hAnsi="仿宋" w:eastAsia="仿宋" w:cs="仿宋"/>
          <w:spacing w:val="-6"/>
          <w:sz w:val="32"/>
          <w:szCs w:val="32"/>
        </w:rPr>
        <w:t>（类）支出</w:t>
      </w:r>
      <w:r>
        <w:rPr>
          <w:rFonts w:hint="eastAsia" w:ascii="仿宋" w:hAnsi="仿宋" w:eastAsia="仿宋" w:cs="仿宋"/>
          <w:spacing w:val="-6"/>
          <w:sz w:val="32"/>
          <w:szCs w:val="32"/>
        </w:rPr>
        <w:t>3</w:t>
      </w:r>
      <w:r>
        <w:rPr>
          <w:rFonts w:hint="eastAsia" w:ascii="仿宋" w:hAnsi="仿宋" w:eastAsia="仿宋" w:cs="仿宋"/>
          <w:spacing w:val="-6"/>
          <w:sz w:val="32"/>
          <w:szCs w:val="32"/>
          <w:lang w:val="en-US" w:eastAsia="zh-CN"/>
        </w:rPr>
        <w:t>6.11</w:t>
      </w:r>
      <w:r>
        <w:rPr>
          <w:rFonts w:hint="eastAsia" w:ascii="仿宋" w:hAnsi="仿宋" w:eastAsia="仿宋" w:cs="仿宋"/>
          <w:spacing w:val="-6"/>
          <w:sz w:val="32"/>
          <w:szCs w:val="32"/>
        </w:rPr>
        <w:t>万元，占1</w:t>
      </w:r>
      <w:r>
        <w:rPr>
          <w:rFonts w:hint="eastAsia" w:ascii="仿宋" w:hAnsi="仿宋" w:eastAsia="仿宋" w:cs="仿宋"/>
          <w:spacing w:val="-6"/>
          <w:sz w:val="32"/>
          <w:szCs w:val="32"/>
          <w:lang w:val="en-US" w:eastAsia="zh-CN"/>
        </w:rPr>
        <w:t>2.48</w:t>
      </w:r>
      <w:r>
        <w:rPr>
          <w:rFonts w:hint="eastAsia" w:ascii="仿宋" w:hAnsi="仿宋" w:eastAsia="仿宋" w:cs="仿宋"/>
          <w:spacing w:val="-6"/>
          <w:sz w:val="32"/>
          <w:szCs w:val="32"/>
        </w:rPr>
        <w:t>%；住房保障（类）支出</w:t>
      </w:r>
      <w:r>
        <w:rPr>
          <w:rFonts w:hint="eastAsia" w:ascii="仿宋" w:hAnsi="仿宋" w:eastAsia="仿宋" w:cs="仿宋"/>
          <w:spacing w:val="-6"/>
          <w:sz w:val="32"/>
          <w:szCs w:val="32"/>
          <w:lang w:val="en-US" w:eastAsia="zh-CN"/>
        </w:rPr>
        <w:t>19.37</w:t>
      </w:r>
      <w:r>
        <w:rPr>
          <w:rFonts w:hint="eastAsia" w:ascii="仿宋" w:hAnsi="仿宋" w:eastAsia="仿宋" w:cs="仿宋"/>
          <w:sz w:val="32"/>
          <w:szCs w:val="32"/>
        </w:rPr>
        <w:t>万元，占6.</w:t>
      </w:r>
      <w:r>
        <w:rPr>
          <w:rFonts w:hint="eastAsia" w:ascii="仿宋" w:hAnsi="仿宋" w:eastAsia="仿宋" w:cs="仿宋"/>
          <w:sz w:val="32"/>
          <w:szCs w:val="32"/>
          <w:lang w:val="en-US" w:eastAsia="zh-CN"/>
        </w:rPr>
        <w:t>69</w:t>
      </w:r>
      <w:r>
        <w:rPr>
          <w:rFonts w:hint="eastAsia" w:ascii="仿宋" w:hAnsi="仿宋" w:eastAsia="仿宋" w:cs="仿宋"/>
          <w:sz w:val="32"/>
          <w:szCs w:val="32"/>
        </w:rPr>
        <w:t>%。</w:t>
      </w:r>
    </w:p>
    <w:p w14:paraId="1245E7F0">
      <w:pPr>
        <w:keepNext w:val="0"/>
        <w:keepLines w:val="0"/>
        <w:pageBreakBefore w:val="0"/>
        <w:kinsoku/>
        <w:wordWrap/>
        <w:overflowPunct/>
        <w:topLinePunct w:val="0"/>
        <w:autoSpaceDE/>
        <w:autoSpaceDN/>
        <w:bidi w:val="0"/>
        <w:spacing w:after="0" w:line="560" w:lineRule="exact"/>
        <w:ind w:firstLine="640"/>
        <w:jc w:val="left"/>
        <w:textAlignment w:val="auto"/>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14:paraId="76721A65">
      <w:pPr>
        <w:keepNext w:val="0"/>
        <w:keepLines w:val="0"/>
        <w:pageBreakBefore w:val="0"/>
        <w:kinsoku/>
        <w:wordWrap/>
        <w:overflowPunct/>
        <w:topLinePunct w:val="0"/>
        <w:autoSpaceDE/>
        <w:autoSpaceDN/>
        <w:bidi w:val="0"/>
        <w:spacing w:after="0"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1.文化旅游体育与传媒支出（类）其他文化旅游体育与传媒支出（款）其他文化旅游体育与传媒支出（项）202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188.64</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val="en-US" w:eastAsia="zh-CN"/>
        </w:rPr>
        <w:t>减少23.96</w:t>
      </w:r>
      <w:r>
        <w:rPr>
          <w:rFonts w:hint="eastAsia" w:ascii="仿宋" w:hAnsi="仿宋" w:eastAsia="仿宋" w:cs="仿宋"/>
          <w:color w:val="auto"/>
          <w:sz w:val="32"/>
          <w:szCs w:val="32"/>
        </w:rPr>
        <w:t>万元，主要是</w:t>
      </w:r>
      <w:r>
        <w:rPr>
          <w:rFonts w:hint="eastAsia" w:ascii="仿宋_GB2312" w:hAnsi="仿宋_GB2312" w:eastAsia="仿宋_GB2312" w:cs="仿宋_GB2312"/>
          <w:color w:val="auto"/>
          <w:sz w:val="32"/>
          <w:szCs w:val="32"/>
          <w:highlight w:val="none"/>
          <w:lang w:val="en-US" w:eastAsia="zh-CN"/>
        </w:rPr>
        <w:t>项目支出预算减少</w:t>
      </w:r>
      <w:r>
        <w:rPr>
          <w:rFonts w:hint="eastAsia" w:ascii="仿宋" w:hAnsi="仿宋" w:eastAsia="仿宋" w:cs="仿宋"/>
          <w:color w:val="auto"/>
          <w:sz w:val="32"/>
          <w:szCs w:val="32"/>
        </w:rPr>
        <w:t>。</w:t>
      </w:r>
    </w:p>
    <w:p w14:paraId="751BE586">
      <w:pPr>
        <w:keepNext w:val="0"/>
        <w:keepLines w:val="0"/>
        <w:pageBreakBefore w:val="0"/>
        <w:kinsoku/>
        <w:wordWrap/>
        <w:overflowPunct/>
        <w:topLinePunct w:val="0"/>
        <w:autoSpaceDE/>
        <w:autoSpaceDN/>
        <w:bidi w:val="0"/>
        <w:spacing w:after="0"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2.社会保障和就业支出（类）行政事业单位养老支出（款）机关事业单位基本养老保险缴费支出（项）202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年预算数为2</w:t>
      </w:r>
      <w:r>
        <w:rPr>
          <w:rFonts w:hint="eastAsia" w:ascii="仿宋" w:hAnsi="仿宋" w:eastAsia="仿宋" w:cs="仿宋"/>
          <w:color w:val="auto"/>
          <w:sz w:val="32"/>
          <w:szCs w:val="32"/>
          <w:lang w:val="en-US" w:eastAsia="zh-CN"/>
        </w:rPr>
        <w:t>2.51</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val="en-US" w:eastAsia="zh-CN"/>
        </w:rPr>
        <w:t>减少1.04</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人员减少</w:t>
      </w:r>
      <w:r>
        <w:rPr>
          <w:rFonts w:hint="eastAsia" w:ascii="仿宋" w:hAnsi="仿宋" w:eastAsia="仿宋" w:cs="仿宋"/>
          <w:color w:val="auto"/>
          <w:sz w:val="32"/>
          <w:szCs w:val="32"/>
        </w:rPr>
        <w:t>。</w:t>
      </w:r>
    </w:p>
    <w:p w14:paraId="7F37C325">
      <w:pPr>
        <w:keepNext w:val="0"/>
        <w:keepLines w:val="0"/>
        <w:pageBreakBefore w:val="0"/>
        <w:kinsoku/>
        <w:wordWrap/>
        <w:overflowPunct/>
        <w:topLinePunct w:val="0"/>
        <w:autoSpaceDE/>
        <w:autoSpaceDN/>
        <w:bidi w:val="0"/>
        <w:spacing w:after="0"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3.社会保障和就业支出（类）行政事业单位养老支出（款）机关事业单位职业年金缴费支出（项）202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20.45</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val="en-US" w:eastAsia="zh-CN"/>
        </w:rPr>
        <w:t>增加1.57</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补缴往年虚缴的</w:t>
      </w:r>
      <w:r>
        <w:rPr>
          <w:rFonts w:hint="eastAsia" w:ascii="仿宋" w:hAnsi="仿宋" w:eastAsia="仿宋" w:cs="仿宋"/>
          <w:color w:val="auto"/>
          <w:sz w:val="32"/>
          <w:szCs w:val="32"/>
        </w:rPr>
        <w:t>机关事业单位职业年金。</w:t>
      </w:r>
    </w:p>
    <w:p w14:paraId="39B7B6D5">
      <w:pPr>
        <w:keepNext w:val="0"/>
        <w:keepLines w:val="0"/>
        <w:pageBreakBefore w:val="0"/>
        <w:kinsoku/>
        <w:wordWrap/>
        <w:overflowPunct/>
        <w:topLinePunct w:val="0"/>
        <w:autoSpaceDE/>
        <w:autoSpaceDN/>
        <w:bidi w:val="0"/>
        <w:spacing w:after="0"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4.社会保障和就业支出（类）抚恤（款）其他优抚支出（项）202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2.33</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val="en-US" w:eastAsia="zh-CN"/>
        </w:rPr>
        <w:t>减少1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主要是人员减少</w:t>
      </w:r>
      <w:r>
        <w:rPr>
          <w:rFonts w:hint="eastAsia" w:ascii="仿宋" w:hAnsi="仿宋" w:eastAsia="仿宋" w:cs="仿宋"/>
          <w:color w:val="auto"/>
          <w:sz w:val="32"/>
          <w:szCs w:val="32"/>
        </w:rPr>
        <w:t>。</w:t>
      </w:r>
    </w:p>
    <w:p w14:paraId="4CFEE4D7">
      <w:pPr>
        <w:keepNext w:val="0"/>
        <w:keepLines w:val="0"/>
        <w:pageBreakBefore w:val="0"/>
        <w:kinsoku/>
        <w:wordWrap/>
        <w:overflowPunct/>
        <w:topLinePunct w:val="0"/>
        <w:autoSpaceDE/>
        <w:autoSpaceDN/>
        <w:bidi w:val="0"/>
        <w:spacing w:after="0"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5.卫生健康支出（类）行政事业单位医疗（款）事业单位医疗（项）202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7.8</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val="en-US" w:eastAsia="zh-CN"/>
        </w:rPr>
        <w:t>减少2.83</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人员减少</w:t>
      </w:r>
      <w:r>
        <w:rPr>
          <w:rFonts w:hint="eastAsia" w:ascii="仿宋" w:hAnsi="仿宋" w:eastAsia="仿宋" w:cs="仿宋"/>
          <w:color w:val="auto"/>
          <w:sz w:val="32"/>
          <w:szCs w:val="32"/>
        </w:rPr>
        <w:t>。</w:t>
      </w:r>
    </w:p>
    <w:p w14:paraId="5921E322">
      <w:pPr>
        <w:keepNext w:val="0"/>
        <w:keepLines w:val="0"/>
        <w:pageBreakBefore w:val="0"/>
        <w:kinsoku/>
        <w:wordWrap/>
        <w:overflowPunct/>
        <w:topLinePunct w:val="0"/>
        <w:autoSpaceDE/>
        <w:autoSpaceDN/>
        <w:bidi w:val="0"/>
        <w:spacing w:after="0"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6.卫生健康支出（类）行政事业单位医疗（款）公务员医疗补助（项）202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28.31</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1.09</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人员薪酬类基数调整</w:t>
      </w:r>
      <w:r>
        <w:rPr>
          <w:rFonts w:hint="eastAsia" w:ascii="仿宋" w:hAnsi="仿宋" w:eastAsia="仿宋" w:cs="仿宋"/>
          <w:color w:val="auto"/>
          <w:sz w:val="32"/>
          <w:szCs w:val="32"/>
        </w:rPr>
        <w:t>。</w:t>
      </w:r>
    </w:p>
    <w:p w14:paraId="1CC781D5">
      <w:pPr>
        <w:keepNext w:val="0"/>
        <w:keepLines w:val="0"/>
        <w:pageBreakBefore w:val="0"/>
        <w:kinsoku/>
        <w:wordWrap/>
        <w:overflowPunct/>
        <w:topLinePunct w:val="0"/>
        <w:autoSpaceDE/>
        <w:autoSpaceDN/>
        <w:bidi w:val="0"/>
        <w:spacing w:after="0"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7.住房保障支出（类）住房改革支出（款）住房公积金（项）202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19.37</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val="en-US" w:eastAsia="zh-CN"/>
        </w:rPr>
        <w:t>减少2.49</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人员减少</w:t>
      </w:r>
      <w:r>
        <w:rPr>
          <w:rFonts w:hint="eastAsia" w:ascii="仿宋" w:hAnsi="仿宋" w:eastAsia="仿宋" w:cs="仿宋"/>
          <w:color w:val="auto"/>
          <w:sz w:val="32"/>
          <w:szCs w:val="32"/>
        </w:rPr>
        <w:t>。</w:t>
      </w:r>
    </w:p>
    <w:p w14:paraId="5E0E329F">
      <w:pPr>
        <w:keepNext w:val="0"/>
        <w:keepLines w:val="0"/>
        <w:pageBreakBefore w:val="0"/>
        <w:kinsoku/>
        <w:wordWrap/>
        <w:overflowPunct/>
        <w:topLinePunct w:val="0"/>
        <w:autoSpaceDE/>
        <w:autoSpaceDN/>
        <w:bidi w:val="0"/>
        <w:spacing w:after="0" w:line="560" w:lineRule="exact"/>
        <w:ind w:firstLine="640"/>
        <w:textAlignment w:val="auto"/>
        <w:rPr>
          <w:rFonts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s="黑体"/>
          <w:color w:val="auto"/>
          <w:sz w:val="32"/>
          <w:szCs w:val="32"/>
        </w:rPr>
        <w:t>琼海市嘉积镇社会事务服务中心</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年一般公共预算基本支出情况说明</w:t>
      </w:r>
    </w:p>
    <w:p w14:paraId="5CB1813C">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琼海市嘉积镇社会事务服务中心202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年一般公共预算基本支出为</w:t>
      </w:r>
      <w:r>
        <w:rPr>
          <w:rFonts w:hint="eastAsia" w:ascii="仿宋" w:hAnsi="仿宋" w:eastAsia="仿宋" w:cs="仿宋"/>
          <w:color w:val="auto"/>
          <w:sz w:val="32"/>
          <w:szCs w:val="32"/>
          <w:lang w:val="en-US" w:eastAsia="zh-CN"/>
        </w:rPr>
        <w:t>284.41</w:t>
      </w:r>
      <w:r>
        <w:rPr>
          <w:rFonts w:hint="eastAsia" w:ascii="仿宋" w:hAnsi="仿宋" w:eastAsia="仿宋" w:cs="仿宋"/>
          <w:color w:val="auto"/>
          <w:sz w:val="32"/>
          <w:szCs w:val="32"/>
        </w:rPr>
        <w:t>万元，其中：</w:t>
      </w:r>
    </w:p>
    <w:p w14:paraId="46D8F01A">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人员经费2</w:t>
      </w:r>
      <w:r>
        <w:rPr>
          <w:rFonts w:hint="eastAsia" w:ascii="仿宋" w:hAnsi="仿宋" w:eastAsia="仿宋" w:cs="仿宋"/>
          <w:color w:val="auto"/>
          <w:sz w:val="32"/>
          <w:szCs w:val="32"/>
          <w:lang w:val="en-US" w:eastAsia="zh-CN"/>
        </w:rPr>
        <w:t>61.89</w:t>
      </w:r>
      <w:r>
        <w:rPr>
          <w:rFonts w:hint="eastAsia" w:ascii="仿宋" w:hAnsi="仿宋" w:eastAsia="仿宋" w:cs="仿宋"/>
          <w:color w:val="auto"/>
          <w:sz w:val="32"/>
          <w:szCs w:val="32"/>
        </w:rPr>
        <w:t>万元，主要包括：基本工资、津贴补贴、绩效工资、机关事业单位基本养老保险缴费、职业年金缴费、职工基本医疗保险缴费、公务员医疗补助缴费、其他社会保障缴费、住房公积金、邮电费、生活补助。</w:t>
      </w:r>
    </w:p>
    <w:p w14:paraId="672015A4">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公用经费</w:t>
      </w:r>
      <w:r>
        <w:rPr>
          <w:rFonts w:hint="eastAsia" w:ascii="仿宋" w:hAnsi="仿宋" w:eastAsia="仿宋" w:cs="仿宋"/>
          <w:color w:val="auto"/>
          <w:sz w:val="32"/>
          <w:szCs w:val="32"/>
          <w:lang w:val="en-US" w:eastAsia="zh-CN"/>
        </w:rPr>
        <w:t>22.52</w:t>
      </w:r>
      <w:r>
        <w:rPr>
          <w:rFonts w:hint="eastAsia" w:ascii="仿宋" w:hAnsi="仿宋" w:eastAsia="仿宋" w:cs="仿宋"/>
          <w:color w:val="auto"/>
          <w:sz w:val="32"/>
          <w:szCs w:val="32"/>
        </w:rPr>
        <w:t>万元，主要包括：办公费、</w:t>
      </w:r>
      <w:r>
        <w:rPr>
          <w:rFonts w:hint="eastAsia" w:ascii="仿宋" w:hAnsi="仿宋" w:eastAsia="仿宋" w:cs="仿宋"/>
          <w:color w:val="auto"/>
          <w:sz w:val="32"/>
          <w:szCs w:val="32"/>
          <w:lang w:val="en-US" w:eastAsia="zh-CN"/>
        </w:rPr>
        <w:t>印刷费、</w:t>
      </w:r>
      <w:r>
        <w:rPr>
          <w:rFonts w:hint="eastAsia" w:ascii="仿宋" w:hAnsi="仿宋" w:eastAsia="仿宋" w:cs="仿宋"/>
          <w:color w:val="auto"/>
          <w:sz w:val="32"/>
          <w:szCs w:val="32"/>
        </w:rPr>
        <w:t>邮电费、差旅费、维修（护）费、工会经费、</w:t>
      </w:r>
      <w:r>
        <w:rPr>
          <w:rFonts w:hint="eastAsia" w:ascii="仿宋" w:hAnsi="仿宋" w:eastAsia="仿宋" w:cs="仿宋"/>
          <w:color w:val="auto"/>
          <w:sz w:val="32"/>
          <w:szCs w:val="32"/>
          <w:lang w:val="en-US" w:eastAsia="zh-CN"/>
        </w:rPr>
        <w:t>其他交通费等</w:t>
      </w:r>
      <w:r>
        <w:rPr>
          <w:rFonts w:hint="eastAsia" w:ascii="仿宋" w:hAnsi="仿宋" w:eastAsia="仿宋" w:cs="仿宋"/>
          <w:color w:val="auto"/>
          <w:sz w:val="32"/>
          <w:szCs w:val="32"/>
        </w:rPr>
        <w:t>。</w:t>
      </w:r>
    </w:p>
    <w:p w14:paraId="75599D4F">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黑体"/>
          <w:color w:val="auto"/>
          <w:sz w:val="32"/>
          <w:szCs w:val="32"/>
        </w:rPr>
        <w:t>琼海市嘉积镇社会事务服务中心</w:t>
      </w:r>
      <w:r>
        <w:rPr>
          <w:rFonts w:hint="eastAsia" w:ascii="黑体" w:hAnsi="黑体" w:eastAsia="黑体" w:cs="黑体"/>
          <w:color w:val="auto"/>
          <w:sz w:val="32"/>
          <w:szCs w:val="32"/>
          <w:lang w:val="en-US" w:eastAsia="zh-CN"/>
        </w:rPr>
        <w:t>2025</w:t>
      </w:r>
      <w:r>
        <w:rPr>
          <w:rFonts w:ascii="黑体" w:hAnsi="黑体" w:eastAsia="黑体" w:cs="Times New Roman"/>
          <w:color w:val="auto"/>
          <w:sz w:val="32"/>
          <w:shd w:val="clear" w:color="auto" w:fill="FFFFFF"/>
        </w:rPr>
        <w:t>年“三公”经费预算情况</w:t>
      </w:r>
      <w:r>
        <w:rPr>
          <w:rFonts w:hint="eastAsia" w:ascii="黑体" w:hAnsi="黑体" w:eastAsia="黑体" w:cs="Times New Roman"/>
          <w:color w:val="auto"/>
          <w:sz w:val="32"/>
          <w:shd w:val="clear" w:color="auto" w:fill="FFFFFF"/>
        </w:rPr>
        <w:t>说明</w:t>
      </w:r>
    </w:p>
    <w:p w14:paraId="185BF0F1">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Times New Roman"/>
          <w:color w:val="auto"/>
          <w:sz w:val="32"/>
          <w:szCs w:val="32"/>
        </w:rPr>
        <w:t>琼海市嘉积镇社会事务服务中心</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s="仿宋"/>
          <w:color w:val="auto"/>
          <w:sz w:val="32"/>
          <w:szCs w:val="32"/>
        </w:rPr>
        <w:t>年一般公共预算“三公”经费预算数为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p>
    <w:p w14:paraId="12697E77">
      <w:pPr>
        <w:keepNext w:val="0"/>
        <w:keepLines w:val="0"/>
        <w:pageBreakBefore w:val="0"/>
        <w:kinsoku/>
        <w:wordWrap/>
        <w:overflowPunct/>
        <w:topLinePunct w:val="0"/>
        <w:autoSpaceDE/>
        <w:autoSpaceDN/>
        <w:bidi w:val="0"/>
        <w:spacing w:after="0" w:line="560" w:lineRule="exact"/>
        <w:ind w:firstLine="630"/>
        <w:textAlignment w:val="auto"/>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因公出国（境）经费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w:t>
      </w:r>
      <w:r>
        <w:rPr>
          <w:rFonts w:hint="eastAsia" w:ascii="仿宋" w:hAnsi="仿宋" w:eastAsia="仿宋" w:cs="仿宋"/>
          <w:color w:val="auto"/>
          <w:sz w:val="32"/>
          <w:shd w:val="clear" w:color="auto" w:fill="FFFFFF"/>
          <w:lang w:eastAsia="zh-CN"/>
        </w:rPr>
        <w:t>。</w:t>
      </w:r>
      <w:r>
        <w:rPr>
          <w:rFonts w:hint="eastAsia" w:ascii="仿宋" w:hAnsi="仿宋" w:eastAsia="仿宋" w:cs="仿宋"/>
          <w:color w:val="auto"/>
          <w:sz w:val="32"/>
          <w:shd w:val="clear" w:color="auto" w:fill="FFFFFF"/>
        </w:rPr>
        <w:t>公务用车购置及运行费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w:t>
      </w:r>
      <w:r>
        <w:rPr>
          <w:rFonts w:hint="eastAsia" w:ascii="仿宋" w:hAnsi="仿宋" w:eastAsia="仿宋" w:cs="仿宋"/>
          <w:color w:val="auto"/>
          <w:sz w:val="32"/>
          <w:shd w:val="clear" w:color="auto" w:fill="FFFFFF"/>
          <w:lang w:eastAsia="zh-CN"/>
        </w:rPr>
        <w:t>。</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万元，与上年预算持平。</w:t>
      </w:r>
    </w:p>
    <w:p w14:paraId="03F8779E">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Times New Roman"/>
          <w:color w:val="auto"/>
          <w:sz w:val="32"/>
          <w:szCs w:val="32"/>
        </w:rPr>
        <w:t>琼海市嘉积镇社会事务服务中心</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s="仿宋"/>
          <w:color w:val="auto"/>
          <w:sz w:val="32"/>
          <w:szCs w:val="32"/>
        </w:rPr>
        <w:t>年政府性基金预算“三公”经费预算数为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p>
    <w:p w14:paraId="622989A4">
      <w:pPr>
        <w:keepNext w:val="0"/>
        <w:keepLines w:val="0"/>
        <w:pageBreakBefore w:val="0"/>
        <w:kinsoku/>
        <w:wordWrap/>
        <w:overflowPunct/>
        <w:topLinePunct w:val="0"/>
        <w:autoSpaceDE/>
        <w:autoSpaceDN/>
        <w:bidi w:val="0"/>
        <w:spacing w:after="0" w:line="560" w:lineRule="exact"/>
        <w:ind w:firstLine="630"/>
        <w:textAlignment w:val="auto"/>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因公出国（境）经费0万元，与上年预算持平。公务用车购置及运行费0万元，与上年预算持平。公务接待费0万元，与上年预算持平。</w:t>
      </w:r>
    </w:p>
    <w:p w14:paraId="6DCAB7CD">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s="黑体"/>
          <w:color w:val="auto"/>
          <w:sz w:val="32"/>
          <w:szCs w:val="32"/>
        </w:rPr>
        <w:t>琼海市嘉积镇社会事务服务中心</w:t>
      </w:r>
      <w:r>
        <w:rPr>
          <w:rFonts w:hint="eastAsia" w:ascii="黑体" w:hAnsi="黑体" w:eastAsia="黑体" w:cs="黑体"/>
          <w:color w:val="auto"/>
          <w:sz w:val="32"/>
          <w:szCs w:val="32"/>
          <w:lang w:eastAsia="zh-CN"/>
        </w:rPr>
        <w:t>202</w:t>
      </w:r>
      <w:r>
        <w:rPr>
          <w:rFonts w:hint="eastAsia" w:ascii="黑体" w:hAnsi="黑体" w:eastAsia="黑体" w:cs="黑体"/>
          <w:color w:val="auto"/>
          <w:sz w:val="32"/>
          <w:szCs w:val="32"/>
          <w:lang w:val="en-US" w:eastAsia="zh-CN"/>
        </w:rPr>
        <w:t>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14:paraId="798B9AE4">
      <w:pPr>
        <w:keepNext w:val="0"/>
        <w:keepLines w:val="0"/>
        <w:pageBreakBefore w:val="0"/>
        <w:kinsoku/>
        <w:wordWrap/>
        <w:overflowPunct/>
        <w:topLinePunct w:val="0"/>
        <w:autoSpaceDE/>
        <w:autoSpaceDN/>
        <w:bidi w:val="0"/>
        <w:spacing w:after="0" w:line="560" w:lineRule="exact"/>
        <w:ind w:firstLine="640"/>
        <w:jc w:val="left"/>
        <w:textAlignment w:val="auto"/>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14:paraId="39C015C6">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琼海市嘉积镇社会事务服务中心202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年政府性基金预算当年拨款</w:t>
      </w:r>
      <w:r>
        <w:rPr>
          <w:rFonts w:hint="eastAsia" w:ascii="仿宋" w:hAnsi="仿宋" w:eastAsia="仿宋" w:cs="仿宋"/>
          <w:color w:val="auto"/>
          <w:sz w:val="32"/>
          <w:szCs w:val="32"/>
          <w:lang w:val="en-US" w:eastAsia="zh-CN"/>
        </w:rPr>
        <w:t>44.53</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val="en-US" w:eastAsia="zh-CN"/>
        </w:rPr>
        <w:t>减少7.25</w:t>
      </w:r>
      <w:r>
        <w:rPr>
          <w:rFonts w:hint="eastAsia" w:ascii="仿宋" w:hAnsi="仿宋" w:eastAsia="仿宋" w:cs="仿宋"/>
          <w:color w:val="auto"/>
          <w:sz w:val="32"/>
          <w:szCs w:val="32"/>
        </w:rPr>
        <w:t>万元，主要是</w:t>
      </w:r>
      <w:r>
        <w:rPr>
          <w:rFonts w:hint="eastAsia" w:ascii="仿宋" w:hAnsi="仿宋" w:eastAsia="仿宋" w:cs="仿宋"/>
          <w:b w:val="0"/>
          <w:bCs w:val="0"/>
          <w:color w:val="auto"/>
          <w:kern w:val="0"/>
          <w:sz w:val="32"/>
          <w:szCs w:val="32"/>
          <w:highlight w:val="none"/>
          <w:lang w:val="en-US" w:eastAsia="zh-CN" w:bidi="ar"/>
        </w:rPr>
        <w:t>因财政紧张，</w:t>
      </w:r>
      <w:r>
        <w:rPr>
          <w:rFonts w:hint="eastAsia" w:ascii="仿宋_GB2312" w:hAnsi="仿宋_GB2312" w:eastAsia="仿宋_GB2312" w:cs="仿宋_GB2312"/>
          <w:color w:val="auto"/>
          <w:sz w:val="32"/>
          <w:szCs w:val="32"/>
          <w:highlight w:val="none"/>
          <w:lang w:val="en-US" w:eastAsia="zh-CN"/>
        </w:rPr>
        <w:t>项目支出预算减少</w:t>
      </w:r>
      <w:r>
        <w:rPr>
          <w:rFonts w:hint="eastAsia" w:ascii="仿宋" w:hAnsi="仿宋" w:eastAsia="仿宋" w:cs="仿宋"/>
          <w:b w:val="0"/>
          <w:bCs w:val="0"/>
          <w:color w:val="auto"/>
          <w:kern w:val="0"/>
          <w:sz w:val="32"/>
          <w:szCs w:val="32"/>
          <w:highlight w:val="none"/>
          <w:lang w:val="en-US" w:eastAsia="zh-CN" w:bidi="ar"/>
        </w:rPr>
        <w:t>。</w:t>
      </w:r>
    </w:p>
    <w:p w14:paraId="605231ED">
      <w:pPr>
        <w:keepNext w:val="0"/>
        <w:keepLines w:val="0"/>
        <w:pageBreakBefore w:val="0"/>
        <w:kinsoku/>
        <w:wordWrap/>
        <w:overflowPunct/>
        <w:topLinePunct w:val="0"/>
        <w:autoSpaceDE/>
        <w:autoSpaceDN/>
        <w:bidi w:val="0"/>
        <w:spacing w:after="0" w:line="560" w:lineRule="exact"/>
        <w:ind w:firstLine="640"/>
        <w:jc w:val="left"/>
        <w:textAlignment w:val="auto"/>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14:paraId="201E73A2">
      <w:pPr>
        <w:keepNext w:val="0"/>
        <w:keepLines w:val="0"/>
        <w:pageBreakBefore w:val="0"/>
        <w:kinsoku/>
        <w:wordWrap/>
        <w:overflowPunct/>
        <w:topLinePunct w:val="0"/>
        <w:autoSpaceDE/>
        <w:autoSpaceDN/>
        <w:bidi w:val="0"/>
        <w:spacing w:after="0" w:line="560" w:lineRule="exact"/>
        <w:ind w:firstLine="800" w:firstLineChars="250"/>
        <w:textAlignment w:val="auto"/>
        <w:rPr>
          <w:rFonts w:ascii="仿宋_GB2312" w:hAnsi="黑体" w:eastAsia="仿宋_GB2312"/>
          <w:color w:val="auto"/>
          <w:sz w:val="32"/>
          <w:szCs w:val="32"/>
        </w:rPr>
      </w:pPr>
      <w:r>
        <w:rPr>
          <w:rFonts w:hint="eastAsia" w:ascii="仿宋_GB2312" w:hAnsi="黑体" w:eastAsia="仿宋_GB2312"/>
          <w:color w:val="auto"/>
          <w:sz w:val="32"/>
          <w:szCs w:val="32"/>
          <w:highlight w:val="none"/>
        </w:rPr>
        <w:t>城乡社区</w:t>
      </w:r>
      <w:r>
        <w:rPr>
          <w:rFonts w:hint="eastAsia" w:ascii="仿宋_GB2312" w:hAnsi="黑体" w:eastAsia="仿宋_GB2312"/>
          <w:color w:val="auto"/>
          <w:sz w:val="32"/>
          <w:szCs w:val="32"/>
          <w:highlight w:val="none"/>
          <w:lang w:eastAsia="zh-CN"/>
        </w:rPr>
        <w:t>支出</w:t>
      </w:r>
      <w:r>
        <w:rPr>
          <w:rFonts w:hint="eastAsia" w:ascii="仿宋_GB2312" w:hAnsi="黑体" w:eastAsia="仿宋_GB2312" w:cs="仿宋_GB2312"/>
          <w:color w:val="auto"/>
          <w:sz w:val="32"/>
          <w:szCs w:val="32"/>
          <w:highlight w:val="none"/>
        </w:rPr>
        <w:t>（类）</w:t>
      </w:r>
      <w:r>
        <w:rPr>
          <w:rFonts w:hint="eastAsia" w:ascii="仿宋_GB2312" w:hAnsi="黑体" w:eastAsia="仿宋_GB2312" w:cs="仿宋_GB2312"/>
          <w:color w:val="auto"/>
          <w:sz w:val="32"/>
          <w:szCs w:val="32"/>
          <w:highlight w:val="none"/>
          <w:lang w:val="en-US" w:eastAsia="zh-CN"/>
        </w:rPr>
        <w:t>44.53</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100</w:t>
      </w:r>
      <w:r>
        <w:rPr>
          <w:rFonts w:hint="eastAsia" w:ascii="仿宋_GB2312" w:hAnsi="黑体" w:eastAsia="仿宋_GB2312"/>
          <w:color w:val="auto"/>
          <w:sz w:val="32"/>
          <w:szCs w:val="32"/>
          <w:highlight w:val="none"/>
        </w:rPr>
        <w:t>%。</w:t>
      </w:r>
    </w:p>
    <w:p w14:paraId="61B0C392">
      <w:pPr>
        <w:keepNext w:val="0"/>
        <w:keepLines w:val="0"/>
        <w:pageBreakBefore w:val="0"/>
        <w:kinsoku/>
        <w:wordWrap/>
        <w:overflowPunct/>
        <w:topLinePunct w:val="0"/>
        <w:autoSpaceDE/>
        <w:autoSpaceDN/>
        <w:bidi w:val="0"/>
        <w:spacing w:after="0" w:line="560" w:lineRule="exact"/>
        <w:ind w:firstLine="640"/>
        <w:jc w:val="left"/>
        <w:textAlignment w:val="auto"/>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14:paraId="48E53A81">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城乡社区支出（类）国有土地使用权出让收入安排的支出（款）其他国有土地使用权出让收入安排的支出（项）202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44.53</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val="en-US" w:eastAsia="zh-CN"/>
        </w:rPr>
        <w:t>减少3.65</w:t>
      </w:r>
      <w:r>
        <w:rPr>
          <w:rFonts w:hint="eastAsia" w:ascii="仿宋" w:hAnsi="仿宋" w:eastAsia="仿宋" w:cs="仿宋"/>
          <w:color w:val="auto"/>
          <w:sz w:val="32"/>
          <w:szCs w:val="32"/>
        </w:rPr>
        <w:t>万元，主要是项目支出</w:t>
      </w:r>
      <w:r>
        <w:rPr>
          <w:rFonts w:hint="eastAsia" w:ascii="仿宋" w:hAnsi="仿宋" w:eastAsia="仿宋" w:cs="仿宋"/>
          <w:color w:val="auto"/>
          <w:sz w:val="32"/>
          <w:szCs w:val="32"/>
          <w:lang w:val="en-US" w:eastAsia="zh-CN"/>
        </w:rPr>
        <w:t>减少</w:t>
      </w:r>
      <w:r>
        <w:rPr>
          <w:rFonts w:hint="eastAsia" w:ascii="仿宋" w:hAnsi="仿宋" w:eastAsia="仿宋" w:cs="仿宋"/>
          <w:color w:val="auto"/>
          <w:sz w:val="32"/>
          <w:szCs w:val="32"/>
        </w:rPr>
        <w:t>。</w:t>
      </w:r>
    </w:p>
    <w:p w14:paraId="0D3995D3">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s="黑体"/>
          <w:color w:val="auto"/>
          <w:sz w:val="32"/>
          <w:szCs w:val="32"/>
        </w:rPr>
        <w:t>琼海市嘉积镇社会事务服务中心</w:t>
      </w:r>
      <w:r>
        <w:rPr>
          <w:rFonts w:hint="eastAsia" w:ascii="黑体" w:hAnsi="黑体" w:eastAsia="黑体" w:cs="黑体"/>
          <w:color w:val="auto"/>
          <w:sz w:val="32"/>
          <w:szCs w:val="32"/>
          <w:lang w:eastAsia="zh-CN"/>
        </w:rPr>
        <w:t>202</w:t>
      </w:r>
      <w:r>
        <w:rPr>
          <w:rFonts w:hint="eastAsia" w:ascii="黑体" w:hAnsi="黑体" w:eastAsia="黑体" w:cs="黑体"/>
          <w:color w:val="auto"/>
          <w:sz w:val="32"/>
          <w:szCs w:val="32"/>
          <w:lang w:val="en-US" w:eastAsia="zh-CN"/>
        </w:rPr>
        <w:t>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收支预算情况的总体说明</w:t>
      </w:r>
    </w:p>
    <w:p w14:paraId="52C1345E">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按照综合预算原则，</w:t>
      </w:r>
      <w:r>
        <w:rPr>
          <w:rFonts w:hint="eastAsia" w:ascii="仿宋" w:hAnsi="仿宋" w:eastAsia="仿宋" w:cs="Times New Roman"/>
          <w:color w:val="auto"/>
          <w:sz w:val="32"/>
          <w:szCs w:val="32"/>
        </w:rPr>
        <w:t>琼海市嘉积镇社会事务服务中心</w:t>
      </w:r>
      <w:r>
        <w:rPr>
          <w:rFonts w:hint="eastAsia" w:ascii="仿宋_GB2312" w:hAnsi="黑体" w:eastAsia="仿宋_GB2312" w:cs="仿宋_GB2312"/>
          <w:color w:val="auto"/>
          <w:sz w:val="32"/>
          <w:szCs w:val="32"/>
        </w:rPr>
        <w:t>所有收入和支出均纳入</w:t>
      </w:r>
      <w:r>
        <w:rPr>
          <w:rFonts w:hint="eastAsia" w:ascii="仿宋_GB2312" w:hAnsi="黑体" w:eastAsia="仿宋_GB2312" w:cs="仿宋_GB2312"/>
          <w:color w:val="auto"/>
          <w:sz w:val="32"/>
          <w:szCs w:val="32"/>
          <w:lang w:val="en-US" w:eastAsia="zh-CN"/>
        </w:rPr>
        <w:t>单位</w:t>
      </w:r>
      <w:r>
        <w:rPr>
          <w:rFonts w:hint="eastAsia" w:ascii="仿宋_GB2312" w:hAnsi="黑体" w:eastAsia="仿宋_GB2312" w:cs="仿宋_GB2312"/>
          <w:color w:val="auto"/>
          <w:sz w:val="32"/>
          <w:szCs w:val="32"/>
        </w:rPr>
        <w:t>预算管理。收入包括：一般公共预算收入、政府性基金收入</w:t>
      </w:r>
      <w:r>
        <w:rPr>
          <w:rFonts w:hint="eastAsia" w:ascii="仿宋_GB2312" w:hAnsi="黑体" w:eastAsia="仿宋_GB2312"/>
          <w:color w:val="auto"/>
          <w:sz w:val="32"/>
          <w:szCs w:val="32"/>
        </w:rPr>
        <w:t>；支出包括：</w:t>
      </w:r>
      <w:r>
        <w:rPr>
          <w:rFonts w:hint="eastAsia" w:ascii="仿宋_GB2312" w:hAnsi="黑体" w:eastAsia="仿宋_GB2312"/>
          <w:color w:val="auto"/>
          <w:sz w:val="32"/>
          <w:szCs w:val="32"/>
          <w:lang w:eastAsia="zh-CN"/>
        </w:rPr>
        <w:t>文化旅游体育与传媒支出、</w:t>
      </w:r>
      <w:r>
        <w:rPr>
          <w:rFonts w:hint="eastAsia" w:ascii="仿宋_GB2312" w:hAnsi="黑体" w:eastAsia="仿宋_GB2312"/>
          <w:color w:val="auto"/>
          <w:sz w:val="32"/>
          <w:szCs w:val="32"/>
        </w:rPr>
        <w:t>社会保障和就业支出、卫生健康支出、城乡社区支出</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住房保障支出。</w:t>
      </w:r>
      <w:r>
        <w:rPr>
          <w:rFonts w:hint="eastAsia" w:ascii="仿宋" w:hAnsi="仿宋" w:eastAsia="仿宋" w:cs="Times New Roman"/>
          <w:color w:val="auto"/>
          <w:sz w:val="32"/>
          <w:szCs w:val="32"/>
        </w:rPr>
        <w:t>琼海市嘉积镇社会事务服务中心</w:t>
      </w:r>
      <w:r>
        <w:rPr>
          <w:rFonts w:hint="eastAsia" w:ascii="仿宋" w:hAnsi="仿宋" w:eastAsia="仿宋" w:cs="Times New Roman"/>
          <w:color w:val="auto"/>
          <w:sz w:val="32"/>
          <w:szCs w:val="32"/>
          <w:lang w:val="en-US" w:eastAsia="zh-CN"/>
        </w:rPr>
        <w:t>2025</w:t>
      </w:r>
      <w:r>
        <w:rPr>
          <w:rFonts w:hint="eastAsia" w:ascii="仿宋_GB2312" w:hAnsi="黑体" w:eastAsia="仿宋_GB2312"/>
          <w:color w:val="auto"/>
          <w:sz w:val="32"/>
          <w:szCs w:val="32"/>
        </w:rPr>
        <w:t>年收支总预算</w:t>
      </w:r>
      <w:r>
        <w:rPr>
          <w:rFonts w:hint="eastAsia" w:ascii="仿宋_GB2312" w:hAnsi="黑体" w:eastAsia="仿宋_GB2312" w:cs="仿宋_GB2312"/>
          <w:color w:val="auto"/>
          <w:sz w:val="32"/>
          <w:szCs w:val="32"/>
          <w:lang w:val="en-US" w:eastAsia="zh-CN"/>
        </w:rPr>
        <w:t>333.94</w:t>
      </w:r>
      <w:r>
        <w:rPr>
          <w:rFonts w:hint="eastAsia" w:ascii="仿宋_GB2312" w:hAnsi="黑体" w:eastAsia="仿宋_GB2312"/>
          <w:color w:val="auto"/>
          <w:sz w:val="32"/>
          <w:szCs w:val="32"/>
        </w:rPr>
        <w:t>万元</w:t>
      </w:r>
      <w:r>
        <w:rPr>
          <w:rFonts w:hint="eastAsia" w:ascii="仿宋" w:hAnsi="仿宋" w:eastAsia="仿宋" w:cs="仿宋"/>
          <w:color w:val="auto"/>
          <w:sz w:val="32"/>
          <w:szCs w:val="32"/>
        </w:rPr>
        <w:t>。</w:t>
      </w:r>
    </w:p>
    <w:p w14:paraId="4943A802">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s="黑体"/>
          <w:color w:val="auto"/>
          <w:sz w:val="32"/>
          <w:szCs w:val="32"/>
        </w:rPr>
        <w:t>琼海市嘉积镇社会事务服务中心</w:t>
      </w:r>
      <w:r>
        <w:rPr>
          <w:rFonts w:hint="eastAsia" w:ascii="黑体" w:hAnsi="黑体" w:eastAsia="黑体" w:cs="黑体"/>
          <w:color w:val="auto"/>
          <w:sz w:val="32"/>
          <w:szCs w:val="32"/>
          <w:lang w:eastAsia="zh-CN"/>
        </w:rPr>
        <w:t>202</w:t>
      </w:r>
      <w:r>
        <w:rPr>
          <w:rFonts w:hint="eastAsia" w:ascii="黑体" w:hAnsi="黑体" w:eastAsia="黑体" w:cs="黑体"/>
          <w:color w:val="auto"/>
          <w:sz w:val="32"/>
          <w:szCs w:val="32"/>
          <w:lang w:val="en-US" w:eastAsia="zh-CN"/>
        </w:rPr>
        <w:t>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14:paraId="0F2D0365">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Times New Roman"/>
          <w:color w:val="auto"/>
          <w:sz w:val="32"/>
          <w:szCs w:val="32"/>
        </w:rPr>
        <w:t>琼海市嘉积镇社会事务服务中心</w:t>
      </w:r>
      <w:r>
        <w:rPr>
          <w:rFonts w:hint="eastAsia" w:ascii="仿宋" w:hAnsi="仿宋" w:eastAsia="仿宋" w:cs="Times New Roman"/>
          <w:color w:val="auto"/>
          <w:sz w:val="32"/>
          <w:szCs w:val="32"/>
          <w:lang w:val="en-US" w:eastAsia="zh-CN"/>
        </w:rPr>
        <w:t>2025</w:t>
      </w:r>
      <w:r>
        <w:rPr>
          <w:rFonts w:hint="eastAsia" w:ascii="仿宋_GB2312" w:hAnsi="黑体" w:eastAsia="仿宋_GB2312"/>
          <w:color w:val="auto"/>
          <w:sz w:val="32"/>
          <w:szCs w:val="32"/>
        </w:rPr>
        <w:t>年收入预算</w:t>
      </w:r>
      <w:r>
        <w:rPr>
          <w:rFonts w:hint="eastAsia" w:ascii="仿宋_GB2312" w:hAnsi="黑体" w:eastAsia="仿宋_GB2312" w:cs="仿宋_GB2312"/>
          <w:color w:val="auto"/>
          <w:sz w:val="32"/>
          <w:szCs w:val="32"/>
          <w:lang w:val="en-US" w:eastAsia="zh-CN"/>
        </w:rPr>
        <w:t>333.94</w:t>
      </w:r>
      <w:r>
        <w:rPr>
          <w:rFonts w:hint="eastAsia" w:ascii="仿宋_GB2312" w:hAnsi="黑体" w:eastAsia="仿宋_GB2312"/>
          <w:color w:val="auto"/>
          <w:sz w:val="32"/>
          <w:szCs w:val="32"/>
        </w:rPr>
        <w:t>万元，其中：</w:t>
      </w:r>
      <w:r>
        <w:rPr>
          <w:rFonts w:hint="eastAsia" w:ascii="仿宋" w:hAnsi="仿宋" w:eastAsia="仿宋" w:cs="仿宋"/>
          <w:color w:val="auto"/>
          <w:sz w:val="32"/>
          <w:szCs w:val="32"/>
        </w:rPr>
        <w:t>上年结转</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sz w:val="32"/>
          <w:szCs w:val="32"/>
        </w:rPr>
        <w:t>经费拨款收入</w:t>
      </w:r>
      <w:r>
        <w:rPr>
          <w:rFonts w:hint="eastAsia" w:ascii="仿宋_GB2312" w:hAnsi="黑体" w:eastAsia="仿宋_GB2312" w:cs="仿宋_GB2312"/>
          <w:color w:val="auto"/>
          <w:sz w:val="32"/>
          <w:szCs w:val="32"/>
          <w:lang w:val="en-US" w:eastAsia="zh-CN"/>
        </w:rPr>
        <w:t>289.41</w:t>
      </w:r>
      <w:r>
        <w:rPr>
          <w:rFonts w:hint="eastAsia" w:ascii="仿宋" w:hAnsi="仿宋" w:eastAsia="仿宋" w:cs="仿宋"/>
          <w:sz w:val="32"/>
          <w:szCs w:val="32"/>
        </w:rPr>
        <w:t>万元，占</w:t>
      </w:r>
      <w:r>
        <w:rPr>
          <w:rFonts w:hint="eastAsia" w:ascii="仿宋" w:hAnsi="仿宋" w:eastAsia="仿宋" w:cs="仿宋"/>
          <w:sz w:val="32"/>
          <w:szCs w:val="32"/>
          <w:lang w:val="en-US" w:eastAsia="zh-CN"/>
        </w:rPr>
        <w:t>86.67</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44.53</w:t>
      </w:r>
      <w:r>
        <w:rPr>
          <w:rFonts w:hint="eastAsia" w:ascii="仿宋" w:hAnsi="仿宋" w:eastAsia="仿宋" w:cs="仿宋"/>
          <w:sz w:val="32"/>
          <w:szCs w:val="32"/>
        </w:rPr>
        <w:t>万元，占</w:t>
      </w:r>
      <w:r>
        <w:rPr>
          <w:rFonts w:hint="eastAsia" w:ascii="仿宋" w:hAnsi="仿宋" w:eastAsia="仿宋" w:cs="仿宋"/>
          <w:sz w:val="32"/>
          <w:szCs w:val="32"/>
          <w:lang w:val="en-US" w:eastAsia="zh-CN"/>
        </w:rPr>
        <w:t>13.33</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35.91</w:t>
      </w:r>
      <w:r>
        <w:rPr>
          <w:rFonts w:hint="eastAsia" w:ascii="仿宋" w:hAnsi="仿宋" w:eastAsia="仿宋" w:cs="仿宋"/>
          <w:sz w:val="32"/>
          <w:szCs w:val="32"/>
        </w:rPr>
        <w:t>万元，主要是</w:t>
      </w:r>
      <w:r>
        <w:rPr>
          <w:rFonts w:hint="eastAsia" w:ascii="仿宋" w:hAnsi="仿宋" w:eastAsia="仿宋" w:cs="仿宋"/>
          <w:b w:val="0"/>
          <w:bCs w:val="0"/>
          <w:color w:val="auto"/>
          <w:kern w:val="0"/>
          <w:sz w:val="32"/>
          <w:szCs w:val="32"/>
          <w:highlight w:val="none"/>
          <w:lang w:val="en-US" w:eastAsia="zh-CN" w:bidi="ar"/>
        </w:rPr>
        <w:t>财政紧张，</w:t>
      </w:r>
      <w:r>
        <w:rPr>
          <w:rFonts w:hint="eastAsia" w:ascii="仿宋_GB2312" w:hAnsi="黑体" w:eastAsia="仿宋_GB2312"/>
          <w:color w:val="auto"/>
          <w:sz w:val="32"/>
          <w:szCs w:val="32"/>
          <w:lang w:eastAsia="zh-CN"/>
        </w:rPr>
        <w:t>项目支出</w:t>
      </w:r>
      <w:r>
        <w:rPr>
          <w:rFonts w:hint="eastAsia" w:ascii="仿宋_GB2312" w:hAnsi="黑体" w:eastAsia="仿宋_GB2312"/>
          <w:color w:val="auto"/>
          <w:sz w:val="32"/>
          <w:szCs w:val="32"/>
          <w:lang w:val="en-US" w:eastAsia="zh-CN"/>
        </w:rPr>
        <w:t>预算减少。</w:t>
      </w:r>
    </w:p>
    <w:p w14:paraId="2588F2AB">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s="黑体"/>
          <w:color w:val="auto"/>
          <w:sz w:val="32"/>
          <w:szCs w:val="32"/>
        </w:rPr>
        <w:t>琼海市嘉积镇社会事务服务中心</w:t>
      </w:r>
      <w:r>
        <w:rPr>
          <w:rFonts w:hint="eastAsia" w:ascii="黑体" w:hAnsi="黑体" w:eastAsia="黑体" w:cs="黑体"/>
          <w:color w:val="auto"/>
          <w:sz w:val="32"/>
          <w:szCs w:val="32"/>
          <w:lang w:eastAsia="zh-CN"/>
        </w:rPr>
        <w:t>202</w:t>
      </w:r>
      <w:r>
        <w:rPr>
          <w:rFonts w:hint="eastAsia" w:ascii="黑体" w:hAnsi="黑体" w:eastAsia="黑体" w:cs="黑体"/>
          <w:color w:val="auto"/>
          <w:sz w:val="32"/>
          <w:szCs w:val="32"/>
          <w:lang w:val="en-US" w:eastAsia="zh-CN"/>
        </w:rPr>
        <w:t>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14:paraId="291537C3">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Times New Roman"/>
          <w:color w:val="auto"/>
          <w:sz w:val="32"/>
          <w:szCs w:val="32"/>
        </w:rPr>
        <w:t>琼海市嘉积镇社会事务服务中心</w:t>
      </w:r>
      <w:r>
        <w:rPr>
          <w:rFonts w:hint="eastAsia" w:ascii="仿宋" w:hAnsi="仿宋" w:eastAsia="仿宋" w:cs="Times New Roman"/>
          <w:color w:val="auto"/>
          <w:sz w:val="32"/>
          <w:szCs w:val="32"/>
          <w:lang w:val="en-US" w:eastAsia="zh-CN"/>
        </w:rPr>
        <w:t>2025</w:t>
      </w:r>
      <w:r>
        <w:rPr>
          <w:rFonts w:hint="eastAsia" w:ascii="仿宋_GB2312" w:hAnsi="黑体" w:eastAsia="仿宋_GB2312"/>
          <w:color w:val="auto"/>
          <w:sz w:val="32"/>
          <w:szCs w:val="32"/>
        </w:rPr>
        <w:t>年支出预算</w:t>
      </w:r>
      <w:r>
        <w:rPr>
          <w:rFonts w:hint="eastAsia" w:ascii="仿宋" w:hAnsi="仿宋" w:eastAsia="仿宋" w:cs="Times New Roman"/>
          <w:b w:val="0"/>
          <w:bCs w:val="0"/>
          <w:color w:val="auto"/>
          <w:sz w:val="32"/>
          <w:szCs w:val="32"/>
          <w:lang w:val="en-US" w:eastAsia="zh-CN"/>
        </w:rPr>
        <w:t>333.94</w:t>
      </w:r>
      <w:r>
        <w:rPr>
          <w:rFonts w:hint="eastAsia" w:ascii="仿宋_GB2312" w:hAnsi="黑体" w:eastAsia="仿宋_GB2312"/>
          <w:color w:val="auto"/>
          <w:sz w:val="32"/>
          <w:szCs w:val="32"/>
        </w:rPr>
        <w:t>万</w:t>
      </w:r>
      <w:r>
        <w:rPr>
          <w:rFonts w:hint="eastAsia" w:ascii="仿宋_GB2312" w:hAnsi="黑体" w:eastAsia="仿宋_GB2312"/>
          <w:color w:val="auto"/>
          <w:spacing w:val="-11"/>
          <w:sz w:val="32"/>
          <w:szCs w:val="32"/>
        </w:rPr>
        <w:t>元，其中：基本支出</w:t>
      </w:r>
      <w:r>
        <w:rPr>
          <w:rFonts w:hint="eastAsia" w:ascii="仿宋" w:hAnsi="仿宋" w:eastAsia="仿宋" w:cs="Times New Roman"/>
          <w:b w:val="0"/>
          <w:bCs w:val="0"/>
          <w:color w:val="auto"/>
          <w:spacing w:val="-11"/>
          <w:sz w:val="32"/>
          <w:szCs w:val="32"/>
          <w:lang w:val="en-US" w:eastAsia="zh-CN"/>
        </w:rPr>
        <w:t>284.41万元，占85.17%；</w:t>
      </w:r>
      <w:r>
        <w:rPr>
          <w:rFonts w:hint="eastAsia" w:ascii="仿宋_GB2312" w:hAnsi="黑体" w:eastAsia="仿宋_GB2312"/>
          <w:color w:val="auto"/>
          <w:spacing w:val="-11"/>
          <w:sz w:val="32"/>
          <w:szCs w:val="32"/>
        </w:rPr>
        <w:t>项目支出</w:t>
      </w:r>
      <w:r>
        <w:rPr>
          <w:rFonts w:hint="eastAsia" w:ascii="仿宋" w:hAnsi="仿宋" w:eastAsia="仿宋" w:cs="Times New Roman"/>
          <w:b w:val="0"/>
          <w:bCs w:val="0"/>
          <w:color w:val="auto"/>
          <w:spacing w:val="-11"/>
          <w:sz w:val="32"/>
          <w:szCs w:val="32"/>
          <w:lang w:val="en-US" w:eastAsia="zh-CN"/>
        </w:rPr>
        <w:t>49.53</w:t>
      </w:r>
      <w:r>
        <w:rPr>
          <w:rFonts w:hint="eastAsia" w:ascii="仿宋" w:hAnsi="仿宋" w:eastAsia="仿宋" w:cs="Times New Roman"/>
          <w:b w:val="0"/>
          <w:bCs w:val="0"/>
          <w:color w:val="auto"/>
          <w:sz w:val="32"/>
          <w:szCs w:val="32"/>
          <w:lang w:val="en-US" w:eastAsia="zh-CN"/>
        </w:rPr>
        <w:t>万元，占14.83%。</w:t>
      </w:r>
      <w:r>
        <w:rPr>
          <w:rFonts w:hint="eastAsia" w:ascii="仿宋_GB2312" w:hAnsi="黑体" w:eastAsia="仿宋_GB2312"/>
          <w:color w:val="auto"/>
          <w:sz w:val="32"/>
          <w:szCs w:val="32"/>
        </w:rPr>
        <w:t>比上年预算数</w:t>
      </w:r>
      <w:r>
        <w:rPr>
          <w:rFonts w:hint="eastAsia" w:ascii="仿宋" w:hAnsi="仿宋" w:eastAsia="仿宋" w:cs="仿宋"/>
          <w:color w:val="auto"/>
          <w:sz w:val="32"/>
          <w:szCs w:val="32"/>
        </w:rPr>
        <w:t>减少</w:t>
      </w:r>
      <w:r>
        <w:rPr>
          <w:rFonts w:hint="eastAsia" w:ascii="仿宋" w:hAnsi="仿宋" w:eastAsia="仿宋" w:cs="仿宋"/>
          <w:color w:val="auto"/>
          <w:sz w:val="32"/>
          <w:szCs w:val="32"/>
          <w:lang w:val="en-US" w:eastAsia="zh-CN"/>
        </w:rPr>
        <w:t>35.91</w:t>
      </w:r>
      <w:r>
        <w:rPr>
          <w:rFonts w:hint="eastAsia" w:ascii="仿宋" w:hAnsi="仿宋" w:eastAsia="仿宋" w:cs="仿宋"/>
          <w:color w:val="auto"/>
          <w:sz w:val="32"/>
          <w:szCs w:val="32"/>
        </w:rPr>
        <w:t>万元，主要是</w:t>
      </w:r>
      <w:r>
        <w:rPr>
          <w:rFonts w:hint="eastAsia" w:ascii="仿宋" w:hAnsi="仿宋" w:eastAsia="仿宋" w:cs="仿宋"/>
          <w:b w:val="0"/>
          <w:bCs w:val="0"/>
          <w:color w:val="auto"/>
          <w:kern w:val="0"/>
          <w:sz w:val="32"/>
          <w:szCs w:val="32"/>
          <w:highlight w:val="none"/>
          <w:lang w:val="en-US" w:eastAsia="zh-CN" w:bidi="ar"/>
        </w:rPr>
        <w:t>财政紧张，</w:t>
      </w:r>
      <w:r>
        <w:rPr>
          <w:rFonts w:hint="eastAsia" w:ascii="仿宋_GB2312" w:hAnsi="黑体" w:eastAsia="仿宋_GB2312"/>
          <w:color w:val="auto"/>
          <w:sz w:val="32"/>
          <w:szCs w:val="32"/>
          <w:lang w:eastAsia="zh-CN"/>
        </w:rPr>
        <w:t>项目支出</w:t>
      </w:r>
      <w:r>
        <w:rPr>
          <w:rFonts w:hint="eastAsia" w:ascii="仿宋_GB2312" w:hAnsi="黑体" w:eastAsia="仿宋_GB2312"/>
          <w:color w:val="auto"/>
          <w:sz w:val="32"/>
          <w:szCs w:val="32"/>
          <w:lang w:val="en-US" w:eastAsia="zh-CN"/>
        </w:rPr>
        <w:t>预算减少。</w:t>
      </w:r>
    </w:p>
    <w:p w14:paraId="3C1F286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cs="Times New Roman"/>
          <w:b w:val="0"/>
          <w:bCs w:val="0"/>
          <w:color w:val="auto"/>
          <w:sz w:val="32"/>
          <w:shd w:val="clear" w:color="auto" w:fill="FFFFFF"/>
        </w:rPr>
      </w:pPr>
      <w:r>
        <w:rPr>
          <w:rFonts w:hint="eastAsia" w:ascii="黑体" w:hAnsi="黑体" w:eastAsia="黑体" w:cs="Times New Roman"/>
          <w:b w:val="0"/>
          <w:bCs w:val="0"/>
          <w:color w:val="auto"/>
          <w:sz w:val="32"/>
          <w:shd w:val="clear" w:color="auto" w:fill="FFFFFF"/>
        </w:rPr>
        <w:t>九、其他重要事项的情况说明</w:t>
      </w:r>
    </w:p>
    <w:p w14:paraId="579282A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b w:val="0"/>
          <w:bCs w:val="0"/>
          <w:color w:val="auto"/>
          <w:sz w:val="32"/>
          <w:szCs w:val="32"/>
        </w:rPr>
      </w:pPr>
      <w:r>
        <w:rPr>
          <w:rFonts w:hint="eastAsia" w:ascii="楷体" w:hAnsi="楷体" w:eastAsia="楷体"/>
          <w:b w:val="0"/>
          <w:bCs w:val="0"/>
          <w:color w:val="auto"/>
          <w:sz w:val="32"/>
          <w:szCs w:val="32"/>
        </w:rPr>
        <w:t>（一）机关运行经费</w:t>
      </w:r>
    </w:p>
    <w:p w14:paraId="7E2BC92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b w:val="0"/>
          <w:bCs w:val="0"/>
          <w:color w:val="auto"/>
          <w:sz w:val="32"/>
          <w:szCs w:val="32"/>
        </w:rPr>
      </w:pPr>
      <w:r>
        <w:rPr>
          <w:rFonts w:hint="eastAsia" w:ascii="仿宋" w:hAnsi="仿宋" w:eastAsia="仿宋" w:cs="仿宋"/>
          <w:b w:val="0"/>
          <w:bCs w:val="0"/>
          <w:color w:val="auto"/>
          <w:sz w:val="32"/>
          <w:szCs w:val="32"/>
        </w:rPr>
        <w:t>本单位为事业单位，无机关运行经费。</w:t>
      </w:r>
    </w:p>
    <w:p w14:paraId="5047EC6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楷体" w:hAnsi="楷体" w:eastAsia="楷体"/>
          <w:b w:val="0"/>
          <w:bCs w:val="0"/>
          <w:color w:val="auto"/>
          <w:sz w:val="32"/>
          <w:szCs w:val="32"/>
        </w:rPr>
      </w:pPr>
      <w:r>
        <w:rPr>
          <w:rFonts w:hint="eastAsia" w:ascii="楷体" w:hAnsi="楷体" w:eastAsia="楷体"/>
          <w:b w:val="0"/>
          <w:bCs w:val="0"/>
          <w:color w:val="auto"/>
          <w:sz w:val="32"/>
          <w:szCs w:val="32"/>
        </w:rPr>
        <w:t>（</w:t>
      </w:r>
      <w:r>
        <w:rPr>
          <w:rFonts w:hint="eastAsia" w:ascii="楷体" w:hAnsi="楷体" w:eastAsia="楷体"/>
          <w:b w:val="0"/>
          <w:bCs w:val="0"/>
          <w:color w:val="auto"/>
          <w:sz w:val="32"/>
          <w:szCs w:val="32"/>
          <w:lang w:val="en-US" w:eastAsia="zh-CN"/>
        </w:rPr>
        <w:t>二</w:t>
      </w:r>
      <w:r>
        <w:rPr>
          <w:rFonts w:hint="eastAsia" w:ascii="楷体" w:hAnsi="楷体" w:eastAsia="楷体"/>
          <w:b w:val="0"/>
          <w:bCs w:val="0"/>
          <w:color w:val="auto"/>
          <w:sz w:val="32"/>
          <w:szCs w:val="32"/>
        </w:rPr>
        <w:t>）政府采购情况</w:t>
      </w:r>
    </w:p>
    <w:p w14:paraId="0184AB6B">
      <w:pPr>
        <w:keepNext w:val="0"/>
        <w:keepLines w:val="0"/>
        <w:pageBreakBefore w:val="0"/>
        <w:widowControl/>
        <w:kinsoku/>
        <w:wordWrap/>
        <w:overflowPunct/>
        <w:topLinePunct w:val="0"/>
        <w:autoSpaceDE/>
        <w:autoSpaceDN/>
        <w:bidi w:val="0"/>
        <w:adjustRightInd w:val="0"/>
        <w:snapToGrid w:val="0"/>
        <w:spacing w:after="0" w:line="560" w:lineRule="exact"/>
        <w:ind w:firstLine="640"/>
        <w:textAlignment w:val="auto"/>
        <w:rPr>
          <w:rFonts w:hint="eastAsia" w:ascii="仿宋" w:hAnsi="仿宋" w:eastAsia="仿宋" w:cs="仿宋"/>
          <w:b w:val="0"/>
          <w:bCs w:val="0"/>
          <w:color w:val="auto"/>
          <w:sz w:val="32"/>
          <w:szCs w:val="32"/>
        </w:rPr>
      </w:pPr>
      <w:r>
        <w:rPr>
          <w:rFonts w:hint="eastAsia" w:ascii="仿宋_GB2312" w:hAnsi="黑体" w:eastAsia="仿宋_GB2312" w:cs="仿宋_GB2312"/>
          <w:b w:val="0"/>
          <w:bCs w:val="0"/>
          <w:color w:val="auto"/>
          <w:sz w:val="32"/>
          <w:szCs w:val="32"/>
          <w:lang w:val="en-US" w:eastAsia="zh-CN"/>
        </w:rPr>
        <w:t>2025</w:t>
      </w:r>
      <w:r>
        <w:rPr>
          <w:rFonts w:hint="eastAsia" w:ascii="仿宋_GB2312" w:hAnsi="黑体" w:eastAsia="仿宋_GB2312"/>
          <w:b w:val="0"/>
          <w:bCs w:val="0"/>
          <w:color w:val="auto"/>
          <w:sz w:val="32"/>
          <w:szCs w:val="32"/>
        </w:rPr>
        <w:t>年</w:t>
      </w:r>
      <w:r>
        <w:rPr>
          <w:rFonts w:hint="eastAsia" w:ascii="仿宋" w:hAnsi="仿宋" w:eastAsia="仿宋" w:cs="Times New Roman"/>
          <w:b w:val="0"/>
          <w:bCs w:val="0"/>
          <w:color w:val="auto"/>
          <w:sz w:val="32"/>
          <w:szCs w:val="32"/>
        </w:rPr>
        <w:t>琼海市嘉积镇社会事务服务中心</w:t>
      </w:r>
      <w:r>
        <w:rPr>
          <w:rFonts w:hint="eastAsia" w:ascii="仿宋_GB2312" w:hAnsi="黑体" w:eastAsia="仿宋_GB2312" w:cs="仿宋_GB2312"/>
          <w:b w:val="0"/>
          <w:bCs w:val="0"/>
          <w:color w:val="auto"/>
          <w:sz w:val="32"/>
          <w:szCs w:val="32"/>
        </w:rPr>
        <w:t>政府采购预算总额</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b w:val="0"/>
          <w:bCs w:val="0"/>
          <w:color w:val="auto"/>
          <w:sz w:val="32"/>
          <w:szCs w:val="32"/>
        </w:rPr>
        <w:t>万元</w:t>
      </w:r>
      <w:r>
        <w:rPr>
          <w:rFonts w:hint="eastAsia" w:ascii="仿宋" w:hAnsi="仿宋" w:eastAsia="仿宋" w:cs="仿宋"/>
          <w:b w:val="0"/>
          <w:bCs w:val="0"/>
          <w:color w:val="auto"/>
          <w:sz w:val="32"/>
          <w:szCs w:val="32"/>
        </w:rPr>
        <w:t>。</w:t>
      </w:r>
    </w:p>
    <w:p w14:paraId="30E5532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楷体" w:hAnsi="楷体" w:eastAsia="楷体"/>
          <w:b w:val="0"/>
          <w:bCs w:val="0"/>
          <w:color w:val="auto"/>
          <w:sz w:val="32"/>
          <w:szCs w:val="32"/>
        </w:rPr>
      </w:pPr>
      <w:r>
        <w:rPr>
          <w:rFonts w:hint="eastAsia" w:ascii="楷体" w:hAnsi="楷体" w:eastAsia="楷体"/>
          <w:b w:val="0"/>
          <w:bCs w:val="0"/>
          <w:color w:val="auto"/>
          <w:sz w:val="32"/>
          <w:szCs w:val="32"/>
        </w:rPr>
        <w:t>（</w:t>
      </w:r>
      <w:r>
        <w:rPr>
          <w:rFonts w:hint="eastAsia" w:ascii="楷体" w:hAnsi="楷体" w:eastAsia="楷体"/>
          <w:b w:val="0"/>
          <w:bCs w:val="0"/>
          <w:color w:val="auto"/>
          <w:sz w:val="32"/>
          <w:szCs w:val="32"/>
          <w:lang w:val="en-US" w:eastAsia="zh-CN"/>
        </w:rPr>
        <w:t>三</w:t>
      </w:r>
      <w:r>
        <w:rPr>
          <w:rFonts w:hint="eastAsia" w:ascii="楷体" w:hAnsi="楷体" w:eastAsia="楷体"/>
          <w:b w:val="0"/>
          <w:bCs w:val="0"/>
          <w:color w:val="auto"/>
          <w:sz w:val="32"/>
          <w:szCs w:val="32"/>
        </w:rPr>
        <w:t>）国有资产占有使用情况</w:t>
      </w:r>
    </w:p>
    <w:p w14:paraId="4F10633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_GB2312" w:hAnsi="黑体" w:eastAsia="仿宋_GB2312" w:cs="仿宋_GB2312"/>
          <w:b w:val="0"/>
          <w:bCs w:val="0"/>
          <w:color w:val="auto"/>
          <w:sz w:val="32"/>
          <w:szCs w:val="32"/>
        </w:rPr>
        <w:t>截至</w:t>
      </w:r>
      <w:r>
        <w:rPr>
          <w:rFonts w:hint="eastAsia" w:ascii="仿宋_GB2312" w:hAnsi="黑体" w:eastAsia="仿宋_GB2312" w:cs="仿宋_GB2312"/>
          <w:b w:val="0"/>
          <w:bCs w:val="0"/>
          <w:color w:val="auto"/>
          <w:sz w:val="32"/>
          <w:szCs w:val="32"/>
          <w:lang w:val="en-US" w:eastAsia="zh-CN"/>
        </w:rPr>
        <w:t>2024</w:t>
      </w:r>
      <w:r>
        <w:rPr>
          <w:rFonts w:hint="eastAsia" w:ascii="仿宋_GB2312" w:hAnsi="黑体" w:eastAsia="仿宋_GB2312"/>
          <w:b w:val="0"/>
          <w:bCs w:val="0"/>
          <w:color w:val="auto"/>
          <w:sz w:val="32"/>
          <w:szCs w:val="32"/>
        </w:rPr>
        <w:t>年12月31日，</w:t>
      </w:r>
      <w:r>
        <w:rPr>
          <w:rFonts w:hint="eastAsia" w:ascii="仿宋" w:hAnsi="仿宋" w:eastAsia="仿宋" w:cs="Times New Roman"/>
          <w:b w:val="0"/>
          <w:bCs w:val="0"/>
          <w:color w:val="auto"/>
          <w:sz w:val="32"/>
          <w:szCs w:val="32"/>
        </w:rPr>
        <w:t>琼海市嘉积镇社会事务服务中心</w:t>
      </w:r>
      <w:r>
        <w:rPr>
          <w:rFonts w:hint="eastAsia" w:ascii="仿宋" w:hAnsi="仿宋" w:eastAsia="仿宋" w:cs="仿宋"/>
          <w:color w:val="auto"/>
          <w:sz w:val="32"/>
          <w:szCs w:val="32"/>
        </w:rPr>
        <w:t>本级共有车辆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w:t>
      </w:r>
    </w:p>
    <w:p w14:paraId="40DECAC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楷体" w:hAnsi="楷体" w:eastAsia="楷体"/>
          <w:b w:val="0"/>
          <w:bCs w:val="0"/>
          <w:color w:val="auto"/>
          <w:sz w:val="32"/>
          <w:szCs w:val="32"/>
        </w:rPr>
      </w:pPr>
      <w:r>
        <w:rPr>
          <w:rFonts w:hint="eastAsia" w:ascii="楷体" w:hAnsi="楷体" w:eastAsia="楷体"/>
          <w:b w:val="0"/>
          <w:bCs w:val="0"/>
          <w:color w:val="auto"/>
          <w:sz w:val="32"/>
          <w:szCs w:val="32"/>
        </w:rPr>
        <w:t>（四）绩效目标设置情况</w:t>
      </w:r>
    </w:p>
    <w:p w14:paraId="71CCFC7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b w:val="0"/>
          <w:bCs w:val="0"/>
          <w:color w:val="auto"/>
          <w:sz w:val="32"/>
          <w:szCs w:val="32"/>
        </w:rPr>
      </w:pPr>
      <w:r>
        <w:rPr>
          <w:rFonts w:hint="eastAsia" w:ascii="仿宋_GB2312" w:hAnsi="黑体" w:eastAsia="仿宋_GB2312" w:cs="仿宋_GB2312"/>
          <w:b w:val="0"/>
          <w:bCs w:val="0"/>
          <w:color w:val="auto"/>
          <w:sz w:val="32"/>
          <w:szCs w:val="32"/>
          <w:lang w:val="en-US" w:eastAsia="zh-CN"/>
        </w:rPr>
        <w:t>2025</w:t>
      </w:r>
      <w:r>
        <w:rPr>
          <w:rFonts w:hint="eastAsia" w:ascii="仿宋_GB2312" w:hAnsi="黑体" w:eastAsia="仿宋_GB2312"/>
          <w:b w:val="0"/>
          <w:bCs w:val="0"/>
          <w:color w:val="auto"/>
          <w:sz w:val="32"/>
          <w:szCs w:val="32"/>
        </w:rPr>
        <w:t>年</w:t>
      </w:r>
      <w:r>
        <w:rPr>
          <w:rFonts w:hint="eastAsia" w:ascii="仿宋" w:hAnsi="仿宋" w:eastAsia="仿宋" w:cs="Times New Roman"/>
          <w:b w:val="0"/>
          <w:bCs w:val="0"/>
          <w:color w:val="auto"/>
          <w:sz w:val="32"/>
          <w:szCs w:val="32"/>
        </w:rPr>
        <w:t>琼海市嘉积镇社会事务服务中心</w:t>
      </w:r>
      <w:r>
        <w:rPr>
          <w:rFonts w:hint="eastAsia" w:ascii="仿宋" w:hAnsi="仿宋" w:eastAsia="仿宋" w:cs="Times New Roman"/>
          <w:b w:val="0"/>
          <w:bCs w:val="0"/>
          <w:color w:val="auto"/>
          <w:sz w:val="32"/>
          <w:szCs w:val="32"/>
          <w:lang w:val="en-US" w:eastAsia="zh-CN"/>
        </w:rPr>
        <w:t>14</w:t>
      </w:r>
      <w:r>
        <w:rPr>
          <w:rFonts w:hint="eastAsia" w:ascii="仿宋" w:hAnsi="仿宋" w:eastAsia="仿宋" w:cs="仿宋"/>
          <w:b w:val="0"/>
          <w:bCs w:val="0"/>
          <w:color w:val="auto"/>
          <w:sz w:val="32"/>
          <w:szCs w:val="32"/>
        </w:rPr>
        <w:t>个项目实行绩效目标管理，涉及</w:t>
      </w:r>
      <w:r>
        <w:rPr>
          <w:rFonts w:hint="eastAsia" w:ascii="仿宋_GB2312" w:hAnsi="黑体" w:eastAsia="仿宋_GB2312" w:cs="仿宋_GB2312"/>
          <w:b w:val="0"/>
          <w:bCs w:val="0"/>
          <w:color w:val="auto"/>
          <w:sz w:val="32"/>
          <w:szCs w:val="32"/>
        </w:rPr>
        <w:t>一般公共预算</w:t>
      </w:r>
      <w:r>
        <w:rPr>
          <w:rFonts w:hint="eastAsia" w:ascii="仿宋" w:hAnsi="仿宋" w:eastAsia="仿宋" w:cs="仿宋"/>
          <w:color w:val="auto"/>
          <w:sz w:val="32"/>
          <w:szCs w:val="32"/>
          <w:lang w:val="en-US" w:eastAsia="zh-CN"/>
        </w:rPr>
        <w:t>289.41</w:t>
      </w:r>
      <w:r>
        <w:rPr>
          <w:rFonts w:hint="eastAsia" w:ascii="仿宋_GB2312" w:hAnsi="黑体" w:eastAsia="仿宋_GB2312"/>
          <w:b w:val="0"/>
          <w:bCs w:val="0"/>
          <w:color w:val="auto"/>
          <w:sz w:val="32"/>
          <w:szCs w:val="32"/>
        </w:rPr>
        <w:t>万元、政府性基金</w:t>
      </w:r>
      <w:r>
        <w:rPr>
          <w:rFonts w:hint="eastAsia" w:ascii="仿宋" w:hAnsi="仿宋" w:eastAsia="仿宋" w:cs="仿宋"/>
          <w:color w:val="auto"/>
          <w:sz w:val="32"/>
          <w:szCs w:val="32"/>
          <w:lang w:val="en-US" w:eastAsia="zh-CN"/>
        </w:rPr>
        <w:t>44.53</w:t>
      </w:r>
      <w:r>
        <w:rPr>
          <w:rFonts w:hint="eastAsia" w:ascii="仿宋_GB2312" w:hAnsi="黑体" w:eastAsia="仿宋_GB2312"/>
          <w:b w:val="0"/>
          <w:bCs w:val="0"/>
          <w:color w:val="auto"/>
          <w:sz w:val="32"/>
          <w:szCs w:val="32"/>
        </w:rPr>
        <w:t>万元</w:t>
      </w:r>
      <w:r>
        <w:rPr>
          <w:rFonts w:hint="eastAsia" w:ascii="仿宋" w:hAnsi="仿宋" w:eastAsia="仿宋" w:cs="仿宋"/>
          <w:b w:val="0"/>
          <w:bCs w:val="0"/>
          <w:color w:val="auto"/>
          <w:sz w:val="32"/>
          <w:szCs w:val="32"/>
        </w:rPr>
        <w:t>。</w:t>
      </w:r>
    </w:p>
    <w:p w14:paraId="43EA166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b w:val="0"/>
          <w:bCs w:val="0"/>
          <w:color w:val="auto"/>
          <w:sz w:val="32"/>
          <w:szCs w:val="32"/>
        </w:rPr>
      </w:pPr>
    </w:p>
    <w:p w14:paraId="269ABCB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b w:val="0"/>
          <w:bCs w:val="0"/>
          <w:color w:val="auto"/>
          <w:sz w:val="32"/>
          <w:szCs w:val="32"/>
        </w:rPr>
      </w:pPr>
    </w:p>
    <w:p w14:paraId="79C38C3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b w:val="0"/>
          <w:bCs w:val="0"/>
          <w:color w:val="auto"/>
          <w:sz w:val="32"/>
          <w:szCs w:val="32"/>
        </w:rPr>
      </w:pPr>
    </w:p>
    <w:p w14:paraId="43D7CC2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b w:val="0"/>
          <w:bCs w:val="0"/>
          <w:color w:val="auto"/>
          <w:sz w:val="32"/>
          <w:szCs w:val="32"/>
        </w:rPr>
      </w:pPr>
    </w:p>
    <w:p w14:paraId="4E44304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b w:val="0"/>
          <w:bCs w:val="0"/>
          <w:color w:val="auto"/>
          <w:sz w:val="32"/>
          <w:szCs w:val="32"/>
        </w:rPr>
      </w:pPr>
      <w:bookmarkStart w:id="0" w:name="_GoBack"/>
      <w:bookmarkEnd w:id="0"/>
    </w:p>
    <w:p w14:paraId="51438798">
      <w:pPr>
        <w:keepNext w:val="0"/>
        <w:keepLines w:val="0"/>
        <w:pageBreakBefore w:val="0"/>
        <w:kinsoku/>
        <w:wordWrap/>
        <w:overflowPunct/>
        <w:topLinePunct w:val="0"/>
        <w:autoSpaceDE/>
        <w:autoSpaceDN/>
        <w:bidi w:val="0"/>
        <w:spacing w:after="0" w:line="560" w:lineRule="exact"/>
        <w:jc w:val="center"/>
        <w:textAlignment w:val="auto"/>
        <w:rPr>
          <w:rFonts w:ascii="黑体" w:hAnsi="黑体" w:eastAsia="黑体"/>
          <w:b w:val="0"/>
          <w:bCs w:val="0"/>
          <w:sz w:val="32"/>
          <w:szCs w:val="32"/>
        </w:rPr>
      </w:pPr>
      <w:r>
        <w:rPr>
          <w:rFonts w:hint="eastAsia" w:ascii="黑体" w:hAnsi="黑体" w:eastAsia="黑体"/>
          <w:b w:val="0"/>
          <w:bCs w:val="0"/>
          <w:sz w:val="32"/>
          <w:szCs w:val="32"/>
        </w:rPr>
        <w:t>第四部分  名词解释</w:t>
      </w:r>
    </w:p>
    <w:p w14:paraId="58B64A88">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ascii="仿宋_GB2312" w:eastAsia="仿宋_GB2312" w:cs="宋体"/>
          <w:b w:val="0"/>
          <w:bCs w:val="0"/>
          <w:color w:val="000000"/>
          <w:kern w:val="0"/>
          <w:sz w:val="32"/>
          <w:szCs w:val="32"/>
          <w:lang w:val="zh-CN"/>
        </w:rPr>
      </w:pPr>
    </w:p>
    <w:p w14:paraId="5575D992">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一、财政拨款收入：指本级财政当年拨付的资金。</w:t>
      </w:r>
    </w:p>
    <w:p w14:paraId="7D311726">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二、事业收入：指事业单位开展专业业务活动及辅助活动取得的收入。</w:t>
      </w:r>
    </w:p>
    <w:p w14:paraId="1AE58295">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三、经营收入：指事业单位在专业业务活动及其辅助活动之外开展非独立核算经营活动取得的收入。</w:t>
      </w:r>
    </w:p>
    <w:p w14:paraId="028A722F">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四、其他收入：指除上述“财政拨款收入”“事业收入”“经营收入”等以外的收入。</w:t>
      </w:r>
    </w:p>
    <w:p w14:paraId="277DB409">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五、年初结转和结余：指以前年度尚未完成、结转到本年按有关规定继续使用的资金。</w:t>
      </w:r>
    </w:p>
    <w:p w14:paraId="04FAA8F0">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 xml:space="preserve">六、基本支出：指行政事业单位用于为保障其机构正常运转、完成日常工作任务而发生的人员支出和公用支出。   </w:t>
      </w:r>
    </w:p>
    <w:p w14:paraId="6DE67CBA">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七、工资福利支出：反映单位开支的在职职工和编制外长期聘用人员的各类劳动报酬，以及为上述人员缴纳的各项社会保险费等。</w:t>
      </w:r>
    </w:p>
    <w:p w14:paraId="0E49180B">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b w:val="0"/>
          <w:bCs w:val="0"/>
          <w:color w:val="000000"/>
          <w:kern w:val="0"/>
          <w:sz w:val="32"/>
          <w:szCs w:val="30"/>
          <w:lang w:eastAsia="zh-CN"/>
        </w:rPr>
        <w:t>个人农业生产补贴、代缴社会保险费、</w:t>
      </w:r>
      <w:r>
        <w:rPr>
          <w:rFonts w:hint="eastAsia" w:ascii="仿宋" w:hAnsi="仿宋" w:eastAsia="仿宋" w:cs="仿宋"/>
          <w:b w:val="0"/>
          <w:bCs w:val="0"/>
          <w:color w:val="000000"/>
          <w:kern w:val="0"/>
          <w:sz w:val="32"/>
          <w:szCs w:val="30"/>
        </w:rPr>
        <w:t>其他等。</w:t>
      </w:r>
    </w:p>
    <w:p w14:paraId="1AC53204">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九、商品和服务支出：反映单位购买商品和服务的支出，包括办公费、</w:t>
      </w:r>
      <w:r>
        <w:rPr>
          <w:rFonts w:hint="eastAsia" w:ascii="仿宋" w:hAnsi="仿宋" w:eastAsia="仿宋" w:cs="仿宋"/>
          <w:b w:val="0"/>
          <w:bCs w:val="0"/>
          <w:color w:val="000000"/>
          <w:kern w:val="0"/>
          <w:sz w:val="32"/>
          <w:szCs w:val="30"/>
          <w:lang w:eastAsia="zh-CN"/>
        </w:rPr>
        <w:t>印刷费、咨询费、手续费、</w:t>
      </w:r>
      <w:r>
        <w:rPr>
          <w:rFonts w:hint="eastAsia" w:ascii="仿宋" w:hAnsi="仿宋" w:eastAsia="仿宋" w:cs="仿宋"/>
          <w:b w:val="0"/>
          <w:bCs w:val="0"/>
          <w:color w:val="000000"/>
          <w:kern w:val="0"/>
          <w:sz w:val="32"/>
          <w:szCs w:val="30"/>
        </w:rPr>
        <w:t>水费、电费、邮电费、</w:t>
      </w:r>
      <w:r>
        <w:rPr>
          <w:rFonts w:hint="eastAsia" w:ascii="仿宋" w:hAnsi="仿宋" w:eastAsia="仿宋" w:cs="仿宋"/>
          <w:b w:val="0"/>
          <w:bCs w:val="0"/>
          <w:color w:val="000000"/>
          <w:kern w:val="0"/>
          <w:sz w:val="32"/>
          <w:szCs w:val="30"/>
          <w:lang w:eastAsia="zh-CN"/>
        </w:rPr>
        <w:t>取暖费、物业管理费、</w:t>
      </w:r>
      <w:r>
        <w:rPr>
          <w:rFonts w:hint="eastAsia" w:ascii="仿宋" w:hAnsi="仿宋" w:eastAsia="仿宋" w:cs="仿宋"/>
          <w:b w:val="0"/>
          <w:bCs w:val="0"/>
          <w:color w:val="000000"/>
          <w:kern w:val="0"/>
          <w:sz w:val="32"/>
          <w:szCs w:val="30"/>
        </w:rPr>
        <w:t>差旅费</w:t>
      </w:r>
      <w:r>
        <w:rPr>
          <w:rFonts w:hint="eastAsia" w:ascii="仿宋" w:hAnsi="仿宋" w:eastAsia="仿宋" w:cs="仿宋"/>
          <w:b w:val="0"/>
          <w:bCs w:val="0"/>
          <w:color w:val="000000"/>
          <w:kern w:val="0"/>
          <w:sz w:val="32"/>
          <w:szCs w:val="30"/>
          <w:lang w:eastAsia="zh-CN"/>
        </w:rPr>
        <w:t>、</w:t>
      </w:r>
      <w:r>
        <w:rPr>
          <w:rFonts w:hint="eastAsia" w:ascii="仿宋" w:hAnsi="仿宋" w:eastAsia="仿宋" w:cs="仿宋"/>
          <w:b w:val="0"/>
          <w:bCs w:val="0"/>
          <w:color w:val="000000"/>
          <w:kern w:val="0"/>
          <w:sz w:val="32"/>
          <w:szCs w:val="30"/>
        </w:rPr>
        <w:t>因公出国（境）费用</w:t>
      </w:r>
      <w:r>
        <w:rPr>
          <w:rFonts w:hint="eastAsia" w:ascii="仿宋" w:hAnsi="仿宋" w:eastAsia="仿宋" w:cs="仿宋"/>
          <w:b w:val="0"/>
          <w:bCs w:val="0"/>
          <w:color w:val="000000"/>
          <w:kern w:val="0"/>
          <w:sz w:val="32"/>
          <w:szCs w:val="30"/>
          <w:lang w:eastAsia="zh-CN"/>
        </w:rPr>
        <w:t>、</w:t>
      </w:r>
      <w:r>
        <w:rPr>
          <w:rFonts w:hint="eastAsia" w:ascii="仿宋" w:hAnsi="仿宋" w:eastAsia="仿宋" w:cs="仿宋"/>
          <w:b w:val="0"/>
          <w:bCs w:val="0"/>
          <w:color w:val="000000"/>
          <w:kern w:val="0"/>
          <w:sz w:val="32"/>
          <w:szCs w:val="30"/>
        </w:rPr>
        <w:t>维修（护）费、</w:t>
      </w:r>
      <w:r>
        <w:rPr>
          <w:rFonts w:hint="eastAsia" w:ascii="仿宋" w:hAnsi="仿宋" w:eastAsia="仿宋" w:cs="仿宋"/>
          <w:b w:val="0"/>
          <w:bCs w:val="0"/>
          <w:color w:val="000000"/>
          <w:kern w:val="0"/>
          <w:sz w:val="32"/>
          <w:szCs w:val="30"/>
          <w:lang w:eastAsia="zh-CN"/>
        </w:rPr>
        <w:t>租赁费、</w:t>
      </w:r>
      <w:r>
        <w:rPr>
          <w:rFonts w:hint="eastAsia" w:ascii="仿宋" w:hAnsi="仿宋" w:eastAsia="仿宋" w:cs="仿宋"/>
          <w:b w:val="0"/>
          <w:bCs w:val="0"/>
          <w:color w:val="000000"/>
          <w:kern w:val="0"/>
          <w:sz w:val="32"/>
          <w:szCs w:val="30"/>
        </w:rPr>
        <w:t>会议费、培训费、公务接待费、</w:t>
      </w:r>
      <w:r>
        <w:rPr>
          <w:rFonts w:hint="eastAsia" w:ascii="仿宋" w:hAnsi="仿宋" w:eastAsia="仿宋" w:cs="仿宋"/>
          <w:b w:val="0"/>
          <w:bCs w:val="0"/>
          <w:color w:val="000000"/>
          <w:kern w:val="0"/>
          <w:sz w:val="32"/>
          <w:szCs w:val="30"/>
          <w:lang w:eastAsia="zh-CN"/>
        </w:rPr>
        <w:t>专用材料费、被装购置费、专用燃料费、劳务费、委托业务费</w:t>
      </w:r>
      <w:r>
        <w:rPr>
          <w:rFonts w:hint="eastAsia" w:ascii="仿宋" w:hAnsi="仿宋" w:eastAsia="仿宋" w:cs="仿宋"/>
          <w:b w:val="0"/>
          <w:bCs w:val="0"/>
          <w:color w:val="000000"/>
          <w:kern w:val="0"/>
          <w:sz w:val="32"/>
          <w:szCs w:val="30"/>
        </w:rPr>
        <w:t>、工会经费</w:t>
      </w:r>
      <w:r>
        <w:rPr>
          <w:rFonts w:hint="eastAsia" w:ascii="仿宋" w:hAnsi="仿宋" w:eastAsia="仿宋" w:cs="仿宋"/>
          <w:b w:val="0"/>
          <w:bCs w:val="0"/>
          <w:color w:val="000000"/>
          <w:kern w:val="0"/>
          <w:sz w:val="32"/>
          <w:szCs w:val="30"/>
          <w:lang w:eastAsia="zh-CN"/>
        </w:rPr>
        <w:t>、</w:t>
      </w:r>
      <w:r>
        <w:rPr>
          <w:rFonts w:hint="eastAsia" w:ascii="仿宋" w:hAnsi="仿宋" w:eastAsia="仿宋" w:cs="仿宋"/>
          <w:b w:val="0"/>
          <w:bCs w:val="0"/>
          <w:color w:val="000000"/>
          <w:kern w:val="0"/>
          <w:sz w:val="32"/>
          <w:szCs w:val="30"/>
        </w:rPr>
        <w:t>福利费、公务用车运行维护费、</w:t>
      </w:r>
      <w:r>
        <w:rPr>
          <w:rFonts w:hint="eastAsia" w:ascii="仿宋" w:hAnsi="仿宋" w:eastAsia="仿宋" w:cs="仿宋"/>
          <w:b w:val="0"/>
          <w:bCs w:val="0"/>
          <w:color w:val="000000"/>
          <w:kern w:val="0"/>
          <w:sz w:val="32"/>
          <w:szCs w:val="30"/>
          <w:lang w:eastAsia="zh-CN"/>
        </w:rPr>
        <w:t>其他交通费用、税金及附加费用、</w:t>
      </w:r>
      <w:r>
        <w:rPr>
          <w:rFonts w:hint="eastAsia" w:ascii="仿宋" w:hAnsi="仿宋" w:eastAsia="仿宋" w:cs="仿宋"/>
          <w:b w:val="0"/>
          <w:bCs w:val="0"/>
          <w:color w:val="000000"/>
          <w:kern w:val="0"/>
          <w:sz w:val="32"/>
          <w:szCs w:val="30"/>
        </w:rPr>
        <w:t>其他</w:t>
      </w:r>
      <w:r>
        <w:rPr>
          <w:rFonts w:hint="eastAsia" w:ascii="仿宋" w:hAnsi="仿宋" w:eastAsia="仿宋" w:cs="仿宋"/>
          <w:b w:val="0"/>
          <w:bCs w:val="0"/>
          <w:color w:val="000000"/>
          <w:kern w:val="0"/>
          <w:sz w:val="32"/>
          <w:szCs w:val="30"/>
          <w:lang w:eastAsia="zh-CN"/>
        </w:rPr>
        <w:t>商品和服务支出</w:t>
      </w:r>
      <w:r>
        <w:rPr>
          <w:rFonts w:hint="eastAsia" w:ascii="仿宋" w:hAnsi="仿宋" w:eastAsia="仿宋" w:cs="仿宋"/>
          <w:b w:val="0"/>
          <w:bCs w:val="0"/>
          <w:color w:val="000000"/>
          <w:kern w:val="0"/>
          <w:sz w:val="32"/>
          <w:szCs w:val="30"/>
        </w:rPr>
        <w:t>等。</w:t>
      </w:r>
    </w:p>
    <w:p w14:paraId="69C86DA2">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十、项目支出：指各部门、各单位为完成其特定的工作任务和事业发展目标所发生的支出。</w:t>
      </w:r>
    </w:p>
    <w:p w14:paraId="5459D7C2">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b w:val="0"/>
          <w:bCs w:val="0"/>
          <w:color w:val="000000"/>
          <w:kern w:val="0"/>
          <w:sz w:val="32"/>
          <w:szCs w:val="30"/>
        </w:rPr>
      </w:pPr>
      <w:r>
        <w:rPr>
          <w:rFonts w:hint="eastAsia" w:ascii="仿宋" w:hAnsi="仿宋" w:eastAsia="仿宋" w:cs="仿宋"/>
          <w:b w:val="0"/>
          <w:bCs w:val="0"/>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b w:val="0"/>
          <w:bCs w:val="0"/>
          <w:color w:val="000000"/>
          <w:kern w:val="0"/>
          <w:sz w:val="32"/>
          <w:szCs w:val="30"/>
          <w:lang w:eastAsia="zh-CN"/>
        </w:rPr>
        <w:t>、牌照费</w:t>
      </w:r>
      <w:r>
        <w:rPr>
          <w:rFonts w:hint="eastAsia" w:ascii="仿宋" w:hAnsi="仿宋" w:eastAsia="仿宋" w:cs="仿宋"/>
          <w:b w:val="0"/>
          <w:bCs w:val="0"/>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b w:val="0"/>
          <w:bCs w:val="0"/>
          <w:color w:val="000000"/>
          <w:kern w:val="0"/>
          <w:sz w:val="32"/>
          <w:szCs w:val="30"/>
          <w:lang w:eastAsia="zh-CN"/>
        </w:rPr>
        <w:t>费用等支出</w:t>
      </w:r>
      <w:r>
        <w:rPr>
          <w:rFonts w:hint="eastAsia" w:ascii="仿宋" w:hAnsi="仿宋" w:eastAsia="仿宋" w:cs="仿宋"/>
          <w:b w:val="0"/>
          <w:bCs w:val="0"/>
          <w:color w:val="000000"/>
          <w:kern w:val="0"/>
          <w:sz w:val="32"/>
          <w:szCs w:val="30"/>
        </w:rPr>
        <w:t>。</w:t>
      </w:r>
    </w:p>
    <w:p w14:paraId="3975F329">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ascii="仿宋_GB2312" w:hAnsi="黑体" w:eastAsia="仿宋_GB2312" w:cs="仿宋_GB2312"/>
          <w:b w:val="0"/>
          <w:bCs w:val="0"/>
          <w:sz w:val="32"/>
          <w:szCs w:val="32"/>
        </w:rPr>
      </w:pPr>
      <w:r>
        <w:rPr>
          <w:rFonts w:hint="eastAsia" w:ascii="仿宋" w:hAnsi="仿宋" w:eastAsia="仿宋" w:cs="仿宋"/>
          <w:b w:val="0"/>
          <w:bCs w:val="0"/>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4414E4AD">
      <w:pPr>
        <w:keepNext w:val="0"/>
        <w:keepLines w:val="0"/>
        <w:pageBreakBefore w:val="0"/>
        <w:kinsoku/>
        <w:wordWrap/>
        <w:overflowPunct/>
        <w:topLinePunct w:val="0"/>
        <w:autoSpaceDE/>
        <w:autoSpaceDN/>
        <w:bidi w:val="0"/>
        <w:spacing w:after="0" w:line="560" w:lineRule="exact"/>
        <w:textAlignment w:val="auto"/>
        <w:rPr>
          <w:b w:val="0"/>
          <w:bCs w:val="0"/>
        </w:rPr>
      </w:pPr>
    </w:p>
    <w:sectPr>
      <w:footerReference r:id="rId7" w:type="default"/>
      <w:pgSz w:w="11906" w:h="16838"/>
      <w:pgMar w:top="2098" w:right="1474" w:bottom="1984" w:left="1587" w:header="851" w:footer="158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46F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1705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A7F7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927450">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D927450">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YzcwM2EyNmM0Y2UwMTYzNTRlODc4MmEyNjdjMGUifQ=="/>
  </w:docVars>
  <w:rsids>
    <w:rsidRoot w:val="00D31D50"/>
    <w:rsid w:val="00323B43"/>
    <w:rsid w:val="003D37D8"/>
    <w:rsid w:val="00426133"/>
    <w:rsid w:val="004358AB"/>
    <w:rsid w:val="008B7726"/>
    <w:rsid w:val="00D31D50"/>
    <w:rsid w:val="01306371"/>
    <w:rsid w:val="04694BD5"/>
    <w:rsid w:val="072365A6"/>
    <w:rsid w:val="086E13CF"/>
    <w:rsid w:val="0B057C66"/>
    <w:rsid w:val="1062356D"/>
    <w:rsid w:val="17380414"/>
    <w:rsid w:val="184938AF"/>
    <w:rsid w:val="1924573B"/>
    <w:rsid w:val="1A1B0D43"/>
    <w:rsid w:val="204C2272"/>
    <w:rsid w:val="218208F8"/>
    <w:rsid w:val="22EA7B20"/>
    <w:rsid w:val="23172753"/>
    <w:rsid w:val="24C8689B"/>
    <w:rsid w:val="260333D3"/>
    <w:rsid w:val="29C7418C"/>
    <w:rsid w:val="2C93113F"/>
    <w:rsid w:val="2D7E2B45"/>
    <w:rsid w:val="336A1533"/>
    <w:rsid w:val="35DF4197"/>
    <w:rsid w:val="37D3697D"/>
    <w:rsid w:val="37FC7D66"/>
    <w:rsid w:val="38F82B3F"/>
    <w:rsid w:val="39D73010"/>
    <w:rsid w:val="3CEC29BB"/>
    <w:rsid w:val="3E4B1963"/>
    <w:rsid w:val="3E6447D3"/>
    <w:rsid w:val="3FFD0A3B"/>
    <w:rsid w:val="43433705"/>
    <w:rsid w:val="43B40DF6"/>
    <w:rsid w:val="474437D8"/>
    <w:rsid w:val="4BD4003F"/>
    <w:rsid w:val="4DD54461"/>
    <w:rsid w:val="4EBE1CDD"/>
    <w:rsid w:val="507C62CC"/>
    <w:rsid w:val="5363126C"/>
    <w:rsid w:val="55050666"/>
    <w:rsid w:val="57A81E05"/>
    <w:rsid w:val="58867458"/>
    <w:rsid w:val="5B13045A"/>
    <w:rsid w:val="5C427EF1"/>
    <w:rsid w:val="5C9F4EFC"/>
    <w:rsid w:val="5CC32483"/>
    <w:rsid w:val="5FAC5AD4"/>
    <w:rsid w:val="601B0D3D"/>
    <w:rsid w:val="684F3C7A"/>
    <w:rsid w:val="712340E2"/>
    <w:rsid w:val="73B06FFE"/>
    <w:rsid w:val="73D37975"/>
    <w:rsid w:val="7A4F7B0A"/>
    <w:rsid w:val="7B2965AD"/>
    <w:rsid w:val="7D67516A"/>
    <w:rsid w:val="7FD8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 w:type="paragraph" w:customStyle="1" w:styleId="6">
    <w:name w:val="List Paragraph_8bb30b41-7097-446e-a156-2f1396e1d677"/>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3931</Words>
  <Characters>4288</Characters>
  <Lines>1</Lines>
  <Paragraphs>1</Paragraphs>
  <TotalTime>1</TotalTime>
  <ScaleCrop>false</ScaleCrop>
  <LinksUpToDate>false</LinksUpToDate>
  <CharactersWithSpaces>4310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社会服务</cp:lastModifiedBy>
  <dcterms:modified xsi:type="dcterms:W3CDTF">2025-02-17T03:44:56Z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1EFBA19EB6C540AB8406F28A8E28CAD3_13</vt:lpwstr>
  </property>
  <property fmtid="{D5CDD505-2E9C-101B-9397-08002B2CF9AE}" pid="4" name="KSOTemplateDocerSaveRecord">
    <vt:lpwstr>eyJoZGlkIjoiNGYxYzcwM2EyNmM0Y2UwMTYzNTRlODc4MmEyNjdjMGUifQ==</vt:lpwstr>
  </property>
</Properties>
</file>