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textAlignment w:val="auto"/>
        <w:rPr>
          <w:sz w:val="84"/>
          <w:szCs w:val="84"/>
          <w:u w:val="single"/>
        </w:rPr>
      </w:pPr>
    </w:p>
    <w:p>
      <w:pPr>
        <w:keepNext w:val="0"/>
        <w:keepLines w:val="0"/>
        <w:pageBreakBefore w:val="0"/>
        <w:widowControl w:val="0"/>
        <w:kinsoku/>
        <w:wordWrap w:val="0"/>
        <w:overflowPunct/>
        <w:topLinePunct w:val="0"/>
        <w:autoSpaceDE/>
        <w:autoSpaceDN/>
        <w:bidi w:val="0"/>
        <w:adjustRightInd/>
        <w:snapToGrid/>
        <w:textAlignment w:val="auto"/>
        <w:rPr>
          <w:sz w:val="84"/>
          <w:szCs w:val="84"/>
          <w:u w:val="single"/>
        </w:rPr>
      </w:pPr>
    </w:p>
    <w:p>
      <w:pPr>
        <w:keepNext w:val="0"/>
        <w:keepLines w:val="0"/>
        <w:pageBreakBefore w:val="0"/>
        <w:widowControl w:val="0"/>
        <w:kinsoku/>
        <w:wordWrap w:val="0"/>
        <w:overflowPunct/>
        <w:topLinePunct w:val="0"/>
        <w:autoSpaceDE/>
        <w:autoSpaceDN/>
        <w:bidi w:val="0"/>
        <w:adjustRightInd/>
        <w:snapToGrid/>
        <w:textAlignment w:val="auto"/>
        <w:rPr>
          <w:sz w:val="84"/>
          <w:szCs w:val="84"/>
          <w:u w:val="single"/>
        </w:rPr>
      </w:pPr>
    </w:p>
    <w:p>
      <w:pPr>
        <w:keepNext w:val="0"/>
        <w:keepLines w:val="0"/>
        <w:pageBreakBefore w:val="0"/>
        <w:widowControl w:val="0"/>
        <w:kinsoku/>
        <w:wordWrap w:val="0"/>
        <w:overflowPunct/>
        <w:topLinePunct w:val="0"/>
        <w:autoSpaceDE/>
        <w:autoSpaceDN/>
        <w:bidi w:val="0"/>
        <w:adjustRightInd/>
        <w:snapToGrid/>
        <w:textAlignment w:val="auto"/>
        <w:rPr>
          <w:sz w:val="84"/>
          <w:szCs w:val="84"/>
          <w:u w:val="single"/>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琼海市嘉积镇</w:t>
      </w:r>
      <w:r>
        <w:rPr>
          <w:rFonts w:hint="eastAsia" w:ascii="方正小标宋简体" w:hAnsi="方正小标宋简体" w:eastAsia="方正小标宋简体" w:cs="方正小标宋简体"/>
          <w:sz w:val="52"/>
          <w:szCs w:val="52"/>
        </w:rPr>
        <w:t>部门预算</w:t>
      </w:r>
    </w:p>
    <w:p>
      <w:pPr>
        <w:keepNext w:val="0"/>
        <w:keepLines w:val="0"/>
        <w:pageBreakBefore w:val="0"/>
        <w:widowControl w:val="0"/>
        <w:kinsoku/>
        <w:wordWrap w:val="0"/>
        <w:overflowPunct/>
        <w:topLinePunct w:val="0"/>
        <w:autoSpaceDE/>
        <w:autoSpaceDN/>
        <w:bidi w:val="0"/>
        <w:adjustRightInd/>
        <w:snapToGrid/>
        <w:ind w:firstLine="1680"/>
        <w:jc w:val="center"/>
        <w:textAlignment w:val="auto"/>
        <w:rPr>
          <w:sz w:val="84"/>
          <w:szCs w:val="84"/>
        </w:rPr>
      </w:pPr>
    </w:p>
    <w:p>
      <w:pPr>
        <w:keepNext w:val="0"/>
        <w:keepLines w:val="0"/>
        <w:pageBreakBefore w:val="0"/>
        <w:widowControl w:val="0"/>
        <w:kinsoku/>
        <w:wordWrap w:val="0"/>
        <w:overflowPunct/>
        <w:topLinePunct w:val="0"/>
        <w:autoSpaceDE/>
        <w:autoSpaceDN/>
        <w:bidi w:val="0"/>
        <w:adjustRightInd/>
        <w:snapToGrid/>
        <w:ind w:firstLine="1680"/>
        <w:jc w:val="center"/>
        <w:textAlignment w:val="auto"/>
        <w:rPr>
          <w:sz w:val="84"/>
          <w:szCs w:val="84"/>
        </w:rPr>
      </w:pPr>
    </w:p>
    <w:p>
      <w:pPr>
        <w:keepNext w:val="0"/>
        <w:keepLines w:val="0"/>
        <w:pageBreakBefore w:val="0"/>
        <w:widowControl w:val="0"/>
        <w:kinsoku/>
        <w:wordWrap w:val="0"/>
        <w:overflowPunct/>
        <w:topLinePunct w:val="0"/>
        <w:autoSpaceDE/>
        <w:autoSpaceDN/>
        <w:bidi w:val="0"/>
        <w:adjustRightInd/>
        <w:snapToGrid/>
        <w:ind w:firstLine="1680"/>
        <w:jc w:val="center"/>
        <w:textAlignment w:val="auto"/>
        <w:rPr>
          <w:sz w:val="84"/>
          <w:szCs w:val="84"/>
        </w:rPr>
      </w:pPr>
    </w:p>
    <w:p>
      <w:pPr>
        <w:keepNext w:val="0"/>
        <w:keepLines w:val="0"/>
        <w:pageBreakBefore w:val="0"/>
        <w:widowControl w:val="0"/>
        <w:kinsoku/>
        <w:wordWrap w:val="0"/>
        <w:overflowPunct/>
        <w:topLinePunct w:val="0"/>
        <w:autoSpaceDE/>
        <w:autoSpaceDN/>
        <w:bidi w:val="0"/>
        <w:adjustRightInd/>
        <w:snapToGrid/>
        <w:ind w:firstLine="1680"/>
        <w:jc w:val="center"/>
        <w:textAlignment w:val="auto"/>
        <w:rPr>
          <w:sz w:val="84"/>
          <w:szCs w:val="84"/>
        </w:rPr>
      </w:pPr>
    </w:p>
    <w:p>
      <w:pPr>
        <w:keepNext w:val="0"/>
        <w:keepLines w:val="0"/>
        <w:pageBreakBefore w:val="0"/>
        <w:widowControl w:val="0"/>
        <w:kinsoku/>
        <w:wordWrap w:val="0"/>
        <w:overflowPunct/>
        <w:topLinePunct w:val="0"/>
        <w:autoSpaceDE/>
        <w:autoSpaceDN/>
        <w:bidi w:val="0"/>
        <w:adjustRightInd/>
        <w:snapToGrid/>
        <w:ind w:firstLine="1680"/>
        <w:jc w:val="center"/>
        <w:textAlignment w:val="auto"/>
        <w:rPr>
          <w:sz w:val="84"/>
          <w:szCs w:val="84"/>
        </w:rPr>
      </w:pPr>
    </w:p>
    <w:p>
      <w:pPr>
        <w:keepNext w:val="0"/>
        <w:keepLines w:val="0"/>
        <w:pageBreakBefore w:val="0"/>
        <w:widowControl w:val="0"/>
        <w:kinsoku/>
        <w:wordWrap w:val="0"/>
        <w:overflowPunct/>
        <w:topLinePunct w:val="0"/>
        <w:autoSpaceDE/>
        <w:autoSpaceDN/>
        <w:bidi w:val="0"/>
        <w:adjustRightInd/>
        <w:snapToGrid/>
        <w:textAlignment w:val="auto"/>
        <w:rPr>
          <w:sz w:val="84"/>
          <w:szCs w:val="84"/>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sz w:val="52"/>
          <w:szCs w:val="5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sz w:val="52"/>
          <w:szCs w:val="5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sz w:val="52"/>
          <w:szCs w:val="52"/>
        </w:rPr>
      </w:pPr>
    </w:p>
    <w:p>
      <w:pPr>
        <w:pStyle w:val="5"/>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Chars="0"/>
        <w:jc w:val="left"/>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琼海市嘉积镇部门</w:t>
      </w:r>
      <w:r>
        <w:rPr>
          <w:rFonts w:hint="eastAsia" w:ascii="黑体" w:hAnsi="黑体" w:eastAsia="黑体"/>
          <w:sz w:val="32"/>
          <w:szCs w:val="32"/>
        </w:rPr>
        <w:t>概况</w:t>
      </w:r>
    </w:p>
    <w:p>
      <w:pPr>
        <w:pStyle w:val="5"/>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5"/>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黑体" w:hAnsi="黑体" w:eastAsia="黑体"/>
          <w:sz w:val="32"/>
          <w:szCs w:val="32"/>
        </w:rPr>
        <w:t>部门预算单位构成</w:t>
      </w:r>
    </w:p>
    <w:p>
      <w:pPr>
        <w:pStyle w:val="5"/>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Chars="0"/>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keepNext w:val="0"/>
        <w:keepLines w:val="0"/>
        <w:pageBreakBefore w:val="0"/>
        <w:widowControl w:val="0"/>
        <w:numPr>
          <w:ilvl w:val="0"/>
          <w:numId w:val="3"/>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Chars="0"/>
        <w:jc w:val="left"/>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pStyle w:val="5"/>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Chars="0"/>
        <w:jc w:val="left"/>
        <w:textAlignment w:val="auto"/>
        <w:rPr>
          <w:rFonts w:hint="eastAsia" w:ascii="黑体" w:hAnsi="黑体" w:eastAsia="黑体"/>
          <w:sz w:val="32"/>
          <w:szCs w:val="32"/>
        </w:rPr>
      </w:pPr>
      <w:r>
        <w:rPr>
          <w:rFonts w:hint="eastAsia" w:ascii="黑体" w:hAnsi="黑体" w:eastAsia="黑体"/>
          <w:sz w:val="32"/>
          <w:szCs w:val="32"/>
        </w:rPr>
        <w:t xml:space="preserve">   名词解释</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黑体" w:hAnsi="黑体" w:eastAsia="黑体"/>
          <w:sz w:val="32"/>
          <w:szCs w:val="32"/>
        </w:rPr>
      </w:pPr>
    </w:p>
    <w:p>
      <w:pPr>
        <w:pStyle w:val="5"/>
        <w:keepNext w:val="0"/>
        <w:keepLines w:val="0"/>
        <w:pageBreakBefore w:val="0"/>
        <w:widowControl w:val="0"/>
        <w:numPr>
          <w:ilvl w:val="0"/>
          <w:numId w:val="4"/>
        </w:numPr>
        <w:kinsoku/>
        <w:wordWrap w:val="0"/>
        <w:overflowPunct/>
        <w:topLinePunct w:val="0"/>
        <w:autoSpaceDE/>
        <w:autoSpaceDN/>
        <w:bidi w:val="0"/>
        <w:adjustRightInd/>
        <w:snapToGrid/>
        <w:spacing w:line="578" w:lineRule="exact"/>
        <w:ind w:firstLineChars="0"/>
        <w:jc w:val="center"/>
        <w:textAlignment w:val="auto"/>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keepNext w:val="0"/>
        <w:keepLines w:val="0"/>
        <w:pageBreakBefore w:val="0"/>
        <w:widowControl w:val="0"/>
        <w:numPr>
          <w:ilvl w:val="0"/>
          <w:numId w:val="4"/>
        </w:numPr>
        <w:kinsoku/>
        <w:wordWrap w:val="0"/>
        <w:overflowPunct/>
        <w:topLinePunct w:val="0"/>
        <w:autoSpaceDE/>
        <w:autoSpaceDN/>
        <w:bidi w:val="0"/>
        <w:adjustRightInd/>
        <w:snapToGrid/>
        <w:spacing w:line="578" w:lineRule="exact"/>
        <w:ind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琼海市嘉积镇部门</w:t>
      </w:r>
      <w:r>
        <w:rPr>
          <w:rFonts w:hint="eastAsia" w:ascii="黑体" w:hAnsi="黑体" w:eastAsia="黑体"/>
          <w:sz w:val="32"/>
          <w:szCs w:val="32"/>
        </w:rPr>
        <w:t>概况</w:t>
      </w: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ascii="仿宋_GB2312" w:hAnsi="仿宋_GB2312" w:eastAsia="仿宋_GB2312" w:cs="仿宋_GB2312"/>
          <w:sz w:val="32"/>
          <w:szCs w:val="32"/>
        </w:rPr>
      </w:pPr>
    </w:p>
    <w:p>
      <w:pPr>
        <w:pStyle w:val="5"/>
        <w:keepNext w:val="0"/>
        <w:keepLines w:val="0"/>
        <w:pageBreakBefore w:val="0"/>
        <w:widowControl w:val="0"/>
        <w:numPr>
          <w:ilvl w:val="0"/>
          <w:numId w:val="5"/>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执行本级人民代表大会的决议和上级国家行政机关的决定和命令，发布决定和命令。</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执行本行政区域内的经济和社会发展计划，加强公共设施的建设和管理，发展各项服务事业。</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依法管理本级财政、执行本级预算。</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为农民提供有效的科技、教育、文化、信息、卫生、体育、医疗、人才开发、劳动就业、安全生产等方面的服务。</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保护国有资产和集体所有的财产，保护公民私人所有的合法财产、保障公民的人身权利、民主权利和其他权利，保护各种组织的合法权益。</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开展社会主义民主与法制教育，加强社会治安综合治理，调解民事纠纷，维护社会秩序。</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推行计划生育，控制人口增长，保护妇女、儿童和老人的合法权益。</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负责民政工作，发展社会福利事业，做好社会保障工作，办理兵役事项。</w:t>
      </w:r>
    </w:p>
    <w:p>
      <w:pPr>
        <w:keepNext w:val="0"/>
        <w:keepLines w:val="0"/>
        <w:pageBreakBefore w:val="0"/>
        <w:widowControl w:val="0"/>
        <w:numPr>
          <w:ilvl w:val="0"/>
          <w:numId w:val="6"/>
        </w:numPr>
        <w:kinsoku/>
        <w:wordWrap w:val="0"/>
        <w:overflowPunct/>
        <w:topLinePunct w:val="0"/>
        <w:autoSpaceDE/>
        <w:autoSpaceDN/>
        <w:bidi w:val="0"/>
        <w:adjustRightInd/>
        <w:snapToGrid/>
        <w:ind w:left="1720" w:hanging="1080" w:firstLineChars="0"/>
        <w:jc w:val="left"/>
        <w:textAlignment w:val="auto"/>
        <w:rPr>
          <w:rFonts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承办上级人民政府交办的其他事项。</w:t>
      </w:r>
    </w:p>
    <w:p>
      <w:pPr>
        <w:pStyle w:val="5"/>
        <w:keepNext w:val="0"/>
        <w:keepLines w:val="0"/>
        <w:pageBreakBefore w:val="0"/>
        <w:widowControl w:val="0"/>
        <w:numPr>
          <w:ilvl w:val="0"/>
          <w:numId w:val="5"/>
        </w:numPr>
        <w:kinsoku/>
        <w:wordWrap w:val="0"/>
        <w:overflowPunct/>
        <w:topLinePunct w:val="0"/>
        <w:autoSpaceDE/>
        <w:autoSpaceDN/>
        <w:bidi w:val="0"/>
        <w:adjustRightInd/>
        <w:snapToGrid/>
        <w:spacing w:line="578"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val="0"/>
        <w:kinsoku/>
        <w:wordWrap w:val="0"/>
        <w:overflowPunct/>
        <w:topLinePunct w:val="0"/>
        <w:autoSpaceDE/>
        <w:autoSpaceDN/>
        <w:bidi w:val="0"/>
        <w:adjustRightInd/>
        <w:snapToGrid/>
        <w:ind w:firstLine="800" w:firstLineChars="25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琼海市嘉积镇</w:t>
      </w: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年部门预算编制范围的二级预算单位包括：</w:t>
      </w:r>
    </w:p>
    <w:p>
      <w:pPr>
        <w:pStyle w:val="5"/>
        <w:keepNext w:val="0"/>
        <w:keepLines w:val="0"/>
        <w:pageBreakBefore w:val="0"/>
        <w:widowControl w:val="0"/>
        <w:numPr>
          <w:ilvl w:val="0"/>
          <w:numId w:val="7"/>
        </w:numPr>
        <w:kinsoku/>
        <w:wordWrap w:val="0"/>
        <w:overflowPunct/>
        <w:topLinePunct w:val="0"/>
        <w:autoSpaceDE/>
        <w:autoSpaceDN/>
        <w:bidi w:val="0"/>
        <w:adjustRightInd/>
        <w:snapToGrid/>
        <w:ind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琼海市嘉积镇人民政府本级</w:t>
      </w:r>
    </w:p>
    <w:p>
      <w:pPr>
        <w:pStyle w:val="5"/>
        <w:keepNext w:val="0"/>
        <w:keepLines w:val="0"/>
        <w:pageBreakBefore w:val="0"/>
        <w:widowControl w:val="0"/>
        <w:numPr>
          <w:ilvl w:val="0"/>
          <w:numId w:val="7"/>
        </w:numPr>
        <w:kinsoku/>
        <w:wordWrap w:val="0"/>
        <w:overflowPunct/>
        <w:topLinePunct w:val="0"/>
        <w:autoSpaceDE/>
        <w:autoSpaceDN/>
        <w:bidi w:val="0"/>
        <w:adjustRightInd/>
        <w:snapToGrid/>
        <w:ind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琼海市财政局嘉积财政所</w:t>
      </w:r>
    </w:p>
    <w:p>
      <w:pPr>
        <w:pStyle w:val="5"/>
        <w:keepNext w:val="0"/>
        <w:keepLines w:val="0"/>
        <w:pageBreakBefore w:val="0"/>
        <w:widowControl w:val="0"/>
        <w:numPr>
          <w:ilvl w:val="0"/>
          <w:numId w:val="7"/>
        </w:numPr>
        <w:kinsoku/>
        <w:wordWrap w:val="0"/>
        <w:overflowPunct/>
        <w:topLinePunct w:val="0"/>
        <w:autoSpaceDE/>
        <w:autoSpaceDN/>
        <w:bidi w:val="0"/>
        <w:adjustRightInd/>
        <w:snapToGrid/>
        <w:ind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琼海市嘉积镇社会事务服务中心</w:t>
      </w:r>
    </w:p>
    <w:p>
      <w:pPr>
        <w:pStyle w:val="5"/>
        <w:keepNext w:val="0"/>
        <w:keepLines w:val="0"/>
        <w:pageBreakBefore w:val="0"/>
        <w:widowControl w:val="0"/>
        <w:numPr>
          <w:ilvl w:val="0"/>
          <w:numId w:val="7"/>
        </w:numPr>
        <w:kinsoku/>
        <w:wordWrap w:val="0"/>
        <w:overflowPunct/>
        <w:topLinePunct w:val="0"/>
        <w:autoSpaceDE/>
        <w:autoSpaceDN/>
        <w:bidi w:val="0"/>
        <w:adjustRightInd/>
        <w:snapToGrid/>
        <w:ind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琼海市嘉积镇农业服务中心</w:t>
      </w:r>
    </w:p>
    <w:p>
      <w:pPr>
        <w:pStyle w:val="5"/>
        <w:keepNext w:val="0"/>
        <w:keepLines w:val="0"/>
        <w:pageBreakBefore w:val="0"/>
        <w:widowControl w:val="0"/>
        <w:numPr>
          <w:ilvl w:val="0"/>
          <w:numId w:val="7"/>
        </w:numPr>
        <w:kinsoku/>
        <w:wordWrap w:val="0"/>
        <w:overflowPunct/>
        <w:topLinePunct w:val="0"/>
        <w:autoSpaceDE/>
        <w:autoSpaceDN/>
        <w:bidi w:val="0"/>
        <w:adjustRightInd/>
        <w:snapToGrid/>
        <w:ind w:firstLineChars="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琼海市嘉积镇综合行政执法中队</w:t>
      </w: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仿宋" w:hAnsi="仿宋" w:eastAsia="仿宋" w:cs="仿宋"/>
          <w:b/>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仿宋" w:hAnsi="仿宋" w:eastAsia="仿宋" w:cs="仿宋"/>
          <w:b/>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ascii="仿宋_GB2312" w:hAnsi="黑体" w:eastAsia="仿宋_GB2312"/>
          <w:b/>
          <w:sz w:val="32"/>
          <w:szCs w:val="32"/>
        </w:rPr>
      </w:pPr>
      <w:r>
        <w:rPr>
          <w:rFonts w:hint="eastAsia" w:ascii="仿宋" w:hAnsi="仿宋" w:eastAsia="仿宋" w:cs="仿宋"/>
          <w:b/>
          <w:sz w:val="32"/>
          <w:szCs w:val="32"/>
        </w:rPr>
        <w:t>（此部分内容为部门预算表</w:t>
      </w:r>
      <w:r>
        <w:rPr>
          <w:rFonts w:hint="eastAsia" w:ascii="仿宋" w:hAnsi="仿宋" w:eastAsia="仿宋" w:cs="仿宋"/>
          <w:b/>
          <w:sz w:val="32"/>
          <w:szCs w:val="32"/>
          <w:lang w:eastAsia="zh-CN"/>
        </w:rPr>
        <w:t>，具体详见附件</w:t>
      </w:r>
      <w:r>
        <w:rPr>
          <w:rFonts w:hint="eastAsia" w:ascii="仿宋" w:hAnsi="仿宋" w:eastAsia="仿宋" w:cs="仿宋"/>
          <w:b/>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textAlignment w:val="auto"/>
        <w:rPr>
          <w:rFonts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both"/>
        <w:textAlignment w:val="auto"/>
        <w:rPr>
          <w:rFonts w:hint="eastAsia" w:ascii="黑体" w:hAnsi="黑体" w:eastAsia="黑体"/>
          <w:sz w:val="32"/>
          <w:szCs w:val="32"/>
        </w:rPr>
      </w:pPr>
    </w:p>
    <w:p>
      <w:pPr>
        <w:keepNext w:val="0"/>
        <w:keepLines w:val="0"/>
        <w:pageBreakBefore w:val="0"/>
        <w:widowControl w:val="0"/>
        <w:numPr>
          <w:ilvl w:val="-1"/>
          <w:numId w:val="0"/>
        </w:numPr>
        <w:kinsoku/>
        <w:wordWrap w:val="0"/>
        <w:overflowPunct/>
        <w:topLinePunct w:val="0"/>
        <w:autoSpaceDE/>
        <w:autoSpaceDN/>
        <w:bidi w:val="0"/>
        <w:adjustRightInd/>
        <w:snapToGrid/>
        <w:spacing w:line="578"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琼海市嘉积镇</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12453.50万元。其中，收入总计12453.50万元，包括一般公共预算本年收入7802.47万元、上年结转800.88万元，政府性基金预算本年收入3306.49万元、上年结转543.66万元；支出总计12453.50万元，包括一般公共服务支出2464.18万元、文化旅游体育与传媒支出188.64万元、社会保障和就业支出713.58万元、卫生健康支出388.84</w:t>
      </w:r>
      <w:r>
        <w:rPr>
          <w:rFonts w:hint="eastAsia" w:ascii="仿宋" w:hAnsi="仿宋" w:eastAsia="仿宋" w:cs="仿宋"/>
          <w:sz w:val="32"/>
          <w:szCs w:val="32"/>
          <w:lang w:eastAsia="zh-CN"/>
        </w:rPr>
        <w:t>万元、节能环保支出</w:t>
      </w:r>
      <w:r>
        <w:rPr>
          <w:rFonts w:hint="eastAsia" w:ascii="仿宋" w:hAnsi="仿宋" w:eastAsia="仿宋" w:cs="仿宋"/>
          <w:sz w:val="32"/>
          <w:szCs w:val="32"/>
          <w:lang w:val="en-US" w:eastAsia="zh-CN"/>
        </w:rPr>
        <w:t>4.00万元、城乡社区支出4634.31万元、农林水支出3823.34万元、住房保障支出236.61万元</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琼海市嘉积镇</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年一般公共预算当年拨款8603.35万元，比上年预算数减少</w:t>
      </w:r>
      <w:r>
        <w:rPr>
          <w:rFonts w:hint="eastAsia" w:ascii="仿宋" w:hAnsi="仿宋" w:eastAsia="仿宋" w:cs="仿宋"/>
          <w:sz w:val="32"/>
          <w:szCs w:val="32"/>
          <w:lang w:val="en-US" w:eastAsia="zh-CN"/>
        </w:rPr>
        <w:t>1513.43</w:t>
      </w:r>
      <w:r>
        <w:rPr>
          <w:rFonts w:hint="eastAsia" w:ascii="仿宋" w:hAnsi="仿宋" w:eastAsia="仿宋" w:cs="仿宋"/>
          <w:sz w:val="32"/>
          <w:szCs w:val="32"/>
        </w:rPr>
        <w:t>万元，主要是</w:t>
      </w:r>
      <w:r>
        <w:rPr>
          <w:rFonts w:hint="eastAsia" w:ascii="仿宋_GB2312" w:hAnsi="黑体" w:eastAsia="仿宋_GB2312"/>
          <w:sz w:val="32"/>
          <w:szCs w:val="32"/>
          <w:lang w:eastAsia="zh-CN"/>
        </w:rPr>
        <w:t>资金性质调整，政府性基金预算增加。</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val="0"/>
        <w:overflowPunct/>
        <w:topLinePunct w:val="0"/>
        <w:autoSpaceDE/>
        <w:autoSpaceDN/>
        <w:bidi w:val="0"/>
        <w:adjustRightInd/>
        <w:snapToGrid/>
        <w:spacing w:line="578"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一般公共服务（类）支出2464.18万元，占</w:t>
      </w:r>
      <w:r>
        <w:rPr>
          <w:rFonts w:hint="eastAsia" w:ascii="仿宋" w:hAnsi="仿宋" w:eastAsia="仿宋" w:cs="仿宋"/>
          <w:sz w:val="32"/>
          <w:szCs w:val="32"/>
          <w:lang w:val="en-US" w:eastAsia="zh-CN"/>
        </w:rPr>
        <w:t>28.64</w:t>
      </w:r>
      <w:r>
        <w:rPr>
          <w:rFonts w:hint="eastAsia" w:ascii="仿宋" w:hAnsi="仿宋" w:eastAsia="仿宋" w:cs="仿宋"/>
          <w:sz w:val="32"/>
          <w:szCs w:val="32"/>
        </w:rPr>
        <w:t>%；文化旅游体育与传媒（类）支出188.64万元，占</w:t>
      </w:r>
      <w:r>
        <w:rPr>
          <w:rFonts w:hint="eastAsia" w:ascii="仿宋" w:hAnsi="仿宋" w:eastAsia="仿宋" w:cs="仿宋"/>
          <w:sz w:val="32"/>
          <w:szCs w:val="32"/>
          <w:lang w:val="en-US" w:eastAsia="zh-CN"/>
        </w:rPr>
        <w:t>2.19</w:t>
      </w:r>
      <w:r>
        <w:rPr>
          <w:rFonts w:hint="eastAsia" w:ascii="仿宋" w:hAnsi="仿宋" w:eastAsia="仿宋" w:cs="仿宋"/>
          <w:sz w:val="32"/>
          <w:szCs w:val="32"/>
        </w:rPr>
        <w:t>%；社会保障和就业支出（类）支出713.58万元，占</w:t>
      </w:r>
      <w:r>
        <w:rPr>
          <w:rFonts w:hint="eastAsia" w:ascii="仿宋" w:hAnsi="仿宋" w:eastAsia="仿宋" w:cs="仿宋"/>
          <w:sz w:val="32"/>
          <w:szCs w:val="32"/>
          <w:lang w:val="en-US" w:eastAsia="zh-CN"/>
        </w:rPr>
        <w:t>8.29</w:t>
      </w:r>
      <w:r>
        <w:rPr>
          <w:rFonts w:hint="eastAsia" w:ascii="仿宋" w:hAnsi="仿宋" w:eastAsia="仿宋" w:cs="仿宋"/>
          <w:sz w:val="32"/>
          <w:szCs w:val="32"/>
        </w:rPr>
        <w:t>%；卫生健康（类）支出388.84万元，占</w:t>
      </w:r>
      <w:r>
        <w:rPr>
          <w:rFonts w:hint="eastAsia" w:ascii="仿宋" w:hAnsi="仿宋" w:eastAsia="仿宋" w:cs="仿宋"/>
          <w:sz w:val="32"/>
          <w:szCs w:val="32"/>
          <w:lang w:val="en-US" w:eastAsia="zh-CN"/>
        </w:rPr>
        <w:t>4.52</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4.00</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城乡社区（类）支出784.16万元，占</w:t>
      </w:r>
      <w:r>
        <w:rPr>
          <w:rFonts w:hint="eastAsia" w:ascii="仿宋" w:hAnsi="仿宋" w:eastAsia="仿宋" w:cs="仿宋"/>
          <w:sz w:val="32"/>
          <w:szCs w:val="32"/>
          <w:lang w:val="en-US" w:eastAsia="zh-CN"/>
        </w:rPr>
        <w:t>9.11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农林水支出（类）支出3823.34万元，占</w:t>
      </w:r>
      <w:r>
        <w:rPr>
          <w:rFonts w:hint="eastAsia" w:ascii="仿宋" w:hAnsi="仿宋" w:eastAsia="仿宋" w:cs="仿宋"/>
          <w:sz w:val="32"/>
          <w:szCs w:val="32"/>
          <w:lang w:val="en-US" w:eastAsia="zh-CN"/>
        </w:rPr>
        <w:t>44.44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236.61</w:t>
      </w:r>
      <w:r>
        <w:rPr>
          <w:rFonts w:hint="eastAsia" w:ascii="仿宋" w:hAnsi="仿宋" w:eastAsia="仿宋" w:cs="仿宋"/>
          <w:sz w:val="32"/>
          <w:szCs w:val="32"/>
        </w:rPr>
        <w:t>万元，占</w:t>
      </w:r>
      <w:r>
        <w:rPr>
          <w:rFonts w:hint="eastAsia" w:ascii="仿宋" w:hAnsi="仿宋" w:eastAsia="仿宋" w:cs="仿宋"/>
          <w:sz w:val="32"/>
          <w:szCs w:val="32"/>
          <w:lang w:val="en-US" w:eastAsia="zh-CN"/>
        </w:rPr>
        <w:t>2.75</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1.一般公共服务（类）政府办公厅（室）及相关机构事务（款）行政运行（项）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年预算数为1298.79万元，比上年预算数增加</w:t>
      </w:r>
      <w:r>
        <w:rPr>
          <w:rFonts w:hint="eastAsia" w:ascii="仿宋" w:hAnsi="仿宋" w:eastAsia="仿宋" w:cs="仿宋"/>
          <w:sz w:val="32"/>
          <w:szCs w:val="32"/>
          <w:lang w:val="en-US" w:eastAsia="zh-CN"/>
        </w:rPr>
        <w:t>1.51</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琼海市</w:t>
      </w:r>
      <w:r>
        <w:rPr>
          <w:rFonts w:hint="eastAsia" w:ascii="仿宋" w:hAnsi="仿宋" w:eastAsia="仿宋" w:cs="仿宋"/>
          <w:sz w:val="32"/>
          <w:szCs w:val="32"/>
        </w:rPr>
        <w:t>嘉积镇人民政府增人增资。</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一般公共服务（类）政府办公厅（室）及相关机构事务（款）其他政府办公厅（室）及相关机构事务支出（项）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年预算数为952.88万元，比上年预算数减少</w:t>
      </w:r>
      <w:r>
        <w:rPr>
          <w:rFonts w:hint="eastAsia" w:ascii="仿宋" w:hAnsi="仿宋" w:eastAsia="仿宋" w:cs="仿宋"/>
          <w:sz w:val="32"/>
          <w:szCs w:val="32"/>
          <w:lang w:val="en-US" w:eastAsia="zh-CN"/>
        </w:rPr>
        <w:t>193.22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琼海市</w:t>
      </w:r>
      <w:r>
        <w:rPr>
          <w:rFonts w:hint="eastAsia" w:ascii="仿宋" w:hAnsi="仿宋" w:eastAsia="仿宋" w:cs="仿宋"/>
          <w:sz w:val="32"/>
          <w:szCs w:val="32"/>
        </w:rPr>
        <w:t>嘉积镇人民政府</w:t>
      </w:r>
      <w:r>
        <w:rPr>
          <w:rFonts w:hint="eastAsia" w:ascii="仿宋_GB2312" w:hAnsi="黑体" w:eastAsia="仿宋_GB2312"/>
          <w:sz w:val="32"/>
          <w:szCs w:val="32"/>
          <w:lang w:val="en-US" w:eastAsia="zh-CN"/>
        </w:rPr>
        <w:t>及职工食堂经费减少。</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一般公共服务（类）财政事务（款）行政运行（项）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年预算数为192.26万元，比上年预算数减少</w:t>
      </w:r>
      <w:r>
        <w:rPr>
          <w:rFonts w:hint="eastAsia" w:ascii="仿宋" w:hAnsi="仿宋" w:eastAsia="仿宋" w:cs="仿宋"/>
          <w:sz w:val="32"/>
          <w:szCs w:val="32"/>
          <w:lang w:val="en-US" w:eastAsia="zh-CN"/>
        </w:rPr>
        <w:t>42.24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琼海市财政局嘉积财政所人员经费减少。</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一般公共服务（类）财政事务（款）其他财政事务支出（项）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年预算数为18.75万元，比上年预算数减少</w:t>
      </w:r>
      <w:r>
        <w:rPr>
          <w:rFonts w:hint="eastAsia" w:ascii="仿宋" w:hAnsi="仿宋" w:eastAsia="仿宋" w:cs="仿宋"/>
          <w:sz w:val="32"/>
          <w:szCs w:val="32"/>
          <w:lang w:val="en-US" w:eastAsia="zh-CN"/>
        </w:rPr>
        <w:t>38.75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琼海市财政局嘉积财政所</w:t>
      </w:r>
      <w:r>
        <w:rPr>
          <w:rFonts w:hint="eastAsia" w:ascii="仿宋_GB2312" w:hAnsi="黑体" w:eastAsia="仿宋_GB2312"/>
          <w:sz w:val="32"/>
          <w:szCs w:val="32"/>
          <w:lang w:val="en-US" w:eastAsia="zh-CN"/>
        </w:rPr>
        <w:t>聘用人员工资及福利支出以及财政业务费减少。</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w:t>
      </w:r>
      <w:r>
        <w:rPr>
          <w:rFonts w:hint="eastAsia" w:ascii="仿宋" w:hAnsi="仿宋" w:eastAsia="仿宋" w:cs="仿宋"/>
          <w:color w:val="auto"/>
          <w:sz w:val="32"/>
          <w:szCs w:val="32"/>
        </w:rPr>
        <w:t>一般公共服务</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（类）统战事务（款）华侨事务（项）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w:t>
      </w:r>
      <w:r>
        <w:rPr>
          <w:rFonts w:hint="eastAsia" w:ascii="仿宋_GB2312" w:hAnsi="黑体" w:eastAsia="仿宋_GB2312"/>
          <w:sz w:val="32"/>
          <w:szCs w:val="32"/>
          <w:lang w:val="en-US" w:eastAsia="zh-CN"/>
        </w:rPr>
        <w:t>用于</w:t>
      </w:r>
      <w:r>
        <w:rPr>
          <w:rFonts w:hint="eastAsia" w:ascii="仿宋" w:hAnsi="仿宋" w:eastAsia="仿宋" w:cs="仿宋"/>
          <w:sz w:val="32"/>
          <w:szCs w:val="32"/>
          <w:lang w:val="en-US" w:eastAsia="zh-CN"/>
        </w:rPr>
        <w:t>安排</w:t>
      </w:r>
      <w:r>
        <w:rPr>
          <w:rFonts w:hint="eastAsia" w:ascii="仿宋" w:hAnsi="仿宋" w:eastAsia="仿宋" w:cs="仿宋"/>
          <w:sz w:val="32"/>
          <w:szCs w:val="32"/>
        </w:rPr>
        <w:t>华侨事务</w:t>
      </w:r>
      <w:r>
        <w:rPr>
          <w:rFonts w:hint="eastAsia" w:ascii="仿宋" w:hAnsi="仿宋" w:eastAsia="仿宋" w:cs="仿宋"/>
          <w:sz w:val="32"/>
          <w:szCs w:val="32"/>
          <w:lang w:val="en-US" w:eastAsia="zh-CN"/>
        </w:rPr>
        <w:t>支出</w:t>
      </w:r>
      <w:r>
        <w:rPr>
          <w:rFonts w:hint="eastAsia" w:ascii="仿宋_GB2312" w:hAnsi="黑体" w:eastAsia="仿宋_GB2312"/>
          <w:color w:val="auto"/>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文化旅游体育与传媒支出（类）其他文化旅游体育与传媒支出（款）其他文化旅游体育与传媒支出（项）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年预算数为188.64万元，比上年预算数减少</w:t>
      </w:r>
      <w:r>
        <w:rPr>
          <w:rFonts w:hint="eastAsia" w:ascii="仿宋" w:hAnsi="仿宋" w:eastAsia="仿宋" w:cs="仿宋"/>
          <w:sz w:val="32"/>
          <w:szCs w:val="32"/>
          <w:lang w:val="en-US" w:eastAsia="zh-CN"/>
        </w:rPr>
        <w:t>23.96</w:t>
      </w:r>
      <w:r>
        <w:rPr>
          <w:rFonts w:hint="eastAsia" w:ascii="仿宋" w:hAnsi="仿宋" w:eastAsia="仿宋" w:cs="仿宋"/>
          <w:sz w:val="32"/>
          <w:szCs w:val="32"/>
        </w:rPr>
        <w:t>万元，主要是主要是琼海市嘉积镇社会事务服务中心</w:t>
      </w:r>
      <w:r>
        <w:rPr>
          <w:rFonts w:hint="eastAsia" w:ascii="仿宋" w:hAnsi="仿宋" w:eastAsia="仿宋" w:cs="仿宋"/>
          <w:sz w:val="32"/>
          <w:szCs w:val="32"/>
          <w:lang w:eastAsia="zh-CN"/>
        </w:rPr>
        <w:t>项目支出减少</w:t>
      </w:r>
      <w:r>
        <w:rPr>
          <w:rFonts w:hint="eastAsia" w:ascii="仿宋_GB2312" w:hAnsi="黑体" w:eastAsia="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社会保障和就业支出（类）行政事业单位养老支出（款）行政单位离退休（项）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15.71</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0.24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主要是人员增</w:t>
      </w:r>
      <w:r>
        <w:rPr>
          <w:rFonts w:hint="eastAsia" w:ascii="仿宋" w:hAnsi="仿宋" w:eastAsia="仿宋" w:cs="仿宋"/>
          <w:color w:val="auto"/>
          <w:sz w:val="32"/>
          <w:szCs w:val="32"/>
        </w:rPr>
        <w:t>资</w:t>
      </w:r>
      <w:r>
        <w:rPr>
          <w:rFonts w:hint="eastAsia" w:ascii="仿宋_GB2312" w:hAnsi="黑体" w:eastAsia="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237.56</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8.94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主要是人员减少</w:t>
      </w:r>
      <w:r>
        <w:rPr>
          <w:rFonts w:hint="eastAsia" w:ascii="仿宋_GB2312" w:hAnsi="黑体" w:eastAsia="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 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230.98</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1.32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主要是人员增资。</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社会保障和就业支出（类）抚恤（款）其他优抚支出（项）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27.3</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3.98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 w:hAnsi="仿宋" w:eastAsia="仿宋" w:cs="仿宋"/>
          <w:sz w:val="32"/>
          <w:szCs w:val="32"/>
          <w:highlight w:val="none"/>
        </w:rPr>
        <w:t>主要是</w:t>
      </w:r>
      <w:r>
        <w:rPr>
          <w:rFonts w:hint="eastAsia" w:ascii="仿宋_GB2312" w:hAnsi="黑体" w:eastAsia="仿宋_GB2312"/>
          <w:sz w:val="32"/>
          <w:szCs w:val="32"/>
          <w:highlight w:val="none"/>
          <w:lang w:eastAsia="zh-CN"/>
        </w:rPr>
        <w:t>人员减少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 社会保障和就业支出（类）社会福利（款）养老服务（项）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186.54</w:t>
      </w:r>
      <w:r>
        <w:rPr>
          <w:rFonts w:hint="eastAsia" w:ascii="仿宋" w:hAnsi="仿宋" w:eastAsia="仿宋" w:cs="仿宋"/>
          <w:sz w:val="32"/>
          <w:szCs w:val="32"/>
        </w:rPr>
        <w:t>万元，</w:t>
      </w:r>
      <w:r>
        <w:rPr>
          <w:rFonts w:hint="eastAsia" w:ascii="仿宋" w:hAnsi="仿宋" w:eastAsia="仿宋" w:cs="仿宋"/>
          <w:color w:val="auto"/>
          <w:sz w:val="32"/>
          <w:szCs w:val="32"/>
        </w:rPr>
        <w:t>新增会计科目，与上年无单独对应科目，无法对比，主要是</w:t>
      </w:r>
      <w:r>
        <w:rPr>
          <w:rFonts w:hint="eastAsia" w:ascii="仿宋" w:hAnsi="仿宋" w:eastAsia="仿宋" w:cs="仿宋"/>
          <w:color w:val="auto"/>
          <w:sz w:val="32"/>
          <w:szCs w:val="32"/>
          <w:lang w:val="en-US" w:eastAsia="zh-CN"/>
        </w:rPr>
        <w:t>用于安排敬老院管理资金</w:t>
      </w:r>
      <w:r>
        <w:rPr>
          <w:rFonts w:hint="eastAsia" w:ascii="仿宋" w:hAnsi="仿宋" w:eastAsia="仿宋" w:cs="仿宋"/>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w:t>
      </w:r>
      <w:r>
        <w:rPr>
          <w:rFonts w:hint="eastAsia" w:ascii="仿宋" w:hAnsi="仿宋" w:eastAsia="仿宋" w:cs="仿宋"/>
          <w:color w:val="auto"/>
          <w:sz w:val="32"/>
          <w:szCs w:val="32"/>
        </w:rPr>
        <w:t>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（类）残疾人事业（款）残疾人生活和护理补贴（项）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0.5</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贫困重度残疾人照护服务</w:t>
      </w:r>
      <w:r>
        <w:rPr>
          <w:rFonts w:hint="eastAsia" w:ascii="仿宋" w:hAnsi="仿宋" w:eastAsia="仿宋" w:cs="仿宋"/>
          <w:color w:val="auto"/>
          <w:sz w:val="32"/>
          <w:szCs w:val="32"/>
          <w:lang w:val="en-US" w:eastAsia="zh-CN"/>
        </w:rPr>
        <w:t>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 </w:t>
      </w:r>
      <w:r>
        <w:rPr>
          <w:rFonts w:hint="eastAsia" w:ascii="仿宋" w:hAnsi="仿宋" w:eastAsia="仿宋" w:cs="仿宋"/>
          <w:color w:val="auto"/>
          <w:sz w:val="32"/>
          <w:szCs w:val="32"/>
        </w:rPr>
        <w:t>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（类）临时救助（款）临时救助支出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（类）基层医疗卫生机构（款）其他基层医疗卫生机构支出（项）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22.71</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结转</w:t>
      </w:r>
      <w:r>
        <w:rPr>
          <w:rFonts w:hint="eastAsia" w:ascii="仿宋" w:hAnsi="仿宋" w:eastAsia="仿宋" w:cs="仿宋"/>
          <w:color w:val="auto"/>
          <w:sz w:val="32"/>
          <w:szCs w:val="32"/>
        </w:rPr>
        <w:t>卫生健康发展专项资金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（类）公共卫生（款）基本公共卫生服务（项）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结转</w:t>
      </w:r>
      <w:r>
        <w:rPr>
          <w:rFonts w:hint="eastAsia" w:ascii="仿宋" w:hAnsi="仿宋" w:eastAsia="仿宋" w:cs="仿宋"/>
          <w:color w:val="auto"/>
          <w:sz w:val="32"/>
          <w:szCs w:val="32"/>
        </w:rPr>
        <w:t>基本公共卫生服务资金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（类）计划生育事务（款）计划生育服务（项）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lang w:eastAsia="zh-CN"/>
        </w:rPr>
        <w:t>独生子女补贴。</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（类）行政事业单位医疗（款）行政单位医疗（项）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61.97</w:t>
      </w:r>
      <w:r>
        <w:rPr>
          <w:rFonts w:hint="eastAsia" w:ascii="仿宋" w:hAnsi="仿宋" w:eastAsia="仿宋" w:cs="仿宋"/>
          <w:color w:val="auto"/>
          <w:sz w:val="32"/>
          <w:szCs w:val="32"/>
        </w:rPr>
        <w:t>万元</w:t>
      </w:r>
      <w:r>
        <w:rPr>
          <w:rFonts w:hint="eastAsia" w:ascii="仿宋" w:hAnsi="仿宋" w:eastAsia="仿宋" w:cs="仿宋"/>
          <w:sz w:val="32"/>
          <w:szCs w:val="32"/>
        </w:rPr>
        <w:t>，</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24.78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_GB2312" w:hAnsi="黑体" w:eastAsia="仿宋_GB2312"/>
          <w:sz w:val="32"/>
          <w:szCs w:val="32"/>
          <w:highlight w:val="none"/>
          <w:lang w:eastAsia="zh-CN"/>
        </w:rPr>
        <w:t>人员减少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（类）行政事业单位医疗（款）</w:t>
      </w:r>
      <w:r>
        <w:rPr>
          <w:rFonts w:hint="eastAsia" w:ascii="仿宋" w:hAnsi="仿宋" w:eastAsia="仿宋" w:cs="仿宋"/>
          <w:sz w:val="32"/>
          <w:szCs w:val="32"/>
        </w:rPr>
        <w:t>事业单位医疗（项）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22.29</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5.36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_GB2312" w:hAnsi="黑体" w:eastAsia="仿宋_GB2312"/>
          <w:sz w:val="32"/>
          <w:szCs w:val="32"/>
          <w:highlight w:val="none"/>
          <w:lang w:eastAsia="zh-CN"/>
        </w:rPr>
        <w:t>人员减少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 xml:space="preserve">. </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（类）行政事业单位医疗（款）</w:t>
      </w:r>
      <w:r>
        <w:rPr>
          <w:rFonts w:hint="eastAsia" w:ascii="仿宋" w:hAnsi="仿宋" w:eastAsia="仿宋" w:cs="仿宋"/>
          <w:sz w:val="32"/>
          <w:szCs w:val="32"/>
        </w:rPr>
        <w:t>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280.27</w:t>
      </w:r>
      <w:r>
        <w:rPr>
          <w:rFonts w:hint="eastAsia" w:ascii="仿宋" w:hAnsi="仿宋" w:eastAsia="仿宋" w:cs="仿宋"/>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4.21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_GB2312" w:hAnsi="黑体" w:eastAsia="仿宋_GB2312"/>
          <w:sz w:val="32"/>
          <w:szCs w:val="32"/>
          <w:highlight w:val="none"/>
          <w:lang w:eastAsia="zh-CN"/>
        </w:rPr>
        <w:t>人员增资</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w:t>
      </w:r>
      <w:r>
        <w:rPr>
          <w:rFonts w:hint="eastAsia" w:ascii="仿宋" w:hAnsi="仿宋" w:eastAsia="仿宋" w:cs="仿宋"/>
          <w:color w:val="auto"/>
          <w:sz w:val="32"/>
          <w:szCs w:val="32"/>
        </w:rPr>
        <w:t>节能环保</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（类）自然生态保护（款）生态保护（项）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用于生态护林员补贴</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 </w:t>
      </w:r>
      <w:r>
        <w:rPr>
          <w:rFonts w:hint="eastAsia" w:ascii="仿宋" w:hAnsi="仿宋" w:eastAsia="仿宋" w:cs="仿宋"/>
          <w:color w:val="auto"/>
          <w:sz w:val="32"/>
          <w:szCs w:val="32"/>
        </w:rPr>
        <w:t>城乡社区支出（类）城乡社区管理事务（款）城管执法（项）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62.56</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13.53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sz w:val="32"/>
          <w:szCs w:val="32"/>
        </w:rPr>
        <w:t>主要是人员增资。</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 </w:t>
      </w:r>
      <w:r>
        <w:rPr>
          <w:rFonts w:hint="eastAsia" w:ascii="仿宋" w:hAnsi="仿宋" w:eastAsia="仿宋" w:cs="仿宋"/>
          <w:color w:val="auto"/>
          <w:sz w:val="32"/>
          <w:szCs w:val="32"/>
        </w:rPr>
        <w:t>城乡社区支出（类）城乡社区管理事务（款）其他城乡社区管理事务支出（项）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35.2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28.76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用于琼海市嘉积镇执法中队后勤保障服务支出</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 xml:space="preserve">. </w:t>
      </w:r>
      <w:r>
        <w:rPr>
          <w:rFonts w:hint="eastAsia" w:ascii="仿宋" w:hAnsi="仿宋" w:eastAsia="仿宋" w:cs="仿宋"/>
          <w:color w:val="auto"/>
          <w:sz w:val="32"/>
          <w:szCs w:val="32"/>
        </w:rPr>
        <w:t>城乡社区支出（类）城乡社区公共设施（款）小城镇基础设施建设（项）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536.40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1179.6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年初安排项目不同，造成金额减少。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24</w:t>
      </w:r>
      <w:r>
        <w:rPr>
          <w:rFonts w:hint="eastAsia" w:ascii="仿宋" w:hAnsi="仿宋" w:eastAsia="仿宋" w:cs="仿宋"/>
          <w:sz w:val="32"/>
          <w:szCs w:val="32"/>
        </w:rPr>
        <w:t xml:space="preserve">. </w:t>
      </w:r>
      <w:r>
        <w:rPr>
          <w:rFonts w:hint="eastAsia" w:ascii="仿宋" w:hAnsi="仿宋" w:eastAsia="仿宋" w:cs="仿宋"/>
          <w:color w:val="auto"/>
          <w:sz w:val="32"/>
          <w:szCs w:val="32"/>
        </w:rPr>
        <w:t>城乡社区支出（类）其他城乡社区支出（款）其他城乡社区支出（项）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150.00</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主要是用于</w:t>
      </w:r>
      <w:r>
        <w:rPr>
          <w:rFonts w:hint="eastAsia" w:ascii="仿宋" w:hAnsi="仿宋" w:eastAsia="仿宋" w:cs="仿宋"/>
          <w:color w:val="auto"/>
          <w:sz w:val="32"/>
          <w:szCs w:val="32"/>
        </w:rPr>
        <w:t>博鳌亚洲论坛年会</w:t>
      </w:r>
      <w:r>
        <w:rPr>
          <w:rFonts w:hint="eastAsia" w:ascii="仿宋" w:hAnsi="仿宋" w:eastAsia="仿宋" w:cs="仿宋"/>
          <w:color w:val="auto"/>
          <w:sz w:val="32"/>
          <w:szCs w:val="32"/>
          <w:lang w:eastAsia="zh-CN"/>
        </w:rPr>
        <w:t>支出。</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农林水支出（类）农业农村（款）事业运行（项）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265.66</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25.71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sz w:val="32"/>
          <w:szCs w:val="32"/>
        </w:rPr>
        <w:t>主要是</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员</w:t>
      </w:r>
      <w:r>
        <w:rPr>
          <w:rFonts w:hint="eastAsia" w:ascii="仿宋" w:hAnsi="仿宋" w:eastAsia="仿宋" w:cs="仿宋"/>
          <w:sz w:val="32"/>
          <w:szCs w:val="32"/>
        </w:rPr>
        <w:t>增资</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26</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农林水支出（类）农业农村（款）耕地建设与利用（项）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141.67</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117.05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，主要是上年结转</w:t>
      </w:r>
      <w:r>
        <w:rPr>
          <w:rFonts w:hint="eastAsia" w:ascii="仿宋" w:hAnsi="仿宋" w:eastAsia="仿宋" w:cs="仿宋"/>
          <w:color w:val="auto"/>
          <w:sz w:val="32"/>
          <w:szCs w:val="32"/>
        </w:rPr>
        <w:t>非粮化清理整治工作经费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27</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农林水支出（类）农业农村（款）其他农业农村支出（项）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27.78</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653.31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，主要是资金性质调整，增加政府性资金预算。</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28</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农林水支出（类）水利（款）其他水利支出（项）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72.22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sz w:val="32"/>
          <w:szCs w:val="32"/>
        </w:rPr>
        <w:t>主要是</w:t>
      </w:r>
      <w:r>
        <w:rPr>
          <w:rFonts w:hint="eastAsia" w:ascii="仿宋_GB2312" w:hAnsi="黑体" w:eastAsia="仿宋_GB2312"/>
          <w:sz w:val="32"/>
          <w:szCs w:val="32"/>
          <w:lang w:val="en-US" w:eastAsia="zh-CN"/>
        </w:rPr>
        <w:t>安排</w:t>
      </w:r>
      <w:r>
        <w:rPr>
          <w:rFonts w:hint="eastAsia" w:ascii="仿宋" w:hAnsi="仿宋" w:eastAsia="仿宋" w:cs="仿宋"/>
          <w:sz w:val="32"/>
          <w:szCs w:val="32"/>
        </w:rPr>
        <w:t>小型水库聘用人员工资及福利支出</w:t>
      </w:r>
      <w:r>
        <w:rPr>
          <w:rFonts w:hint="eastAsia" w:ascii="仿宋" w:hAnsi="仿宋" w:eastAsia="仿宋" w:cs="仿宋"/>
          <w:sz w:val="32"/>
          <w:szCs w:val="32"/>
          <w:lang w:eastAsia="zh-CN"/>
        </w:rPr>
        <w:t>减少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农林水支出（类）巩固脱贫攻坚成果衔接乡村振兴（款）农村基础设施建设（项）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170.00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120.00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主要是增加</w:t>
      </w:r>
      <w:r>
        <w:rPr>
          <w:rFonts w:hint="eastAsia" w:ascii="仿宋" w:hAnsi="仿宋" w:eastAsia="仿宋" w:cs="仿宋"/>
          <w:color w:val="auto"/>
          <w:sz w:val="32"/>
          <w:szCs w:val="32"/>
        </w:rPr>
        <w:t>衔接推进乡村振兴补助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农林水支出（类）巩固脱贫攻坚成果衔接乡村振兴（款）生产发展（项）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630.00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330.00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主要是增加</w:t>
      </w:r>
      <w:r>
        <w:rPr>
          <w:rFonts w:hint="eastAsia" w:ascii="仿宋" w:hAnsi="仿宋" w:eastAsia="仿宋" w:cs="仿宋"/>
          <w:color w:val="auto"/>
          <w:sz w:val="32"/>
          <w:szCs w:val="32"/>
        </w:rPr>
        <w:t>衔接推进乡村振兴补助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农林水支出（类）巩固脱贫攻坚成果衔接乡村振兴（款）其他巩固脱贫攻坚成果衔接乡村振兴支出（项）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122.00</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主要是资金性质调整，增加政府性基金预算。</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32</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农林水支出（类）农村综合改革（款）对村民委员会和村党支部的补助（项）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2,294.00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与上年预算持平，主要是</w:t>
      </w:r>
      <w:r>
        <w:rPr>
          <w:rFonts w:hint="eastAsia" w:ascii="仿宋" w:hAnsi="仿宋" w:eastAsia="仿宋" w:cs="仿宋"/>
          <w:color w:val="auto"/>
          <w:sz w:val="32"/>
          <w:szCs w:val="32"/>
          <w:lang w:val="en-US" w:eastAsia="zh-CN"/>
        </w:rPr>
        <w:t>用于村级支出</w:t>
      </w:r>
      <w:r>
        <w:rPr>
          <w:rFonts w:hint="eastAsia" w:ascii="仿宋" w:hAnsi="仿宋" w:eastAsia="仿宋" w:cs="仿宋"/>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33</w:t>
      </w:r>
      <w:r>
        <w:rPr>
          <w:rFonts w:hint="eastAsia" w:ascii="仿宋" w:hAnsi="仿宋" w:eastAsia="仿宋" w:cs="仿宋"/>
          <w:sz w:val="32"/>
          <w:szCs w:val="32"/>
        </w:rPr>
        <w:t xml:space="preserve">. </w:t>
      </w:r>
      <w:r>
        <w:rPr>
          <w:rFonts w:hint="eastAsia" w:ascii="仿宋" w:hAnsi="仿宋" w:eastAsia="仿宋" w:cs="仿宋"/>
          <w:color w:val="auto"/>
          <w:sz w:val="32"/>
          <w:szCs w:val="32"/>
        </w:rPr>
        <w:t>农林水支出（类）农村综合改革（款）农村综合改革示范试点补助（项）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100.00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与上年预算持平，主要是上年结转</w:t>
      </w:r>
      <w:r>
        <w:rPr>
          <w:rFonts w:hint="eastAsia" w:ascii="仿宋" w:hAnsi="仿宋" w:eastAsia="仿宋" w:cs="仿宋"/>
          <w:color w:val="auto"/>
          <w:sz w:val="32"/>
          <w:szCs w:val="32"/>
        </w:rPr>
        <w:t>建设红色美丽村庄试点资金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34</w:t>
      </w:r>
      <w:r>
        <w:rPr>
          <w:rFonts w:hint="eastAsia" w:ascii="仿宋" w:hAnsi="仿宋" w:eastAsia="仿宋" w:cs="仿宋"/>
          <w:sz w:val="32"/>
          <w:szCs w:val="32"/>
        </w:rPr>
        <w:t xml:space="preserve">. </w:t>
      </w:r>
      <w:r>
        <w:rPr>
          <w:rFonts w:hint="eastAsia" w:ascii="仿宋" w:hAnsi="仿宋" w:eastAsia="仿宋" w:cs="仿宋"/>
          <w:color w:val="auto"/>
          <w:sz w:val="32"/>
          <w:szCs w:val="32"/>
        </w:rPr>
        <w:t>住房保障支出（类）保障性安居工程支出（款）农村危房改造（项）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29.00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比上年预算增加</w:t>
      </w:r>
      <w:r>
        <w:rPr>
          <w:rFonts w:hint="eastAsia" w:ascii="仿宋" w:hAnsi="仿宋" w:eastAsia="仿宋" w:cs="仿宋"/>
          <w:color w:val="auto"/>
          <w:sz w:val="32"/>
          <w:szCs w:val="32"/>
          <w:lang w:val="en-US" w:eastAsia="zh-CN"/>
        </w:rPr>
        <w:t>6.5万元</w:t>
      </w:r>
      <w:r>
        <w:rPr>
          <w:rFonts w:hint="eastAsia" w:ascii="仿宋" w:hAnsi="仿宋" w:eastAsia="仿宋" w:cs="仿宋"/>
          <w:color w:val="auto"/>
          <w:sz w:val="32"/>
          <w:szCs w:val="32"/>
          <w:lang w:eastAsia="zh-CN"/>
        </w:rPr>
        <w:t>，主要是增加</w:t>
      </w:r>
      <w:r>
        <w:rPr>
          <w:rFonts w:hint="eastAsia" w:ascii="仿宋" w:hAnsi="仿宋" w:eastAsia="仿宋" w:cs="仿宋"/>
          <w:color w:val="auto"/>
          <w:sz w:val="32"/>
          <w:szCs w:val="32"/>
        </w:rPr>
        <w:t>农村危房改造补助资金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35</w:t>
      </w:r>
      <w:r>
        <w:rPr>
          <w:rFonts w:hint="eastAsia" w:ascii="仿宋" w:hAnsi="仿宋" w:eastAsia="仿宋" w:cs="仿宋"/>
          <w:sz w:val="32"/>
          <w:szCs w:val="32"/>
        </w:rPr>
        <w:t xml:space="preserve">. </w:t>
      </w:r>
      <w:r>
        <w:rPr>
          <w:rFonts w:hint="eastAsia" w:ascii="仿宋" w:hAnsi="仿宋" w:eastAsia="仿宋" w:cs="仿宋"/>
          <w:color w:val="auto"/>
          <w:sz w:val="32"/>
          <w:szCs w:val="32"/>
        </w:rPr>
        <w:t>住房保障支出（类）住房改革支出（款）住房公积金（项）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207.61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比上年预算减少</w:t>
      </w:r>
      <w:r>
        <w:rPr>
          <w:rFonts w:hint="eastAsia" w:ascii="仿宋" w:hAnsi="仿宋" w:eastAsia="仿宋" w:cs="仿宋"/>
          <w:color w:val="auto"/>
          <w:sz w:val="32"/>
          <w:szCs w:val="32"/>
          <w:lang w:val="en-US" w:eastAsia="zh-CN"/>
        </w:rPr>
        <w:t>11.98万元</w:t>
      </w:r>
      <w:r>
        <w:rPr>
          <w:rFonts w:hint="eastAsia" w:ascii="仿宋" w:hAnsi="仿宋" w:eastAsia="仿宋" w:cs="仿宋"/>
          <w:color w:val="auto"/>
          <w:sz w:val="32"/>
          <w:szCs w:val="32"/>
          <w:lang w:eastAsia="zh-CN"/>
        </w:rPr>
        <w:t>，主要是人员减少。</w:t>
      </w:r>
    </w:p>
    <w:p>
      <w:pPr>
        <w:keepNext w:val="0"/>
        <w:keepLines w:val="0"/>
        <w:pageBreakBefore w:val="0"/>
        <w:widowControl w:val="0"/>
        <w:kinsoku/>
        <w:wordWrap w:val="0"/>
        <w:overflowPunct/>
        <w:topLinePunct w:val="0"/>
        <w:autoSpaceDE/>
        <w:autoSpaceDN/>
        <w:bidi w:val="0"/>
        <w:adjustRightInd/>
        <w:snapToGrid/>
        <w:spacing w:line="578"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琼海市嘉积镇</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_GB2312" w:hAnsi="黑体" w:eastAsia="仿宋_GB2312"/>
          <w:sz w:val="32"/>
          <w:szCs w:val="32"/>
          <w:lang w:eastAsia="zh-CN"/>
        </w:rPr>
        <w:t>琼海市嘉积镇</w:t>
      </w:r>
      <w:r>
        <w:rPr>
          <w:rFonts w:hint="eastAsia" w:ascii="仿宋_GB2312" w:hAnsi="黑体" w:eastAsia="仿宋_GB2312"/>
          <w:sz w:val="32"/>
          <w:szCs w:val="32"/>
          <w:lang w:val="en-US" w:eastAsia="zh-CN"/>
        </w:rPr>
        <w:t>2025</w:t>
      </w:r>
      <w:r>
        <w:rPr>
          <w:rFonts w:hint="eastAsia" w:ascii="仿宋" w:hAnsi="仿宋" w:eastAsia="仿宋" w:cs="仿宋"/>
          <w:sz w:val="32"/>
          <w:szCs w:val="32"/>
        </w:rPr>
        <w:t>年一般公共预算基本支出为3086.60万元，其中：</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人员经费2799.18万元，主要包括：基本工资</w:t>
      </w:r>
      <w:r>
        <w:rPr>
          <w:rFonts w:hint="eastAsia" w:ascii="仿宋" w:hAnsi="仿宋" w:eastAsia="仿宋" w:cs="仿宋"/>
          <w:sz w:val="32"/>
          <w:szCs w:val="32"/>
          <w:lang w:eastAsia="zh-CN"/>
        </w:rPr>
        <w:t>、津贴补贴、奖金、绩效工资、机关事业单位基本养老保险缴费、职业年金缴费、职工基本医疗保险缴费、公务员医疗补助缴费、其他社会保障缴费、住房公积金、邮电费、其他交通费用、离休费、生活补助</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公用经费287.42万元，主要包括：办公费</w:t>
      </w:r>
      <w:r>
        <w:rPr>
          <w:rFonts w:hint="eastAsia" w:ascii="仿宋" w:hAnsi="仿宋" w:eastAsia="仿宋" w:cs="仿宋"/>
          <w:sz w:val="32"/>
          <w:szCs w:val="32"/>
          <w:lang w:eastAsia="zh-CN"/>
        </w:rPr>
        <w:t>、印刷费、水费、电费、邮电费、物业管理费、差旅费、维修（护）费、租赁费、会议费、培训费、专用材料费、劳务费、委托业务费、工会经费、公务用车运行维护费、其他交通费用、其他商品和服务支出、办公设备购置</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琼海市嘉积镇</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sz w:val="32"/>
          <w:szCs w:val="32"/>
          <w:lang w:eastAsia="zh-CN"/>
        </w:rPr>
        <w:t>琼海市嘉积镇</w:t>
      </w:r>
      <w:r>
        <w:rPr>
          <w:rFonts w:hint="eastAsia" w:ascii="仿宋_GB2312" w:hAnsi="黑体" w:eastAsia="仿宋_GB2312"/>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12.5</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12.5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12.5</w:t>
      </w:r>
      <w:r>
        <w:rPr>
          <w:rFonts w:hint="eastAsia" w:ascii="仿宋" w:hAnsi="仿宋" w:eastAsia="仿宋" w:cs="仿宋"/>
          <w:sz w:val="32"/>
          <w:szCs w:val="32"/>
        </w:rPr>
        <w:t>万元）</w:t>
      </w:r>
      <w:r>
        <w:rPr>
          <w:rFonts w:hint="eastAsia" w:ascii="仿宋" w:hAnsi="仿宋" w:eastAsia="仿宋" w:cs="仿宋"/>
          <w:sz w:val="32"/>
          <w:shd w:val="clear" w:color="auto" w:fill="FFFFFF"/>
        </w:rPr>
        <w:t>，与较上年预算下降</w:t>
      </w:r>
      <w:r>
        <w:rPr>
          <w:rFonts w:hint="eastAsia" w:ascii="仿宋" w:hAnsi="仿宋" w:eastAsia="仿宋" w:cs="仿宋"/>
          <w:sz w:val="32"/>
          <w:szCs w:val="32"/>
          <w:lang w:val="en-US" w:eastAsia="zh-CN"/>
        </w:rPr>
        <w:t>32.70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sz w:val="32"/>
        </w:rPr>
        <w:t>下降的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eastAsia="zh-CN"/>
        </w:rPr>
        <w:t>是</w:t>
      </w:r>
      <w:r>
        <w:rPr>
          <w:rFonts w:hint="eastAsia" w:ascii="仿宋" w:hAnsi="仿宋" w:eastAsia="仿宋" w:cs="仿宋"/>
          <w:sz w:val="32"/>
          <w:shd w:val="clear" w:color="auto" w:fill="FFFFFF"/>
          <w:lang w:val="en-US" w:eastAsia="zh-CN"/>
        </w:rPr>
        <w:t>公用支出标准变化</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5</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_GB2312" w:hAnsi="黑体" w:eastAsia="仿宋_GB2312"/>
          <w:sz w:val="32"/>
          <w:szCs w:val="32"/>
          <w:lang w:eastAsia="zh-CN"/>
        </w:rPr>
        <w:t>琼海市嘉积镇</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keepNext w:val="0"/>
        <w:keepLines w:val="0"/>
        <w:pageBreakBefore w:val="0"/>
        <w:widowControl w:val="0"/>
        <w:kinsoku/>
        <w:wordWrap w:val="0"/>
        <w:overflowPunct/>
        <w:topLinePunct w:val="0"/>
        <w:autoSpaceDE/>
        <w:autoSpaceDN/>
        <w:bidi w:val="0"/>
        <w:adjustRightInd/>
        <w:snapToGrid/>
        <w:spacing w:line="578" w:lineRule="exact"/>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琼海市嘉积镇</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琼海市嘉积镇</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年政府性基金预算当年拨款3850.15万元，比上年预算数增加</w:t>
      </w:r>
      <w:r>
        <w:rPr>
          <w:rFonts w:hint="eastAsia" w:ascii="仿宋" w:hAnsi="仿宋" w:eastAsia="仿宋" w:cs="仿宋"/>
          <w:sz w:val="32"/>
          <w:szCs w:val="32"/>
          <w:lang w:val="en-US" w:eastAsia="zh-CN"/>
        </w:rPr>
        <w:t>1197.13</w:t>
      </w:r>
      <w:r>
        <w:rPr>
          <w:rFonts w:hint="eastAsia" w:ascii="仿宋" w:hAnsi="仿宋" w:eastAsia="仿宋" w:cs="仿宋"/>
          <w:sz w:val="32"/>
          <w:szCs w:val="32"/>
        </w:rPr>
        <w:t>万元，主要是</w:t>
      </w:r>
      <w:r>
        <w:rPr>
          <w:rFonts w:hint="eastAsia" w:ascii="仿宋_GB2312" w:hAnsi="黑体" w:eastAsia="仿宋_GB2312"/>
          <w:sz w:val="32"/>
          <w:szCs w:val="32"/>
          <w:lang w:eastAsia="zh-CN"/>
        </w:rPr>
        <w:t>资金性质调整，增加政府性基金预算</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val="0"/>
        <w:overflowPunct/>
        <w:topLinePunct w:val="0"/>
        <w:autoSpaceDE/>
        <w:autoSpaceDN/>
        <w:bidi w:val="0"/>
        <w:adjustRightInd/>
        <w:snapToGrid/>
        <w:spacing w:line="578"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城乡社区支出（类）支出3,850.15万元，占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城乡社区支出（类）国有土地使用权出让收入安排的支出（款）农村基础设施建设支出（项）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年预算数为314.66万元，新增会计科目，与上年无单独对应科目，无法对比，</w:t>
      </w:r>
      <w:r>
        <w:rPr>
          <w:rFonts w:hint="eastAsia" w:ascii="仿宋" w:hAnsi="仿宋" w:eastAsia="仿宋" w:cs="仿宋"/>
          <w:sz w:val="32"/>
          <w:szCs w:val="32"/>
          <w:lang w:eastAsia="zh-CN"/>
        </w:rPr>
        <w:t>主要是</w:t>
      </w:r>
      <w:r>
        <w:rPr>
          <w:rFonts w:hint="eastAsia" w:ascii="仿宋" w:hAnsi="仿宋" w:eastAsia="仿宋" w:cs="仿宋"/>
          <w:sz w:val="32"/>
          <w:szCs w:val="32"/>
          <w:lang w:val="en-US" w:eastAsia="zh-CN"/>
        </w:rPr>
        <w:t>用于</w:t>
      </w:r>
      <w:r>
        <w:rPr>
          <w:rFonts w:hint="eastAsia" w:ascii="仿宋" w:hAnsi="仿宋" w:eastAsia="仿宋" w:cs="仿宋"/>
          <w:sz w:val="32"/>
          <w:szCs w:val="32"/>
        </w:rPr>
        <w:t>琼海市教育新校区安置区高低压新建工程。</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城乡社区支出（类）国有土地使用权出让收入安排的支出（款）农村社会事业支出（项）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年预算数为422.94万元，新增会计科目，与上年无单</w:t>
      </w:r>
      <w:r>
        <w:rPr>
          <w:rFonts w:hint="eastAsia" w:ascii="仿宋" w:hAnsi="仿宋" w:eastAsia="仿宋" w:cs="仿宋"/>
          <w:color w:val="auto"/>
          <w:sz w:val="32"/>
          <w:szCs w:val="32"/>
        </w:rPr>
        <w:t>独对应科目，无法对比，</w:t>
      </w:r>
      <w:r>
        <w:rPr>
          <w:rFonts w:hint="eastAsia" w:ascii="仿宋" w:hAnsi="仿宋" w:eastAsia="仿宋" w:cs="仿宋"/>
          <w:color w:val="auto"/>
          <w:sz w:val="32"/>
          <w:szCs w:val="32"/>
          <w:lang w:eastAsia="zh-CN"/>
        </w:rPr>
        <w:t>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村级财政补助经费。</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城乡社区支出（类）国有土地使用权出让收入安排的支出（款）农业农村生态环境支出（项）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年预算数为182.60万元，新增会计科目，与上年无单独对应科目，无法对比，</w:t>
      </w:r>
      <w:r>
        <w:rPr>
          <w:rFonts w:hint="eastAsia" w:ascii="仿宋" w:hAnsi="仿宋" w:eastAsia="仿宋" w:cs="仿宋"/>
          <w:sz w:val="32"/>
          <w:szCs w:val="32"/>
          <w:lang w:eastAsia="zh-CN"/>
        </w:rPr>
        <w:t>主要是</w:t>
      </w:r>
      <w:r>
        <w:rPr>
          <w:rFonts w:hint="eastAsia" w:ascii="仿宋" w:hAnsi="仿宋" w:eastAsia="仿宋" w:cs="仿宋"/>
          <w:sz w:val="32"/>
          <w:szCs w:val="32"/>
          <w:lang w:val="en-US" w:eastAsia="zh-CN"/>
        </w:rPr>
        <w:t>用于</w:t>
      </w:r>
      <w:r>
        <w:rPr>
          <w:rFonts w:hint="eastAsia" w:ascii="仿宋" w:hAnsi="仿宋" w:eastAsia="仿宋" w:cs="仿宋"/>
          <w:sz w:val="32"/>
          <w:szCs w:val="32"/>
        </w:rPr>
        <w:t>农村环卫村民自治经费。</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 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年预算数为2775.64万元，</w:t>
      </w:r>
      <w:r>
        <w:rPr>
          <w:rFonts w:hint="eastAsia" w:ascii="仿宋" w:hAnsi="仿宋" w:eastAsia="仿宋" w:cs="仿宋"/>
          <w:color w:val="auto"/>
          <w:sz w:val="32"/>
          <w:szCs w:val="32"/>
          <w:lang w:eastAsia="zh-CN"/>
        </w:rPr>
        <w:t>比上年预算增加</w:t>
      </w:r>
      <w:r>
        <w:rPr>
          <w:rFonts w:hint="eastAsia" w:ascii="仿宋" w:hAnsi="仿宋" w:eastAsia="仿宋" w:cs="仿宋"/>
          <w:color w:val="auto"/>
          <w:sz w:val="32"/>
          <w:szCs w:val="32"/>
          <w:lang w:val="en-US" w:eastAsia="zh-CN"/>
        </w:rPr>
        <w:t>1060.6万元</w:t>
      </w:r>
      <w:r>
        <w:rPr>
          <w:rFonts w:hint="eastAsia" w:ascii="仿宋" w:hAnsi="仿宋" w:eastAsia="仿宋" w:cs="仿宋"/>
          <w:color w:val="auto"/>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资金性质调整，增加政府性基金预算</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城乡社区支出（类）国有土地收益基金安排的支出（款）其他国有土地收益基金支出（项）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年预算数为54.30万元，比上年预算数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384.25</w:t>
      </w:r>
      <w:r>
        <w:rPr>
          <w:rFonts w:hint="eastAsia" w:ascii="仿宋" w:hAnsi="仿宋" w:eastAsia="仿宋" w:cs="仿宋"/>
          <w:sz w:val="32"/>
          <w:szCs w:val="32"/>
        </w:rPr>
        <w:t>万元，主要</w:t>
      </w:r>
      <w:r>
        <w:rPr>
          <w:rFonts w:hint="eastAsia" w:ascii="仿宋" w:hAnsi="仿宋" w:eastAsia="仿宋" w:cs="仿宋"/>
          <w:sz w:val="32"/>
          <w:szCs w:val="32"/>
          <w:lang w:eastAsia="zh-CN"/>
        </w:rPr>
        <w:t>是对比去年项目安排减少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城乡社区支出（类）城市基础设施配套费安排的支出（款）其他城市基础设施配套费安排的支出（项）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年预算数为100.00万元，新增会计科目，与上年无单独对应科目，无法对比，</w:t>
      </w:r>
      <w:r>
        <w:rPr>
          <w:rFonts w:hint="eastAsia" w:ascii="仿宋" w:hAnsi="仿宋" w:eastAsia="仿宋" w:cs="仿宋"/>
          <w:sz w:val="32"/>
          <w:szCs w:val="32"/>
          <w:lang w:val="en-US" w:eastAsia="zh-CN"/>
        </w:rPr>
        <w:t>用于</w:t>
      </w:r>
      <w:r>
        <w:rPr>
          <w:rFonts w:hint="eastAsia" w:ascii="仿宋" w:hAnsi="仿宋" w:eastAsia="仿宋" w:cs="仿宋"/>
          <w:sz w:val="32"/>
          <w:szCs w:val="32"/>
        </w:rPr>
        <w:t>嘉积镇文坡安置区二期基础设施建设项目。</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琼海市嘉积镇</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琼海市嘉积镇</w:t>
      </w:r>
      <w:r>
        <w:rPr>
          <w:rFonts w:hint="eastAsia" w:ascii="仿宋" w:hAnsi="仿宋" w:eastAsia="仿宋" w:cs="仿宋"/>
          <w:sz w:val="32"/>
          <w:szCs w:val="32"/>
        </w:rPr>
        <w:t>所有收入和支出均纳入部门预算管理。收入包括：一般公共预算拨款收入、政府性基金预算拨款收入；支出包括：一般公共服务支出、文化旅游体育与传媒支出、社会保障和就业支出、卫生健康支出、节能环保支出、城乡社区支出</w:t>
      </w:r>
      <w:r>
        <w:rPr>
          <w:rFonts w:hint="eastAsia" w:ascii="仿宋" w:hAnsi="仿宋" w:eastAsia="仿宋" w:cs="仿宋"/>
          <w:sz w:val="32"/>
          <w:szCs w:val="32"/>
          <w:lang w:eastAsia="zh-CN"/>
        </w:rPr>
        <w:t>、农林水支出、住房保障支出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琼海市嘉积镇</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年收支总预算12453.5万元。</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琼海市嘉积镇</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琼海市嘉积镇</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年收入预算12453.5万元，其中：上年结转1344.55万元，占</w:t>
      </w:r>
      <w:r>
        <w:rPr>
          <w:rFonts w:hint="eastAsia" w:ascii="仿宋" w:hAnsi="仿宋" w:eastAsia="仿宋" w:cs="仿宋"/>
          <w:sz w:val="32"/>
          <w:szCs w:val="32"/>
          <w:lang w:val="en-US" w:eastAsia="zh-CN"/>
        </w:rPr>
        <w:t>10.80</w:t>
      </w:r>
      <w:r>
        <w:rPr>
          <w:rFonts w:hint="eastAsia" w:ascii="仿宋" w:hAnsi="仿宋" w:eastAsia="仿宋" w:cs="仿宋"/>
          <w:sz w:val="32"/>
          <w:szCs w:val="32"/>
        </w:rPr>
        <w:t>%；经费拨款收入12453.5万元，占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%；政府性基金收入3306.49万元，占</w:t>
      </w:r>
      <w:r>
        <w:rPr>
          <w:rFonts w:hint="eastAsia" w:ascii="仿宋" w:hAnsi="仿宋" w:eastAsia="仿宋" w:cs="仿宋"/>
          <w:sz w:val="32"/>
          <w:szCs w:val="32"/>
          <w:lang w:val="en-US" w:eastAsia="zh-CN"/>
        </w:rPr>
        <w:t>26.55</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802.43</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解决历史遗留问题经费</w:t>
      </w:r>
      <w:r>
        <w:rPr>
          <w:rFonts w:hint="eastAsia" w:ascii="仿宋" w:hAnsi="仿宋" w:eastAsia="仿宋" w:cs="仿宋"/>
          <w:color w:val="auto"/>
          <w:sz w:val="32"/>
          <w:szCs w:val="32"/>
          <w:lang w:eastAsia="zh-CN"/>
        </w:rPr>
        <w:t>减少以及综合事务经费减少</w:t>
      </w:r>
      <w:r>
        <w:rPr>
          <w:rFonts w:hint="eastAsia" w:ascii="仿宋" w:hAnsi="仿宋" w:eastAsia="仿宋" w:cs="仿宋"/>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琼海市嘉积镇</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琼海市嘉积镇</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年支出预算12453.5万元，其中：基本支出3086.60万元，占</w:t>
      </w:r>
      <w:r>
        <w:rPr>
          <w:rFonts w:hint="eastAsia" w:ascii="仿宋" w:hAnsi="仿宋" w:eastAsia="仿宋" w:cs="仿宋"/>
          <w:sz w:val="32"/>
          <w:szCs w:val="32"/>
          <w:lang w:val="en-US" w:eastAsia="zh-CN"/>
        </w:rPr>
        <w:t>24.79</w:t>
      </w:r>
      <w:r>
        <w:rPr>
          <w:rFonts w:hint="eastAsia" w:ascii="仿宋" w:hAnsi="仿宋" w:eastAsia="仿宋" w:cs="仿宋"/>
          <w:sz w:val="32"/>
          <w:szCs w:val="32"/>
        </w:rPr>
        <w:t>%；项目支出9366.90万元，占</w:t>
      </w:r>
      <w:r>
        <w:rPr>
          <w:rFonts w:hint="eastAsia" w:ascii="仿宋" w:hAnsi="仿宋" w:eastAsia="仿宋" w:cs="仿宋"/>
          <w:sz w:val="32"/>
          <w:szCs w:val="32"/>
          <w:lang w:val="en-US" w:eastAsia="zh-CN"/>
        </w:rPr>
        <w:t>75.21</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802.43</w:t>
      </w:r>
      <w:r>
        <w:rPr>
          <w:rFonts w:hint="eastAsia" w:ascii="仿宋" w:hAnsi="仿宋" w:eastAsia="仿宋" w:cs="仿宋"/>
          <w:sz w:val="32"/>
          <w:szCs w:val="32"/>
        </w:rPr>
        <w:t>万元，主要是主要是自然资源事务</w:t>
      </w:r>
      <w:r>
        <w:rPr>
          <w:rFonts w:hint="eastAsia" w:ascii="仿宋" w:hAnsi="仿宋" w:eastAsia="仿宋" w:cs="仿宋"/>
          <w:sz w:val="32"/>
          <w:szCs w:val="32"/>
          <w:lang w:eastAsia="zh-CN"/>
        </w:rPr>
        <w:t>支出以及其他政府性基金及对应专项债务收入安排的支出减少</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琼海市嘉积镇人民政府本级、</w:t>
      </w:r>
      <w:r>
        <w:rPr>
          <w:rFonts w:hint="eastAsia" w:ascii="仿宋_GB2312" w:hAnsi="黑体" w:eastAsia="仿宋_GB2312" w:cs="仿宋_GB2312"/>
          <w:sz w:val="32"/>
          <w:szCs w:val="32"/>
        </w:rPr>
        <w:t>琼海市财政局嘉积财政所</w:t>
      </w:r>
      <w:r>
        <w:rPr>
          <w:rFonts w:hint="eastAsia" w:ascii="仿宋_GB2312" w:hAnsi="黑体" w:eastAsia="仿宋_GB2312" w:cs="仿宋_GB2312"/>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琼海市嘉积镇</w:t>
      </w:r>
      <w:r>
        <w:rPr>
          <w:rFonts w:hint="eastAsia" w:ascii="仿宋_GB2312" w:hAnsi="黑体" w:eastAsia="仿宋_GB2312" w:cs="仿宋_GB2312"/>
          <w:sz w:val="32"/>
          <w:szCs w:val="32"/>
        </w:rPr>
        <w:t>社会事务服务中心</w:t>
      </w:r>
      <w:r>
        <w:rPr>
          <w:rFonts w:hint="eastAsia" w:ascii="仿宋_GB2312" w:hAnsi="黑体" w:eastAsia="仿宋_GB2312" w:cs="仿宋_GB2312"/>
          <w:sz w:val="32"/>
          <w:szCs w:val="32"/>
          <w:lang w:eastAsia="zh-CN"/>
        </w:rPr>
        <w:t>、琼海市嘉积镇农业服务中心、琼海市嘉积镇综合行政执法中队</w:t>
      </w:r>
      <w:r>
        <w:rPr>
          <w:rFonts w:hint="eastAsia" w:ascii="仿宋" w:hAnsi="仿宋" w:eastAsia="仿宋" w:cs="仿宋"/>
          <w:sz w:val="32"/>
          <w:szCs w:val="32"/>
        </w:rPr>
        <w:t>的机关运行经费预算278.92万元。</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val="0"/>
        <w:overflowPunct/>
        <w:topLinePunct w:val="0"/>
        <w:autoSpaceDE/>
        <w:autoSpaceDN/>
        <w:bidi w:val="0"/>
        <w:adjustRightInd/>
        <w:snapToGrid/>
        <w:spacing w:line="578"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琼海市嘉积镇</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16.08</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16.08</w:t>
      </w:r>
      <w:r>
        <w:rPr>
          <w:rFonts w:hint="eastAsia" w:ascii="仿宋" w:hAnsi="仿宋" w:eastAsia="仿宋" w:cs="仿宋"/>
          <w:sz w:val="32"/>
          <w:szCs w:val="32"/>
        </w:rPr>
        <w:t>万元。</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琼海市嘉积镇人民政府</w:t>
      </w:r>
      <w:r>
        <w:rPr>
          <w:rFonts w:hint="eastAsia" w:ascii="仿宋" w:hAnsi="仿宋" w:eastAsia="仿宋" w:cs="仿宋"/>
          <w:sz w:val="32"/>
          <w:szCs w:val="32"/>
        </w:rPr>
        <w:t>本级及下属各预算单位</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辆，其中，机要通信应急用车</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实物保障用车</w:t>
      </w:r>
      <w:r>
        <w:rPr>
          <w:rFonts w:hint="eastAsia" w:ascii="仿宋" w:hAnsi="仿宋" w:eastAsia="仿宋" w:cs="仿宋"/>
          <w:color w:val="auto"/>
          <w:sz w:val="32"/>
          <w:szCs w:val="32"/>
          <w:lang w:val="en-US" w:eastAsia="zh-CN"/>
        </w:rPr>
        <w:t>2辆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应急保障用车</w:t>
      </w:r>
      <w:r>
        <w:rPr>
          <w:rFonts w:hint="eastAsia" w:ascii="仿宋" w:hAnsi="仿宋" w:eastAsia="仿宋" w:cs="仿宋"/>
          <w:color w:val="auto"/>
          <w:sz w:val="32"/>
          <w:szCs w:val="32"/>
          <w:lang w:val="en-US" w:eastAsia="zh-CN"/>
        </w:rPr>
        <w:t>2辆</w:t>
      </w:r>
      <w:r>
        <w:rPr>
          <w:rFonts w:hint="eastAsia" w:ascii="仿宋" w:hAnsi="仿宋" w:eastAsia="仿宋" w:cs="仿宋"/>
          <w:color w:val="auto"/>
          <w:sz w:val="32"/>
          <w:szCs w:val="32"/>
        </w:rPr>
        <w:t>。单位价值100万元以上设备</w:t>
      </w:r>
      <w:r>
        <w:rPr>
          <w:rFonts w:hint="eastAsia" w:ascii="仿宋" w:hAnsi="仿宋" w:eastAsia="仿宋" w:cs="仿宋"/>
          <w:color w:val="auto"/>
          <w:sz w:val="32"/>
          <w:szCs w:val="32"/>
          <w:lang w:eastAsia="zh-CN"/>
        </w:rPr>
        <w:t>0</w:t>
      </w:r>
      <w:r>
        <w:rPr>
          <w:rFonts w:hint="eastAsia" w:ascii="仿宋" w:hAnsi="仿宋" w:eastAsia="仿宋" w:cs="仿宋"/>
          <w:color w:val="auto"/>
          <w:sz w:val="32"/>
          <w:szCs w:val="32"/>
        </w:rPr>
        <w:t>台（套）。</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琼海市嘉积镇</w:t>
      </w:r>
      <w:r>
        <w:rPr>
          <w:rFonts w:hint="eastAsia" w:ascii="仿宋" w:hAnsi="仿宋" w:eastAsia="仿宋" w:cs="仿宋"/>
          <w:sz w:val="32"/>
          <w:szCs w:val="32"/>
          <w:lang w:val="en-US" w:eastAsia="zh-CN"/>
        </w:rPr>
        <w:t>67</w:t>
      </w:r>
      <w:r>
        <w:rPr>
          <w:rFonts w:hint="eastAsia" w:ascii="仿宋" w:hAnsi="仿宋" w:eastAsia="仿宋" w:cs="仿宋"/>
          <w:sz w:val="32"/>
          <w:szCs w:val="32"/>
        </w:rPr>
        <w:t>个项目实行绩效目标管理，涉及一般公共预算7802.47万元、政府性基金3306.49万元。</w:t>
      </w: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left"/>
        <w:textAlignment w:val="auto"/>
        <w:rPr>
          <w:rFonts w:hint="eastAsia" w:ascii="仿宋" w:hAnsi="仿宋" w:eastAsia="仿宋" w:cs="仿宋"/>
          <w:color w:val="000000"/>
          <w:kern w:val="0"/>
          <w:sz w:val="32"/>
          <w:szCs w:val="30"/>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b w:val="0"/>
          <w:bCs/>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b w:val="0"/>
          <w:bCs/>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b w:val="0"/>
          <w:bCs/>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hint="eastAsia" w:ascii="黑体" w:hAnsi="黑体" w:eastAsia="黑体"/>
          <w:b w:val="0"/>
          <w:bCs/>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center"/>
        <w:textAlignment w:val="auto"/>
        <w:rPr>
          <w:rFonts w:ascii="黑体" w:hAnsi="黑体" w:eastAsia="黑体"/>
          <w:b w:val="0"/>
          <w:bCs/>
          <w:sz w:val="32"/>
          <w:szCs w:val="32"/>
        </w:rPr>
      </w:pPr>
      <w:bookmarkStart w:id="0" w:name="_GoBack"/>
      <w:bookmarkEnd w:id="0"/>
      <w:r>
        <w:rPr>
          <w:rFonts w:hint="eastAsia" w:ascii="黑体" w:hAnsi="黑体" w:eastAsia="黑体"/>
          <w:b w:val="0"/>
          <w:bCs/>
          <w:sz w:val="32"/>
          <w:szCs w:val="32"/>
        </w:rPr>
        <w:t>第四部分  名词解释</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val="0"/>
        <w:overflowPunct/>
        <w:topLinePunct w:val="0"/>
        <w:autoSpaceDE/>
        <w:autoSpaceDN/>
        <w:bidi w:val="0"/>
        <w:adjustRightInd/>
        <w:snapToGrid/>
        <w:textAlignment w:val="auto"/>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F74C3"/>
    <w:rsid w:val="0177505C"/>
    <w:rsid w:val="039A20EE"/>
    <w:rsid w:val="04877FAB"/>
    <w:rsid w:val="04D0282F"/>
    <w:rsid w:val="0588214A"/>
    <w:rsid w:val="0B0C6DD8"/>
    <w:rsid w:val="0E3B40E6"/>
    <w:rsid w:val="0EFF31AD"/>
    <w:rsid w:val="103973EB"/>
    <w:rsid w:val="11A50182"/>
    <w:rsid w:val="16800A6D"/>
    <w:rsid w:val="1F1A09C2"/>
    <w:rsid w:val="224F692B"/>
    <w:rsid w:val="28DB693B"/>
    <w:rsid w:val="2F5D43ED"/>
    <w:rsid w:val="308A2BF4"/>
    <w:rsid w:val="337032EB"/>
    <w:rsid w:val="36171BCD"/>
    <w:rsid w:val="37234C44"/>
    <w:rsid w:val="3851430B"/>
    <w:rsid w:val="39F815C6"/>
    <w:rsid w:val="3EC030DE"/>
    <w:rsid w:val="4282078E"/>
    <w:rsid w:val="44574DC2"/>
    <w:rsid w:val="44AD664C"/>
    <w:rsid w:val="4657409B"/>
    <w:rsid w:val="46FE0CD6"/>
    <w:rsid w:val="476917BB"/>
    <w:rsid w:val="485B6B0A"/>
    <w:rsid w:val="4F515D32"/>
    <w:rsid w:val="554B1D61"/>
    <w:rsid w:val="57287F62"/>
    <w:rsid w:val="57651C2F"/>
    <w:rsid w:val="595500C4"/>
    <w:rsid w:val="5D2816FA"/>
    <w:rsid w:val="620E1C8F"/>
    <w:rsid w:val="63F75E41"/>
    <w:rsid w:val="67070827"/>
    <w:rsid w:val="675002DA"/>
    <w:rsid w:val="6A133EEB"/>
    <w:rsid w:val="6AAB5CD8"/>
    <w:rsid w:val="6C0034B7"/>
    <w:rsid w:val="6C7E1AFB"/>
    <w:rsid w:val="6D1868ED"/>
    <w:rsid w:val="726F74C3"/>
    <w:rsid w:val="799B2E6C"/>
    <w:rsid w:val="7AE9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2025-02-13T01:34:00Z</dcterms:created>
  <dc:creator>琼海市嘉积镇</dc:creator>
  <cp:lastModifiedBy>琼海市嘉积镇</cp:lastModifiedBy>
  <dcterms:modified xsi:type="dcterms:W3CDTF">2025-02-14T02:07:09Z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