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一、全车情况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电池配置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磷酸铁锂电池：高温稳定性优异（40℃环境下容量保持率≥95%），热失控风险低，循环寿命≥2000次，72V/200Ah及以上，续航里程≥120公里（满载），支持快充（2小时充满80%电量）。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充电（慢充）时间：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6-8小时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支持深度放电，即（DOD≥80%）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车身配置: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前挡:夹胶玻璃;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顶蓬:双面金属材料;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座椅:海绵+皮革+扶手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地板:防滑地板革，铝合金侧护板;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仪表台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后视镜:左右可调节外后视镜;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灯光及信号:12V灯光，前大灯，前后转向灯，侧转向灯，组合后尾灯，后防雾灯，电喇叭及倒车蜂鸣器;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其他:DC/DC 转换器，轮罩，雨刮器，真空子午线轮胎，带刹车助力电子方向助力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音响:MP3(带收放机)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最好有可视化LED荧幕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sz w:val="32"/>
          <w:szCs w:val="32"/>
        </w:rPr>
        <w:t>底盘:微型汽车底盘;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车型: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座观光车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额定乘员(人):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最大行驶速度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最小转弯半径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均符合规定标准；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（14）搭配1kg 干粉灭火器 1 个，随车工具一套。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二、使用配置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充电设施：标配车载智能充电器（输入电压220V，充电时间6-8小时），可选配直流快充桩（30分钟充至80%）。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电池管理系统（BMS）：需集成过充保护、温度监控、均衡充电功能，实时数据通过CAN总线接入车辆仪表盘。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维护要求：定期检测BMS故障码，需提供年度深度维护服务。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响应速度：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内故障1小时内实质性响应，2小时内到场维修；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质保期限：电池系统≥3年或8万公里，整车≥2年或4万公里（以先到为准）。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配件供应：常用配件（如电池模块、控制器）需在琼海设立库存，紧急订单48小时内送达。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2A7B"/>
    <w:rsid w:val="139C6771"/>
    <w:rsid w:val="2C0F2C24"/>
    <w:rsid w:val="336D2A7B"/>
    <w:rsid w:val="34E243B2"/>
    <w:rsid w:val="4A3532D5"/>
    <w:rsid w:val="672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2025-08-05T00:46:00Z</dcterms:created>
  <dc:creator>夜殇</dc:creator>
  <cp:lastModifiedBy>admin</cp:lastModifiedBy>
  <cp:lastPrinted>2025-08-06T03:31:15Z</cp:lastPrinted>
  <dcterms:modified xsi:type="dcterms:W3CDTF">2025-08-06T03:43:44Z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