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BFBB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44"/>
          <w:szCs w:val="44"/>
          <w:highlight w:val="none"/>
        </w:rPr>
      </w:pPr>
    </w:p>
    <w:p w14:paraId="01DF6C3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44"/>
          <w:szCs w:val="44"/>
          <w:highlight w:val="none"/>
          <w:lang w:eastAsia="zh-CN"/>
        </w:rPr>
      </w:pPr>
      <w:r>
        <w:rPr>
          <w:rFonts w:hint="eastAsia" w:ascii="黑体" w:hAnsi="ˎ̥" w:eastAsia="黑体"/>
          <w:color w:val="000000"/>
          <w:sz w:val="44"/>
          <w:szCs w:val="44"/>
          <w:highlight w:val="none"/>
          <w:lang w:val="en-US" w:eastAsia="zh-CN"/>
        </w:rPr>
        <w:t>琼海市</w:t>
      </w:r>
      <w:r>
        <w:rPr>
          <w:rFonts w:hint="eastAsia" w:ascii="黑体" w:hAnsi="ˎ̥" w:eastAsia="黑体"/>
          <w:color w:val="000000"/>
          <w:sz w:val="44"/>
          <w:szCs w:val="44"/>
          <w:highlight w:val="none"/>
          <w:lang w:eastAsia="zh-CN"/>
        </w:rPr>
        <w:t>财政局</w:t>
      </w:r>
      <w:r>
        <w:rPr>
          <w:rFonts w:hint="eastAsia" w:ascii="黑体" w:hAnsi="ˎ̥" w:eastAsia="黑体"/>
          <w:color w:val="000000"/>
          <w:sz w:val="44"/>
          <w:szCs w:val="44"/>
          <w:highlight w:val="none"/>
          <w:lang w:val="en-US" w:eastAsia="zh-CN"/>
        </w:rPr>
        <w:t>嘉积</w:t>
      </w:r>
      <w:r>
        <w:rPr>
          <w:rFonts w:hint="eastAsia" w:ascii="黑体" w:hAnsi="ˎ̥" w:eastAsia="黑体"/>
          <w:color w:val="000000"/>
          <w:sz w:val="44"/>
          <w:szCs w:val="44"/>
          <w:highlight w:val="none"/>
          <w:lang w:eastAsia="zh-CN"/>
        </w:rPr>
        <w:t>财政所</w:t>
      </w:r>
    </w:p>
    <w:p w14:paraId="7F1392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44"/>
          <w:szCs w:val="44"/>
          <w:highlight w:val="none"/>
        </w:rPr>
      </w:pPr>
      <w:r>
        <w:rPr>
          <w:rFonts w:hint="eastAsia" w:ascii="黑体" w:hAnsi="ˎ̥" w:eastAsia="黑体"/>
          <w:color w:val="000000"/>
          <w:sz w:val="44"/>
          <w:szCs w:val="44"/>
          <w:highlight w:val="none"/>
          <w:lang w:eastAsia="zh-CN"/>
        </w:rPr>
        <w:t>202</w:t>
      </w:r>
      <w:r>
        <w:rPr>
          <w:rFonts w:hint="eastAsia" w:ascii="黑体" w:hAnsi="ˎ̥" w:eastAsia="黑体"/>
          <w:color w:val="000000"/>
          <w:sz w:val="44"/>
          <w:szCs w:val="44"/>
          <w:highlight w:val="none"/>
          <w:lang w:val="en-US" w:eastAsia="zh-CN"/>
        </w:rPr>
        <w:t>4</w:t>
      </w:r>
      <w:r>
        <w:rPr>
          <w:rFonts w:hint="eastAsia" w:ascii="黑体" w:hAnsi="ˎ̥" w:eastAsia="黑体"/>
          <w:color w:val="000000"/>
          <w:sz w:val="44"/>
          <w:szCs w:val="44"/>
          <w:highlight w:val="none"/>
        </w:rPr>
        <w:t>年度部门决算公开</w:t>
      </w:r>
      <w:r>
        <w:rPr>
          <w:rFonts w:ascii="黑体" w:hAnsi="ˎ̥" w:eastAsia="黑体"/>
          <w:color w:val="000000"/>
          <w:sz w:val="44"/>
          <w:szCs w:val="44"/>
          <w:highlight w:val="none"/>
        </w:rPr>
        <w:t>报告</w:t>
      </w:r>
    </w:p>
    <w:p w14:paraId="1AAC43D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b/>
          <w:color w:val="000000"/>
          <w:sz w:val="32"/>
          <w:szCs w:val="32"/>
          <w:highlight w:val="none"/>
        </w:rPr>
      </w:pPr>
    </w:p>
    <w:p w14:paraId="1EB6D77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44"/>
          <w:szCs w:val="44"/>
          <w:highlight w:val="none"/>
        </w:rPr>
      </w:pPr>
      <w:bookmarkStart w:id="0" w:name="_Toc11440_WPSOffice_Type2"/>
      <w:r>
        <w:rPr>
          <w:rFonts w:hint="eastAsia" w:ascii="黑体" w:hAnsi="黑体" w:eastAsia="黑体" w:cs="黑体"/>
          <w:color w:val="000000"/>
          <w:sz w:val="44"/>
          <w:szCs w:val="44"/>
          <w:highlight w:val="none"/>
        </w:rPr>
        <w:t>目  录</w:t>
      </w:r>
    </w:p>
    <w:p w14:paraId="778AA437">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color w:val="000000"/>
          <w:sz w:val="32"/>
          <w:szCs w:val="32"/>
          <w:highlight w:val="none"/>
        </w:rPr>
      </w:pPr>
      <w:r>
        <w:rPr>
          <w:color w:val="000000"/>
          <w:sz w:val="32"/>
          <w:szCs w:val="32"/>
          <w:highlight w:val="none"/>
        </w:rPr>
        <w:fldChar w:fldCharType="begin"/>
      </w:r>
      <w:r>
        <w:rPr>
          <w:color w:val="000000"/>
          <w:sz w:val="32"/>
          <w:szCs w:val="32"/>
          <w:highlight w:val="none"/>
        </w:rPr>
        <w:instrText xml:space="preserve"> HYPERLINK \l _Toc1704_WPSOffice_Level1 </w:instrText>
      </w:r>
      <w:r>
        <w:rPr>
          <w:color w:val="000000"/>
          <w:sz w:val="32"/>
          <w:szCs w:val="32"/>
          <w:highlight w:val="none"/>
        </w:rPr>
        <w:fldChar w:fldCharType="separate"/>
      </w:r>
      <w:r>
        <w:rPr>
          <w:rFonts w:hint="eastAsia" w:ascii="黑体" w:hAnsi="ˎ̥" w:eastAsia="黑体"/>
          <w:color w:val="000000"/>
          <w:sz w:val="32"/>
          <w:szCs w:val="32"/>
          <w:highlight w:val="none"/>
        </w:rPr>
        <w:t>第一部分 基本情况</w:t>
      </w:r>
      <w:r>
        <w:rPr>
          <w:color w:val="000000"/>
          <w:sz w:val="32"/>
          <w:szCs w:val="32"/>
          <w:highlight w:val="none"/>
        </w:rPr>
        <w:tab/>
      </w:r>
      <w:r>
        <w:rPr>
          <w:rFonts w:hint="eastAsia"/>
          <w:color w:val="000000"/>
          <w:sz w:val="32"/>
          <w:szCs w:val="32"/>
          <w:highlight w:val="none"/>
          <w:lang w:val="en-US" w:eastAsia="zh-CN"/>
        </w:rPr>
        <w:t>2</w:t>
      </w:r>
      <w:r>
        <w:rPr>
          <w:color w:val="000000"/>
          <w:sz w:val="32"/>
          <w:szCs w:val="32"/>
          <w:highlight w:val="none"/>
        </w:rPr>
        <w:fldChar w:fldCharType="end"/>
      </w:r>
    </w:p>
    <w:p w14:paraId="4216DA3F">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_Toc20274_WPSOffice_Level2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color w:val="000000"/>
          <w:sz w:val="32"/>
          <w:szCs w:val="32"/>
          <w:highlight w:val="none"/>
        </w:rPr>
        <w:t>一、部门职责</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fldChar w:fldCharType="end"/>
      </w:r>
    </w:p>
    <w:p w14:paraId="4AD706A6">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_Toc4833_WPSOffice_Level2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color w:val="000000"/>
          <w:sz w:val="32"/>
          <w:szCs w:val="32"/>
          <w:highlight w:val="none"/>
        </w:rPr>
        <w:t>二、机构设置</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fldChar w:fldCharType="end"/>
      </w:r>
    </w:p>
    <w:p w14:paraId="4D936B84">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color w:val="000000"/>
          <w:sz w:val="32"/>
          <w:szCs w:val="32"/>
          <w:highlight w:val="none"/>
        </w:rPr>
      </w:pPr>
      <w:r>
        <w:rPr>
          <w:color w:val="000000"/>
          <w:sz w:val="32"/>
          <w:szCs w:val="32"/>
          <w:highlight w:val="none"/>
        </w:rPr>
        <w:fldChar w:fldCharType="begin"/>
      </w:r>
      <w:r>
        <w:rPr>
          <w:color w:val="000000"/>
          <w:sz w:val="32"/>
          <w:szCs w:val="32"/>
          <w:highlight w:val="none"/>
        </w:rPr>
        <w:instrText xml:space="preserve"> HYPERLINK \l _Toc28253_WPSOffice_Level1 </w:instrText>
      </w:r>
      <w:r>
        <w:rPr>
          <w:color w:val="000000"/>
          <w:sz w:val="32"/>
          <w:szCs w:val="32"/>
          <w:highlight w:val="none"/>
        </w:rPr>
        <w:fldChar w:fldCharType="separate"/>
      </w:r>
      <w:r>
        <w:rPr>
          <w:rFonts w:hint="eastAsia" w:ascii="黑体" w:hAnsi="ˎ̥" w:eastAsia="黑体"/>
          <w:color w:val="000000"/>
          <w:sz w:val="32"/>
          <w:szCs w:val="32"/>
          <w:highlight w:val="none"/>
        </w:rPr>
        <w:t xml:space="preserve">第二部分  </w:t>
      </w:r>
      <w:r>
        <w:rPr>
          <w:rFonts w:hint="eastAsia" w:ascii="黑体" w:hAnsi="ˎ̥" w:eastAsia="黑体"/>
          <w:color w:val="000000"/>
          <w:sz w:val="32"/>
          <w:szCs w:val="32"/>
          <w:highlight w:val="none"/>
          <w:lang w:eastAsia="zh-CN"/>
        </w:rPr>
        <w:t>202</w:t>
      </w:r>
      <w:r>
        <w:rPr>
          <w:rFonts w:hint="eastAsia" w:ascii="黑体" w:hAnsi="ˎ̥" w:eastAsia="黑体"/>
          <w:color w:val="000000"/>
          <w:sz w:val="32"/>
          <w:szCs w:val="32"/>
          <w:highlight w:val="none"/>
          <w:lang w:val="en-US" w:eastAsia="zh-CN"/>
        </w:rPr>
        <w:t>4</w:t>
      </w:r>
      <w:r>
        <w:rPr>
          <w:rFonts w:hint="eastAsia" w:ascii="黑体" w:hAnsi="ˎ̥" w:eastAsia="黑体"/>
          <w:color w:val="000000"/>
          <w:sz w:val="32"/>
          <w:szCs w:val="32"/>
          <w:highlight w:val="none"/>
        </w:rPr>
        <w:t>年度部门决算公开表</w:t>
      </w:r>
      <w:r>
        <w:rPr>
          <w:color w:val="000000"/>
          <w:sz w:val="32"/>
          <w:szCs w:val="32"/>
          <w:highlight w:val="none"/>
        </w:rPr>
        <w:tab/>
      </w:r>
      <w:r>
        <w:rPr>
          <w:rFonts w:hint="eastAsia"/>
          <w:color w:val="000000"/>
          <w:sz w:val="32"/>
          <w:szCs w:val="32"/>
          <w:highlight w:val="none"/>
          <w:lang w:val="en-US" w:eastAsia="zh-CN"/>
        </w:rPr>
        <w:t>2</w:t>
      </w:r>
      <w:r>
        <w:rPr>
          <w:color w:val="000000"/>
          <w:sz w:val="32"/>
          <w:szCs w:val="32"/>
          <w:highlight w:val="none"/>
        </w:rPr>
        <w:fldChar w:fldCharType="end"/>
      </w:r>
    </w:p>
    <w:p w14:paraId="73657776">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color w:val="000000"/>
          <w:sz w:val="32"/>
          <w:szCs w:val="32"/>
          <w:highlight w:val="none"/>
        </w:rPr>
      </w:pPr>
      <w:r>
        <w:rPr>
          <w:color w:val="000000"/>
          <w:sz w:val="32"/>
          <w:szCs w:val="32"/>
          <w:highlight w:val="none"/>
        </w:rPr>
        <w:fldChar w:fldCharType="begin"/>
      </w:r>
      <w:r>
        <w:rPr>
          <w:color w:val="000000"/>
          <w:sz w:val="32"/>
          <w:szCs w:val="32"/>
          <w:highlight w:val="none"/>
        </w:rPr>
        <w:instrText xml:space="preserve"> HYPERLINK \l _Toc27590_WPSOffice_Level1 </w:instrText>
      </w:r>
      <w:r>
        <w:rPr>
          <w:color w:val="000000"/>
          <w:sz w:val="32"/>
          <w:szCs w:val="32"/>
          <w:highlight w:val="none"/>
        </w:rPr>
        <w:fldChar w:fldCharType="separate"/>
      </w:r>
      <w:r>
        <w:rPr>
          <w:rFonts w:hint="eastAsia" w:ascii="黑体" w:hAnsi="黑体" w:eastAsia="黑体" w:cs="黑体"/>
          <w:color w:val="000000"/>
          <w:sz w:val="32"/>
          <w:szCs w:val="32"/>
          <w:highlight w:val="none"/>
        </w:rPr>
        <w:t>第三部分</w:t>
      </w:r>
      <w:r>
        <w:rPr>
          <w:rFonts w:hint="eastAsia"/>
          <w:color w:val="000000"/>
          <w:sz w:val="32"/>
          <w:szCs w:val="32"/>
          <w:highlight w:val="none"/>
        </w:rPr>
        <w:t xml:space="preserve">  </w:t>
      </w:r>
      <w:r>
        <w:rPr>
          <w:rFonts w:hint="eastAsia" w:ascii="黑体" w:hAnsi="ˎ̥" w:eastAsia="黑体"/>
          <w:color w:val="000000"/>
          <w:sz w:val="32"/>
          <w:szCs w:val="32"/>
          <w:highlight w:val="none"/>
          <w:lang w:eastAsia="zh-CN"/>
        </w:rPr>
        <w:t>202</w:t>
      </w:r>
      <w:r>
        <w:rPr>
          <w:rFonts w:hint="eastAsia" w:ascii="黑体" w:hAnsi="ˎ̥" w:eastAsia="黑体"/>
          <w:color w:val="000000"/>
          <w:sz w:val="32"/>
          <w:szCs w:val="32"/>
          <w:highlight w:val="none"/>
          <w:lang w:val="en-US" w:eastAsia="zh-CN"/>
        </w:rPr>
        <w:t>4</w:t>
      </w:r>
      <w:r>
        <w:rPr>
          <w:rFonts w:hint="eastAsia" w:ascii="黑体" w:hAnsi="ˎ̥" w:eastAsia="黑体"/>
          <w:color w:val="000000"/>
          <w:sz w:val="32"/>
          <w:szCs w:val="32"/>
          <w:highlight w:val="none"/>
        </w:rPr>
        <w:t>年度部门决算情况说明</w:t>
      </w:r>
      <w:r>
        <w:rPr>
          <w:color w:val="000000"/>
          <w:sz w:val="32"/>
          <w:szCs w:val="32"/>
          <w:highlight w:val="none"/>
        </w:rPr>
        <w:tab/>
      </w:r>
      <w:r>
        <w:rPr>
          <w:rFonts w:hint="eastAsia"/>
          <w:color w:val="000000"/>
          <w:sz w:val="32"/>
          <w:szCs w:val="32"/>
          <w:highlight w:val="none"/>
          <w:lang w:val="en-US" w:eastAsia="zh-CN"/>
        </w:rPr>
        <w:t>3</w:t>
      </w:r>
      <w:r>
        <w:rPr>
          <w:color w:val="000000"/>
          <w:sz w:val="32"/>
          <w:szCs w:val="32"/>
          <w:highlight w:val="none"/>
        </w:rPr>
        <w:fldChar w:fldCharType="end"/>
      </w:r>
    </w:p>
    <w:p w14:paraId="54CFF03D">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_Toc21737_WPSOffice_Level2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一、收入支出总体情况说明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fldChar w:fldCharType="end"/>
      </w:r>
    </w:p>
    <w:p w14:paraId="27C9CC33">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_Toc19535_WPSOffice_Level2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二、收入决算情况说明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fldChar w:fldCharType="end"/>
      </w:r>
    </w:p>
    <w:p w14:paraId="54A5C2CA">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_Toc19535_WPSOffice_Level2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三、支出决算情况说明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fldChar w:fldCharType="end"/>
      </w:r>
    </w:p>
    <w:p w14:paraId="51DFA3D5">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_Toc19535_WPSOffice_Level2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四、财政拨款收入支出决算情况说明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fldChar w:fldCharType="end"/>
      </w:r>
    </w:p>
    <w:p w14:paraId="35AE19C3">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_Toc19535_WPSOffice_Level2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五、一般公共预算财政拨款支出决算情况说明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fldChar w:fldCharType="end"/>
      </w:r>
    </w:p>
    <w:p w14:paraId="25B0AE33">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_Toc19535_WPSOffice_Level2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六、一般公共预算财政拨款基本支出决算情况说明</w:t>
      </w:r>
      <w:r>
        <w:rPr>
          <w:rFonts w:hint="eastAsia" w:ascii="仿宋" w:hAnsi="仿宋" w:eastAsia="仿宋" w:cs="仿宋"/>
          <w:color w:val="000000"/>
          <w:sz w:val="32"/>
          <w:szCs w:val="32"/>
          <w:highlight w:val="none"/>
        </w:rPr>
        <w:fldChar w:fldCharType="end"/>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6</w:t>
      </w:r>
    </w:p>
    <w:p w14:paraId="0DCDB0DC">
      <w:pPr>
        <w:pStyle w:val="8"/>
        <w:keepNext w:val="0"/>
        <w:keepLines w:val="0"/>
        <w:pageBreakBefore w:val="0"/>
        <w:numPr>
          <w:ilvl w:val="0"/>
          <w:numId w:val="1"/>
        </w:numPr>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bCs/>
          <w:color w:val="000000"/>
          <w:sz w:val="32"/>
          <w:szCs w:val="32"/>
          <w:highlight w:val="none"/>
        </w:rPr>
        <w:t>政府性基金预算财政拨款支出决算情况说明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7</w:t>
      </w:r>
    </w:p>
    <w:p w14:paraId="4CCF9707">
      <w:pPr>
        <w:pStyle w:val="8"/>
        <w:keepNext w:val="0"/>
        <w:keepLines w:val="0"/>
        <w:pageBreakBefore w:val="0"/>
        <w:numPr>
          <w:ilvl w:val="0"/>
          <w:numId w:val="1"/>
        </w:numPr>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bCs/>
          <w:color w:val="000000"/>
          <w:sz w:val="32"/>
          <w:szCs w:val="32"/>
          <w:highlight w:val="none"/>
        </w:rPr>
        <w:t>国有资本经营预算财政拨款支出决算情况说明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rPr>
        <w:t>8</w:t>
      </w:r>
    </w:p>
    <w:p w14:paraId="7655469E">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_Toc19535_WPSOffice_Level2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九、财政拨款“三公”经费支出决算情况说明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9</w:t>
      </w:r>
      <w:r>
        <w:rPr>
          <w:rFonts w:hint="eastAsia" w:ascii="仿宋" w:hAnsi="仿宋" w:eastAsia="仿宋" w:cs="仿宋"/>
          <w:color w:val="000000"/>
          <w:sz w:val="32"/>
          <w:szCs w:val="32"/>
          <w:highlight w:val="none"/>
        </w:rPr>
        <w:fldChar w:fldCharType="end"/>
      </w:r>
    </w:p>
    <w:p w14:paraId="2AC65A84">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_Toc19535_WPSOffice_Level2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十、预算绩效情况说明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rPr>
        <w:fldChar w:fldCharType="end"/>
      </w:r>
      <w:r>
        <w:rPr>
          <w:rFonts w:hint="eastAsia" w:ascii="仿宋" w:hAnsi="仿宋" w:eastAsia="仿宋" w:cs="仿宋"/>
          <w:color w:val="000000"/>
          <w:sz w:val="32"/>
          <w:szCs w:val="32"/>
          <w:highlight w:val="none"/>
        </w:rPr>
        <w:t>11</w:t>
      </w:r>
    </w:p>
    <w:p w14:paraId="69DB48E4">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bCs/>
          <w:color w:val="000000"/>
          <w:sz w:val="32"/>
          <w:szCs w:val="32"/>
          <w:highlight w:val="none"/>
        </w:rPr>
        <w:t>十一、其他重要事项情况说明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3</w:t>
      </w:r>
    </w:p>
    <w:p w14:paraId="65ECECDB">
      <w:pPr>
        <w:pStyle w:val="7"/>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黑体" w:hAnsi="ˎ̥" w:eastAsia="宋体"/>
          <w:b/>
          <w:color w:val="000000"/>
          <w:sz w:val="32"/>
          <w:szCs w:val="32"/>
          <w:highlight w:val="none"/>
          <w:lang w:eastAsia="zh-CN"/>
        </w:rPr>
      </w:pPr>
      <w:r>
        <w:rPr>
          <w:color w:val="000000"/>
          <w:sz w:val="32"/>
          <w:szCs w:val="32"/>
          <w:highlight w:val="none"/>
        </w:rPr>
        <w:fldChar w:fldCharType="begin"/>
      </w:r>
      <w:r>
        <w:rPr>
          <w:color w:val="000000"/>
          <w:sz w:val="32"/>
          <w:szCs w:val="32"/>
          <w:highlight w:val="none"/>
        </w:rPr>
        <w:instrText xml:space="preserve"> HYPERLINK \l _Toc15425_WPSOffice_Level1 </w:instrText>
      </w:r>
      <w:r>
        <w:rPr>
          <w:color w:val="000000"/>
          <w:sz w:val="32"/>
          <w:szCs w:val="32"/>
          <w:highlight w:val="none"/>
        </w:rPr>
        <w:fldChar w:fldCharType="separate"/>
      </w:r>
      <w:r>
        <w:rPr>
          <w:rFonts w:hint="eastAsia" w:ascii="黑体" w:hAnsi="ˎ̥" w:eastAsia="黑体"/>
          <w:color w:val="000000"/>
          <w:sz w:val="32"/>
          <w:szCs w:val="32"/>
          <w:highlight w:val="none"/>
        </w:rPr>
        <w:t>第四部分  名词解释</w:t>
      </w:r>
      <w:r>
        <w:rPr>
          <w:color w:val="000000"/>
          <w:sz w:val="32"/>
          <w:szCs w:val="32"/>
          <w:highlight w:val="none"/>
        </w:rPr>
        <w:tab/>
      </w:r>
      <w:bookmarkStart w:id="1" w:name="_Toc15425_WPSOffice_Level1Page"/>
      <w:r>
        <w:rPr>
          <w:color w:val="000000"/>
          <w:sz w:val="32"/>
          <w:szCs w:val="32"/>
          <w:highlight w:val="none"/>
        </w:rPr>
        <w:t>1</w:t>
      </w:r>
      <w:bookmarkEnd w:id="1"/>
      <w:r>
        <w:rPr>
          <w:color w:val="000000"/>
          <w:sz w:val="32"/>
          <w:szCs w:val="32"/>
          <w:highlight w:val="none"/>
        </w:rPr>
        <w:fldChar w:fldCharType="end"/>
      </w:r>
      <w:bookmarkEnd w:id="0"/>
      <w:r>
        <w:rPr>
          <w:rFonts w:hint="eastAsia"/>
          <w:color w:val="000000"/>
          <w:sz w:val="32"/>
          <w:szCs w:val="32"/>
          <w:highlight w:val="none"/>
          <w:lang w:val="en-US" w:eastAsia="zh-CN"/>
        </w:rPr>
        <w:t>5</w:t>
      </w:r>
    </w:p>
    <w:p w14:paraId="3ED18842">
      <w:pPr>
        <w:jc w:val="center"/>
        <w:rPr>
          <w:rFonts w:hint="eastAsia" w:ascii="黑体" w:hAnsi="ˎ̥" w:eastAsia="黑体"/>
          <w:color w:val="000000"/>
          <w:sz w:val="32"/>
          <w:szCs w:val="32"/>
          <w:highlight w:val="none"/>
        </w:rPr>
      </w:pPr>
      <w:bookmarkStart w:id="2" w:name="_Toc10720_WPSOffice_Level1"/>
      <w:bookmarkStart w:id="3" w:name="_Toc32433_WPSOffice_Level1"/>
      <w:bookmarkStart w:id="4" w:name="_Toc22941_WPSOffice_Level1"/>
      <w:bookmarkStart w:id="5" w:name="_Toc10049_WPSOffice_Level1"/>
      <w:bookmarkStart w:id="6" w:name="_Toc23465_WPSOffice_Level1"/>
      <w:bookmarkStart w:id="7" w:name="_Toc1704_WPSOffice_Level1"/>
      <w:bookmarkStart w:id="8" w:name="_Toc24238_WPSOffice_Level2"/>
      <w:bookmarkStart w:id="9" w:name="_Toc20205_WPSOffice_Level2"/>
      <w:bookmarkStart w:id="10" w:name="_Toc14159_WPSOffice_Level2"/>
      <w:bookmarkStart w:id="11" w:name="_Toc20274_WPSOffice_Level2"/>
      <w:bookmarkStart w:id="12" w:name="_Toc26580_WPSOffice_Level2"/>
      <w:bookmarkStart w:id="13" w:name="_Toc32622_WPSOffice_Level2"/>
    </w:p>
    <w:p w14:paraId="0BF9AA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r>
        <w:rPr>
          <w:rFonts w:hint="eastAsia" w:ascii="黑体" w:hAnsi="ˎ̥" w:eastAsia="黑体"/>
          <w:color w:val="000000"/>
          <w:sz w:val="32"/>
          <w:szCs w:val="32"/>
          <w:highlight w:val="none"/>
        </w:rPr>
        <w:br w:type="page"/>
      </w:r>
      <w:r>
        <w:rPr>
          <w:rFonts w:hint="eastAsia" w:ascii="黑体" w:hAnsi="ˎ̥" w:eastAsia="黑体"/>
          <w:color w:val="000000"/>
          <w:sz w:val="32"/>
          <w:szCs w:val="32"/>
          <w:highlight w:val="none"/>
        </w:rPr>
        <w:t xml:space="preserve">第一部分  </w:t>
      </w:r>
      <w:bookmarkEnd w:id="2"/>
      <w:bookmarkEnd w:id="3"/>
      <w:bookmarkEnd w:id="4"/>
      <w:bookmarkEnd w:id="5"/>
      <w:bookmarkEnd w:id="6"/>
      <w:bookmarkEnd w:id="7"/>
      <w:r>
        <w:rPr>
          <w:rFonts w:hint="eastAsia" w:ascii="黑体" w:hAnsi="ˎ̥" w:eastAsia="黑体"/>
          <w:color w:val="000000"/>
          <w:sz w:val="32"/>
          <w:szCs w:val="32"/>
          <w:highlight w:val="none"/>
        </w:rPr>
        <w:t>基本情况</w:t>
      </w:r>
    </w:p>
    <w:p w14:paraId="2FEC4F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p>
    <w:bookmarkEnd w:id="8"/>
    <w:p w14:paraId="0CE8491F">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部门职责</w:t>
      </w:r>
      <w:bookmarkEnd w:id="9"/>
      <w:bookmarkEnd w:id="10"/>
      <w:bookmarkEnd w:id="11"/>
      <w:bookmarkEnd w:id="12"/>
      <w:bookmarkEnd w:id="13"/>
    </w:p>
    <w:p w14:paraId="620B996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r>
        <w:rPr>
          <w:rFonts w:ascii="仿宋_GB2312" w:hAnsi="ˎ̥" w:eastAsia="仿宋_GB2312" w:cs="仿宋_GB2312"/>
          <w:sz w:val="32"/>
          <w:szCs w:val="32"/>
        </w:rPr>
        <w:t>本级财政预算编制、执行及管理；管理和监督乡镇各项财政收支；管理各项政策性补贴资金；负责对各类专项资金的监管，提高财政资金使用效率，管理乡镇政府非税收入；</w:t>
      </w:r>
      <w:r>
        <w:rPr>
          <w:rFonts w:hint="eastAsia" w:ascii="仿宋_GB2312" w:hAnsi="仿宋_GB2312" w:eastAsia="仿宋_GB2312" w:cs="仿宋_GB2312"/>
          <w:color w:val="000000"/>
          <w:kern w:val="0"/>
          <w:sz w:val="32"/>
          <w:szCs w:val="30"/>
        </w:rPr>
        <w:t>负责新型农村合作医疗基金征收和管理，拨付农村合作医疗费</w:t>
      </w:r>
      <w:r>
        <w:rPr>
          <w:rFonts w:hint="eastAsia" w:ascii="仿宋_GB2312" w:hAnsi="仿宋_GB2312" w:eastAsia="仿宋_GB2312" w:cs="仿宋_GB2312"/>
          <w:color w:val="000000"/>
          <w:kern w:val="0"/>
          <w:sz w:val="32"/>
          <w:szCs w:val="30"/>
          <w:lang w:eastAsia="zh-CN"/>
        </w:rPr>
        <w:t>；</w:t>
      </w:r>
      <w:r>
        <w:rPr>
          <w:rFonts w:ascii="仿宋_GB2312" w:hAnsi="ˎ̥" w:eastAsia="仿宋_GB2312" w:cs="仿宋_GB2312"/>
          <w:sz w:val="32"/>
          <w:szCs w:val="32"/>
        </w:rPr>
        <w:t>承办乡镇党委、政府及上级财政单位交办的其他事项。</w:t>
      </w:r>
    </w:p>
    <w:p w14:paraId="103666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bookmarkStart w:id="14" w:name="_Toc24474_WPSOffice_Level2"/>
      <w:bookmarkStart w:id="15" w:name="_Toc4833_WPSOffice_Level2"/>
      <w:bookmarkStart w:id="16" w:name="_Toc24059_WPSOffice_Level2"/>
      <w:bookmarkStart w:id="17" w:name="_Toc17796_WPSOffice_Level2"/>
      <w:bookmarkStart w:id="18" w:name="_Toc6572_WPSOffice_Level2"/>
      <w:r>
        <w:rPr>
          <w:rFonts w:hint="eastAsia" w:ascii="黑体" w:hAnsi="黑体" w:eastAsia="黑体" w:cs="黑体"/>
          <w:color w:val="000000"/>
          <w:sz w:val="32"/>
          <w:szCs w:val="32"/>
          <w:highlight w:val="none"/>
        </w:rPr>
        <w:t>二、机构设置</w:t>
      </w:r>
      <w:bookmarkEnd w:id="14"/>
      <w:bookmarkEnd w:id="15"/>
      <w:bookmarkEnd w:id="16"/>
      <w:bookmarkEnd w:id="17"/>
      <w:bookmarkEnd w:id="18"/>
    </w:p>
    <w:p w14:paraId="237EFC9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 w:hAnsi="楷体" w:eastAsia="楷体" w:cs="楷体"/>
          <w:sz w:val="32"/>
          <w:szCs w:val="32"/>
          <w:lang w:val="en-US" w:eastAsia="zh-CN"/>
        </w:rPr>
      </w:pPr>
      <w:r>
        <w:rPr>
          <w:rFonts w:hint="eastAsia" w:ascii="仿宋_GB2312" w:hAnsi="ˎ̥" w:eastAsia="仿宋_GB2312"/>
          <w:sz w:val="32"/>
          <w:szCs w:val="32"/>
          <w:lang w:eastAsia="zh-CN"/>
        </w:rPr>
        <w:t>琼海市财政局嘉积财政所无内设机构。</w:t>
      </w:r>
    </w:p>
    <w:p w14:paraId="6E14C38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bookmarkStart w:id="19" w:name="_Toc15521_WPSOffice_Level1"/>
      <w:bookmarkStart w:id="20" w:name="_Toc8164_WPSOffice_Level1"/>
      <w:bookmarkStart w:id="21" w:name="_Toc30690_WPSOffice_Level1"/>
      <w:bookmarkStart w:id="22" w:name="_Toc28253_WPSOffice_Level1"/>
      <w:bookmarkStart w:id="23" w:name="_Toc30451_WPSOffice_Level1"/>
      <w:bookmarkStart w:id="24" w:name="_Toc6234_WPSOffice_Level1"/>
      <w:bookmarkStart w:id="25" w:name="_Toc4029_WPSOffice_Level2"/>
      <w:bookmarkStart w:id="26" w:name="_Toc32695_WPSOffice_Level2"/>
      <w:bookmarkStart w:id="27" w:name="_Toc32472_WPSOffice_Level2"/>
      <w:bookmarkStart w:id="28" w:name="_Toc8867_WPSOffice_Level2"/>
      <w:bookmarkStart w:id="29" w:name="_Toc11518_WPSOffice_Level2"/>
      <w:bookmarkStart w:id="30" w:name="_Toc6211_WPSOffice_Level2"/>
    </w:p>
    <w:p w14:paraId="5D3033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r>
        <w:rPr>
          <w:rFonts w:hint="eastAsia" w:ascii="黑体" w:hAnsi="ˎ̥" w:eastAsia="黑体"/>
          <w:color w:val="000000"/>
          <w:sz w:val="32"/>
          <w:szCs w:val="32"/>
          <w:highlight w:val="none"/>
        </w:rPr>
        <w:t xml:space="preserve">第二部分  </w:t>
      </w:r>
      <w:r>
        <w:rPr>
          <w:rFonts w:hint="eastAsia" w:ascii="黑体" w:hAnsi="ˎ̥" w:eastAsia="黑体"/>
          <w:color w:val="000000"/>
          <w:sz w:val="32"/>
          <w:szCs w:val="32"/>
          <w:highlight w:val="none"/>
          <w:lang w:eastAsia="zh-CN"/>
        </w:rPr>
        <w:t>202</w:t>
      </w:r>
      <w:r>
        <w:rPr>
          <w:rFonts w:hint="eastAsia" w:ascii="黑体" w:hAnsi="ˎ̥" w:eastAsia="黑体"/>
          <w:color w:val="000000"/>
          <w:sz w:val="32"/>
          <w:szCs w:val="32"/>
          <w:highlight w:val="none"/>
          <w:lang w:val="en-US" w:eastAsia="zh-CN"/>
        </w:rPr>
        <w:t>4</w:t>
      </w:r>
      <w:r>
        <w:rPr>
          <w:rFonts w:hint="eastAsia" w:ascii="黑体" w:hAnsi="ˎ̥" w:eastAsia="黑体"/>
          <w:color w:val="000000"/>
          <w:sz w:val="32"/>
          <w:szCs w:val="32"/>
          <w:highlight w:val="none"/>
        </w:rPr>
        <w:t>年度部门决算公开报表</w:t>
      </w:r>
      <w:bookmarkEnd w:id="19"/>
      <w:bookmarkEnd w:id="20"/>
      <w:bookmarkEnd w:id="21"/>
      <w:bookmarkEnd w:id="22"/>
      <w:bookmarkEnd w:id="23"/>
      <w:bookmarkEnd w:id="24"/>
    </w:p>
    <w:p w14:paraId="614E4D13">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p>
    <w:p w14:paraId="07599C41">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一、收入支出决算公开表</w:t>
      </w:r>
      <w:bookmarkEnd w:id="25"/>
      <w:bookmarkEnd w:id="26"/>
      <w:bookmarkEnd w:id="27"/>
      <w:bookmarkEnd w:id="28"/>
      <w:bookmarkEnd w:id="29"/>
      <w:bookmarkEnd w:id="30"/>
    </w:p>
    <w:p w14:paraId="319B6A8A">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bookmarkStart w:id="31" w:name="_Toc26621_WPSOffice_Level2"/>
      <w:bookmarkStart w:id="32" w:name="_Toc30334_WPSOffice_Level2"/>
      <w:bookmarkStart w:id="33" w:name="_Toc23139_WPSOffice_Level2"/>
      <w:bookmarkStart w:id="34" w:name="_Toc25608_WPSOffice_Level2"/>
      <w:bookmarkStart w:id="35" w:name="_Toc28622_WPSOffice_Level2"/>
      <w:bookmarkStart w:id="36" w:name="_Toc14349_WPSOffice_Level2"/>
      <w:r>
        <w:rPr>
          <w:rFonts w:hint="eastAsia" w:ascii="黑体" w:hAnsi="黑体" w:eastAsia="黑体" w:cs="黑体"/>
          <w:color w:val="000000"/>
          <w:sz w:val="32"/>
          <w:szCs w:val="32"/>
          <w:highlight w:val="none"/>
        </w:rPr>
        <w:t>二、收入决算公开表</w:t>
      </w:r>
      <w:bookmarkEnd w:id="31"/>
      <w:bookmarkEnd w:id="32"/>
      <w:bookmarkEnd w:id="33"/>
      <w:bookmarkEnd w:id="34"/>
      <w:bookmarkEnd w:id="35"/>
      <w:bookmarkEnd w:id="36"/>
      <w:bookmarkStart w:id="37" w:name="_Toc14658_WPSOffice_Level2"/>
      <w:bookmarkStart w:id="38" w:name="_Toc17626_WPSOffice_Level2"/>
      <w:bookmarkStart w:id="39" w:name="_Toc13854_WPSOffice_Level2"/>
      <w:bookmarkStart w:id="40" w:name="_Toc17858_WPSOffice_Level2"/>
      <w:bookmarkStart w:id="41" w:name="_Toc5489_WPSOffice_Level2"/>
      <w:bookmarkStart w:id="42" w:name="_Toc3262_WPSOffice_Level2"/>
    </w:p>
    <w:p w14:paraId="09E1FA0F">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三、支出决算公开表</w:t>
      </w:r>
      <w:bookmarkEnd w:id="37"/>
      <w:bookmarkEnd w:id="38"/>
      <w:bookmarkEnd w:id="39"/>
      <w:bookmarkEnd w:id="40"/>
      <w:bookmarkEnd w:id="41"/>
      <w:bookmarkEnd w:id="42"/>
      <w:bookmarkStart w:id="43" w:name="_Toc7988_WPSOffice_Level2"/>
      <w:bookmarkStart w:id="44" w:name="_Toc13701_WPSOffice_Level2"/>
      <w:bookmarkStart w:id="45" w:name="_Toc21415_WPSOffice_Level2"/>
      <w:bookmarkStart w:id="46" w:name="_Toc23591_WPSOffice_Level2"/>
      <w:bookmarkStart w:id="47" w:name="_Toc4265_WPSOffice_Level2"/>
      <w:bookmarkStart w:id="48" w:name="_Toc23493_WPSOffice_Level2"/>
    </w:p>
    <w:p w14:paraId="6F9B2C16">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四、财政拨款收入支出决算公开表</w:t>
      </w:r>
      <w:bookmarkEnd w:id="43"/>
      <w:bookmarkEnd w:id="44"/>
      <w:bookmarkEnd w:id="45"/>
      <w:bookmarkEnd w:id="46"/>
      <w:bookmarkEnd w:id="47"/>
      <w:bookmarkEnd w:id="48"/>
    </w:p>
    <w:p w14:paraId="1FA88118">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bookmarkStart w:id="49" w:name="_Toc22783_WPSOffice_Level2"/>
      <w:bookmarkStart w:id="50" w:name="_Toc25166_WPSOffice_Level2"/>
      <w:bookmarkStart w:id="51" w:name="_Toc7879_WPSOffice_Level2"/>
      <w:bookmarkStart w:id="52" w:name="_Toc23829_WPSOffice_Level2"/>
      <w:bookmarkStart w:id="53" w:name="_Toc13516_WPSOffice_Level2"/>
      <w:bookmarkStart w:id="54" w:name="_Toc2158_WPSOffice_Level2"/>
      <w:r>
        <w:rPr>
          <w:rFonts w:hint="eastAsia" w:ascii="黑体" w:hAnsi="黑体" w:eastAsia="黑体" w:cs="黑体"/>
          <w:color w:val="000000"/>
          <w:sz w:val="32"/>
          <w:szCs w:val="32"/>
          <w:highlight w:val="none"/>
        </w:rPr>
        <w:t>五、一般公共预算财政拨款收入支出决算</w:t>
      </w:r>
      <w:bookmarkEnd w:id="49"/>
      <w:bookmarkEnd w:id="50"/>
      <w:bookmarkEnd w:id="51"/>
      <w:bookmarkEnd w:id="52"/>
      <w:r>
        <w:rPr>
          <w:rFonts w:hint="eastAsia" w:ascii="黑体" w:hAnsi="黑体" w:eastAsia="黑体" w:cs="黑体"/>
          <w:color w:val="000000"/>
          <w:sz w:val="32"/>
          <w:szCs w:val="32"/>
          <w:highlight w:val="none"/>
        </w:rPr>
        <w:t>公开表</w:t>
      </w:r>
      <w:bookmarkEnd w:id="53"/>
      <w:bookmarkEnd w:id="54"/>
      <w:bookmarkStart w:id="55" w:name="_Toc25362_WPSOffice_Level2"/>
      <w:bookmarkStart w:id="56" w:name="_Toc17833_WPSOffice_Level2"/>
      <w:bookmarkStart w:id="57" w:name="_Toc8373_WPSOffice_Level2"/>
      <w:bookmarkStart w:id="58" w:name="_Toc17283_WPSOffice_Level2"/>
      <w:bookmarkStart w:id="59" w:name="_Toc2632_WPSOffice_Level2"/>
      <w:bookmarkStart w:id="60" w:name="_Toc5343_WPSOffice_Level2"/>
    </w:p>
    <w:p w14:paraId="4BDB1A22">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六、一般公共预算财政拨款基本支出决算</w:t>
      </w:r>
      <w:bookmarkEnd w:id="55"/>
      <w:bookmarkEnd w:id="56"/>
      <w:bookmarkEnd w:id="57"/>
      <w:bookmarkEnd w:id="58"/>
      <w:bookmarkEnd w:id="59"/>
      <w:bookmarkEnd w:id="60"/>
      <w:r>
        <w:rPr>
          <w:rFonts w:hint="eastAsia" w:ascii="黑体" w:hAnsi="黑体" w:eastAsia="黑体" w:cs="黑体"/>
          <w:color w:val="000000"/>
          <w:sz w:val="32"/>
          <w:szCs w:val="32"/>
          <w:highlight w:val="none"/>
        </w:rPr>
        <w:t>公开表</w:t>
      </w:r>
    </w:p>
    <w:p w14:paraId="30926938">
      <w:pPr>
        <w:keepNext w:val="0"/>
        <w:keepLines w:val="0"/>
        <w:pageBreakBefore w:val="0"/>
        <w:kinsoku/>
        <w:wordWrap/>
        <w:overflowPunct/>
        <w:topLinePunct w:val="0"/>
        <w:autoSpaceDE/>
        <w:autoSpaceDN/>
        <w:bidi w:val="0"/>
        <w:adjustRightInd/>
        <w:snapToGrid/>
        <w:spacing w:line="560" w:lineRule="exact"/>
        <w:ind w:left="1118" w:leftChars="304" w:hanging="480" w:hangingChars="150"/>
        <w:textAlignment w:val="auto"/>
        <w:rPr>
          <w:rFonts w:hint="eastAsia" w:ascii="黑体" w:hAnsi="黑体" w:eastAsia="黑体" w:cs="黑体"/>
          <w:color w:val="000000"/>
          <w:sz w:val="32"/>
          <w:szCs w:val="32"/>
          <w:highlight w:val="none"/>
        </w:rPr>
      </w:pPr>
      <w:bookmarkStart w:id="61" w:name="_Toc21310_WPSOffice_Level2"/>
      <w:bookmarkStart w:id="62" w:name="_Toc13345_WPSOffice_Level2"/>
      <w:bookmarkStart w:id="63" w:name="_Toc1533_WPSOffice_Level2"/>
      <w:bookmarkStart w:id="64" w:name="_Toc6020_WPSOffice_Level2"/>
      <w:bookmarkStart w:id="65" w:name="_Toc11799_WPSOffice_Level2"/>
      <w:bookmarkStart w:id="66" w:name="_Toc5594_WPSOffice_Level2"/>
      <w:r>
        <w:rPr>
          <w:rFonts w:hint="eastAsia" w:ascii="黑体" w:hAnsi="黑体" w:eastAsia="黑体" w:cs="黑体"/>
          <w:color w:val="000000"/>
          <w:sz w:val="32"/>
          <w:szCs w:val="32"/>
          <w:highlight w:val="none"/>
        </w:rPr>
        <w:t>七、政府性基金预算财政拨款收入支出决算</w:t>
      </w:r>
      <w:bookmarkEnd w:id="61"/>
      <w:bookmarkEnd w:id="62"/>
      <w:bookmarkEnd w:id="63"/>
      <w:bookmarkEnd w:id="64"/>
      <w:bookmarkEnd w:id="65"/>
      <w:bookmarkEnd w:id="66"/>
      <w:r>
        <w:rPr>
          <w:rFonts w:hint="eastAsia" w:ascii="黑体" w:hAnsi="黑体" w:eastAsia="黑体" w:cs="黑体"/>
          <w:color w:val="000000"/>
          <w:sz w:val="32"/>
          <w:szCs w:val="32"/>
          <w:highlight w:val="none"/>
        </w:rPr>
        <w:t>公开表</w:t>
      </w:r>
    </w:p>
    <w:p w14:paraId="7CF96683">
      <w:pPr>
        <w:keepNext w:val="0"/>
        <w:keepLines w:val="0"/>
        <w:pageBreakBefore w:val="0"/>
        <w:kinsoku/>
        <w:wordWrap/>
        <w:overflowPunct/>
        <w:topLinePunct w:val="0"/>
        <w:autoSpaceDE/>
        <w:autoSpaceDN/>
        <w:bidi w:val="0"/>
        <w:adjustRightInd/>
        <w:snapToGrid/>
        <w:spacing w:line="560" w:lineRule="exact"/>
        <w:ind w:left="1118" w:leftChars="304" w:hanging="480" w:hangingChars="15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八、国有资本经营预算财政拨款收入支出决算公开表</w:t>
      </w:r>
    </w:p>
    <w:p w14:paraId="05FFF756">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000000"/>
          <w:sz w:val="32"/>
          <w:szCs w:val="32"/>
          <w:highlight w:val="none"/>
        </w:rPr>
      </w:pPr>
      <w:bookmarkStart w:id="67" w:name="_Toc29886_WPSOffice_Level2"/>
      <w:bookmarkStart w:id="68" w:name="_Toc1820_WPSOffice_Level2"/>
      <w:bookmarkStart w:id="69" w:name="_Toc9377_WPSOffice_Level2"/>
      <w:bookmarkStart w:id="70" w:name="_Toc19961_WPSOffice_Level2"/>
      <w:r>
        <w:rPr>
          <w:rFonts w:hint="eastAsia" w:ascii="黑体" w:hAnsi="黑体" w:eastAsia="黑体" w:cs="黑体"/>
          <w:color w:val="000000"/>
          <w:sz w:val="32"/>
          <w:szCs w:val="32"/>
          <w:highlight w:val="none"/>
        </w:rPr>
        <w:t>九、财政拨款“三公”经费支出决算</w:t>
      </w:r>
      <w:bookmarkEnd w:id="67"/>
      <w:bookmarkEnd w:id="68"/>
      <w:bookmarkEnd w:id="69"/>
      <w:bookmarkEnd w:id="70"/>
      <w:r>
        <w:rPr>
          <w:rFonts w:hint="eastAsia" w:ascii="黑体" w:hAnsi="黑体" w:eastAsia="黑体" w:cs="黑体"/>
          <w:color w:val="000000"/>
          <w:sz w:val="32"/>
          <w:szCs w:val="32"/>
          <w:highlight w:val="none"/>
        </w:rPr>
        <w:t>公开表</w:t>
      </w:r>
      <w:r>
        <w:rPr>
          <w:rFonts w:hint="eastAsia" w:ascii="黑体" w:hAnsi="黑体" w:eastAsia="黑体" w:cs="黑体"/>
          <w:color w:val="000000"/>
          <w:w w:val="96"/>
          <w:sz w:val="32"/>
          <w:szCs w:val="32"/>
          <w:highlight w:val="none"/>
        </w:rPr>
        <w:t xml:space="preserve">   </w:t>
      </w:r>
    </w:p>
    <w:p w14:paraId="03772725">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highlight w:val="none"/>
        </w:rPr>
      </w:pPr>
    </w:p>
    <w:p w14:paraId="4970C69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bookmarkStart w:id="71" w:name="_Toc28629_WPSOffice_Level1"/>
      <w:bookmarkStart w:id="72" w:name="_Toc29683_WPSOffice_Level1"/>
      <w:bookmarkStart w:id="73" w:name="_Toc16686_WPSOffice_Level1"/>
      <w:bookmarkStart w:id="74" w:name="_Toc27590_WPSOffice_Level1"/>
      <w:bookmarkStart w:id="75" w:name="_Toc31264_WPSOffice_Level1"/>
      <w:bookmarkStart w:id="76" w:name="_Toc4402_WPSOffice_Level1"/>
      <w:r>
        <w:rPr>
          <w:rFonts w:hint="eastAsia" w:ascii="黑体" w:hAnsi="ˎ̥" w:eastAsia="黑体"/>
          <w:color w:val="000000"/>
          <w:sz w:val="32"/>
          <w:szCs w:val="32"/>
          <w:highlight w:val="none"/>
        </w:rPr>
        <w:t xml:space="preserve">第三部分  </w:t>
      </w:r>
      <w:r>
        <w:rPr>
          <w:rFonts w:hint="eastAsia" w:ascii="黑体" w:hAnsi="ˎ̥" w:eastAsia="黑体"/>
          <w:color w:val="000000"/>
          <w:sz w:val="32"/>
          <w:szCs w:val="32"/>
          <w:highlight w:val="none"/>
          <w:lang w:eastAsia="zh-CN"/>
        </w:rPr>
        <w:t>202</w:t>
      </w:r>
      <w:r>
        <w:rPr>
          <w:rFonts w:hint="eastAsia" w:ascii="黑体" w:hAnsi="ˎ̥" w:eastAsia="黑体"/>
          <w:color w:val="000000"/>
          <w:sz w:val="32"/>
          <w:szCs w:val="32"/>
          <w:highlight w:val="none"/>
          <w:lang w:val="en-US" w:eastAsia="zh-CN"/>
        </w:rPr>
        <w:t>4</w:t>
      </w:r>
      <w:r>
        <w:rPr>
          <w:rFonts w:hint="eastAsia" w:ascii="黑体" w:hAnsi="ˎ̥" w:eastAsia="黑体"/>
          <w:color w:val="000000"/>
          <w:sz w:val="32"/>
          <w:szCs w:val="32"/>
          <w:highlight w:val="none"/>
        </w:rPr>
        <w:t>年度部门决算情况说明</w:t>
      </w:r>
      <w:bookmarkEnd w:id="71"/>
      <w:bookmarkEnd w:id="72"/>
      <w:bookmarkEnd w:id="73"/>
      <w:bookmarkEnd w:id="74"/>
      <w:bookmarkEnd w:id="75"/>
      <w:bookmarkEnd w:id="76"/>
    </w:p>
    <w:p w14:paraId="0E381D0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p>
    <w:p w14:paraId="509077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一、收入支出总体情况说明</w:t>
      </w:r>
      <w:r>
        <w:rPr>
          <w:rFonts w:hint="eastAsia" w:ascii="黑体" w:hAnsi="黑体" w:eastAsia="黑体" w:cs="黑体"/>
          <w:bCs/>
          <w:color w:val="000000"/>
          <w:sz w:val="32"/>
          <w:szCs w:val="32"/>
          <w:highlight w:val="none"/>
        </w:rPr>
        <w:br w:type="textWrapping"/>
      </w:r>
      <w:r>
        <w:rPr>
          <w:rFonts w:hint="eastAsia" w:ascii="楷体_GB2312" w:hAnsi="ˎ̥" w:eastAsia="楷体_GB2312"/>
          <w:color w:val="000000"/>
          <w:sz w:val="32"/>
          <w:szCs w:val="32"/>
          <w:highlight w:val="none"/>
        </w:rPr>
        <w:t xml:space="preserve">    </w:t>
      </w: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年度收入总计</w:t>
      </w:r>
      <w:r>
        <w:rPr>
          <w:rFonts w:hint="eastAsia" w:ascii="仿宋_GB2312" w:hAnsi="ˎ̥" w:eastAsia="仿宋_GB2312"/>
          <w:color w:val="000000"/>
          <w:sz w:val="32"/>
          <w:szCs w:val="32"/>
          <w:highlight w:val="none"/>
          <w:lang w:val="en-US" w:eastAsia="zh-CN"/>
        </w:rPr>
        <w:t>377.42</w:t>
      </w:r>
      <w:r>
        <w:rPr>
          <w:rFonts w:hint="eastAsia" w:ascii="仿宋_GB2312" w:hAnsi="ˎ̥" w:eastAsia="仿宋_GB2312"/>
          <w:color w:val="000000"/>
          <w:sz w:val="32"/>
          <w:szCs w:val="32"/>
          <w:highlight w:val="none"/>
        </w:rPr>
        <w:t>万元，支出总计</w:t>
      </w:r>
      <w:r>
        <w:rPr>
          <w:rFonts w:hint="eastAsia" w:ascii="仿宋_GB2312" w:hAnsi="ˎ̥" w:eastAsia="仿宋_GB2312"/>
          <w:color w:val="000000"/>
          <w:sz w:val="32"/>
          <w:szCs w:val="32"/>
          <w:highlight w:val="none"/>
          <w:lang w:val="en-US" w:eastAsia="zh-CN"/>
        </w:rPr>
        <w:t>377.42</w:t>
      </w:r>
      <w:r>
        <w:rPr>
          <w:rFonts w:hint="eastAsia" w:ascii="仿宋_GB2312" w:hAnsi="ˎ̥" w:eastAsia="仿宋_GB2312"/>
          <w:color w:val="000000"/>
          <w:sz w:val="32"/>
          <w:szCs w:val="32"/>
          <w:highlight w:val="none"/>
        </w:rPr>
        <w:t>万元，与</w:t>
      </w: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3</w:t>
      </w:r>
      <w:r>
        <w:rPr>
          <w:rFonts w:hint="eastAsia" w:ascii="仿宋_GB2312" w:hAnsi="ˎ̥" w:eastAsia="仿宋_GB2312"/>
          <w:color w:val="000000"/>
          <w:sz w:val="32"/>
          <w:szCs w:val="32"/>
          <w:highlight w:val="none"/>
        </w:rPr>
        <w:t>年度相比，收入、支出总计各</w:t>
      </w:r>
      <w:r>
        <w:rPr>
          <w:rFonts w:hint="eastAsia" w:ascii="仿宋_GB2312" w:hAnsi="ˎ̥" w:eastAsia="仿宋_GB2312"/>
          <w:color w:val="000000"/>
          <w:sz w:val="32"/>
          <w:szCs w:val="32"/>
          <w:highlight w:val="none"/>
          <w:lang w:val="en-US" w:eastAsia="zh-CN"/>
        </w:rPr>
        <w:t>减少52.57</w:t>
      </w:r>
      <w:r>
        <w:rPr>
          <w:rFonts w:hint="eastAsia" w:ascii="仿宋_GB2312" w:hAnsi="ˎ̥" w:eastAsia="仿宋_GB2312"/>
          <w:color w:val="000000"/>
          <w:sz w:val="32"/>
          <w:szCs w:val="32"/>
          <w:highlight w:val="none"/>
        </w:rPr>
        <w:t>万元，</w:t>
      </w:r>
      <w:r>
        <w:rPr>
          <w:rFonts w:hint="eastAsia" w:ascii="仿宋_GB2312" w:hAnsi="ˎ̥" w:eastAsia="仿宋_GB2312"/>
          <w:color w:val="000000"/>
          <w:sz w:val="32"/>
          <w:szCs w:val="32"/>
          <w:highlight w:val="none"/>
          <w:lang w:val="en-US" w:eastAsia="zh-CN"/>
        </w:rPr>
        <w:t>减少12.23</w:t>
      </w:r>
      <w:r>
        <w:rPr>
          <w:rFonts w:hint="eastAsia" w:ascii="仿宋_GB2312" w:hAnsi="ˎ̥" w:eastAsia="仿宋_GB2312"/>
          <w:color w:val="000000"/>
          <w:sz w:val="32"/>
          <w:szCs w:val="32"/>
          <w:highlight w:val="none"/>
        </w:rPr>
        <w:t>%。</w:t>
      </w:r>
      <w:r>
        <w:rPr>
          <w:rFonts w:hint="eastAsia" w:ascii="仿宋_GB2312" w:hAnsi="ˎ̥" w:eastAsia="仿宋_GB2312"/>
          <w:color w:val="auto"/>
          <w:sz w:val="32"/>
          <w:szCs w:val="32"/>
          <w:highlight w:val="none"/>
        </w:rPr>
        <w:t>主要原因：</w:t>
      </w:r>
      <w:r>
        <w:rPr>
          <w:rFonts w:hint="eastAsia" w:ascii="仿宋_GB2312" w:hAnsi="ˎ̥" w:eastAsia="仿宋_GB2312"/>
          <w:color w:val="auto"/>
          <w:sz w:val="32"/>
          <w:szCs w:val="32"/>
          <w:highlight w:val="none"/>
          <w:lang w:val="en-US" w:eastAsia="zh-CN"/>
        </w:rPr>
        <w:t>一是人员减少，二是</w:t>
      </w:r>
      <w:r>
        <w:rPr>
          <w:rFonts w:hint="eastAsia" w:ascii="仿宋_GB2312" w:hAnsi="ˎ̥" w:eastAsia="仿宋_GB2312"/>
          <w:color w:val="auto"/>
          <w:sz w:val="32"/>
          <w:szCs w:val="32"/>
          <w:highlight w:val="none"/>
        </w:rPr>
        <w:t>其他财政事务支出</w:t>
      </w:r>
      <w:r>
        <w:rPr>
          <w:rFonts w:hint="eastAsia" w:ascii="仿宋_GB2312" w:hAnsi="ˎ̥" w:eastAsia="仿宋_GB2312"/>
          <w:color w:val="auto"/>
          <w:sz w:val="32"/>
          <w:szCs w:val="32"/>
          <w:highlight w:val="none"/>
          <w:lang w:val="en-US" w:eastAsia="zh-CN"/>
        </w:rPr>
        <w:t>减少</w:t>
      </w:r>
      <w:r>
        <w:rPr>
          <w:rFonts w:hint="eastAsia" w:ascii="仿宋_GB2312" w:hAnsi="ˎ̥" w:eastAsia="仿宋_GB2312"/>
          <w:color w:val="auto"/>
          <w:sz w:val="32"/>
          <w:szCs w:val="32"/>
          <w:highlight w:val="none"/>
        </w:rPr>
        <w:t>。</w:t>
      </w:r>
      <w:r>
        <w:rPr>
          <w:rFonts w:hint="eastAsia" w:ascii="仿宋_GB2312" w:hAnsi="ˎ̥" w:eastAsia="仿宋_GB2312"/>
          <w:color w:val="000000"/>
          <w:sz w:val="32"/>
          <w:szCs w:val="32"/>
          <w:highlight w:val="none"/>
        </w:rPr>
        <w:t>使用非财政拨款结余</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万元。年初结转结余</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万元，较</w:t>
      </w: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3</w:t>
      </w:r>
      <w:r>
        <w:rPr>
          <w:rFonts w:hint="eastAsia" w:ascii="仿宋_GB2312" w:hAnsi="ˎ̥" w:eastAsia="仿宋_GB2312"/>
          <w:color w:val="000000"/>
          <w:sz w:val="32"/>
          <w:szCs w:val="32"/>
          <w:highlight w:val="none"/>
        </w:rPr>
        <w:t>年度决算数</w:t>
      </w:r>
      <w:r>
        <w:rPr>
          <w:rFonts w:hint="eastAsia" w:ascii="仿宋_GB2312" w:hAnsi="ˎ̥" w:eastAsia="仿宋_GB2312"/>
          <w:color w:val="000000"/>
          <w:sz w:val="32"/>
          <w:szCs w:val="32"/>
          <w:highlight w:val="none"/>
          <w:lang w:val="en-US" w:eastAsia="zh-CN"/>
        </w:rPr>
        <w:t>保持一致</w:t>
      </w:r>
      <w:r>
        <w:rPr>
          <w:rFonts w:hint="eastAsia" w:ascii="仿宋_GB2312" w:hAnsi="ˎ̥" w:eastAsia="仿宋_GB2312"/>
          <w:color w:val="000000"/>
          <w:sz w:val="32"/>
          <w:szCs w:val="32"/>
          <w:highlight w:val="none"/>
        </w:rPr>
        <w:t>。结余分配</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万元，较</w:t>
      </w: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3</w:t>
      </w:r>
      <w:r>
        <w:rPr>
          <w:rFonts w:hint="eastAsia" w:ascii="仿宋_GB2312" w:hAnsi="ˎ̥" w:eastAsia="仿宋_GB2312"/>
          <w:color w:val="000000"/>
          <w:sz w:val="32"/>
          <w:szCs w:val="32"/>
          <w:highlight w:val="none"/>
        </w:rPr>
        <w:t>年度决算数</w:t>
      </w:r>
      <w:r>
        <w:rPr>
          <w:rFonts w:hint="eastAsia" w:ascii="仿宋_GB2312" w:hAnsi="ˎ̥" w:eastAsia="仿宋_GB2312"/>
          <w:color w:val="000000"/>
          <w:sz w:val="32"/>
          <w:szCs w:val="32"/>
          <w:highlight w:val="none"/>
          <w:lang w:val="en-US" w:eastAsia="zh-CN"/>
        </w:rPr>
        <w:t>保持一致</w:t>
      </w:r>
      <w:r>
        <w:rPr>
          <w:rFonts w:hint="eastAsia" w:ascii="仿宋_GB2312" w:hAnsi="ˎ̥" w:eastAsia="仿宋_GB2312"/>
          <w:color w:val="000000"/>
          <w:sz w:val="32"/>
          <w:szCs w:val="32"/>
          <w:highlight w:val="none"/>
        </w:rPr>
        <w:t>。年末结转结余</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万元，较</w:t>
      </w: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3</w:t>
      </w:r>
      <w:r>
        <w:rPr>
          <w:rFonts w:hint="eastAsia" w:ascii="仿宋_GB2312" w:hAnsi="ˎ̥" w:eastAsia="仿宋_GB2312"/>
          <w:color w:val="000000"/>
          <w:sz w:val="32"/>
          <w:szCs w:val="32"/>
          <w:highlight w:val="none"/>
        </w:rPr>
        <w:t>年度决算数</w:t>
      </w:r>
      <w:r>
        <w:rPr>
          <w:rFonts w:hint="eastAsia" w:ascii="仿宋_GB2312" w:hAnsi="ˎ̥" w:eastAsia="仿宋_GB2312"/>
          <w:color w:val="000000"/>
          <w:sz w:val="32"/>
          <w:szCs w:val="32"/>
          <w:highlight w:val="none"/>
          <w:lang w:val="en-US" w:eastAsia="zh-CN"/>
        </w:rPr>
        <w:t>保持一致</w:t>
      </w:r>
      <w:r>
        <w:rPr>
          <w:rFonts w:hint="eastAsia" w:ascii="仿宋_GB2312" w:hAnsi="ˎ̥" w:eastAsia="仿宋_GB2312"/>
          <w:color w:val="000000"/>
          <w:sz w:val="32"/>
          <w:szCs w:val="32"/>
          <w:highlight w:val="none"/>
        </w:rPr>
        <w:t>。</w:t>
      </w:r>
    </w:p>
    <w:p w14:paraId="5ABF51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ˎ̥" w:eastAsia="仿宋_GB2312"/>
          <w:color w:val="000000"/>
          <w:sz w:val="32"/>
          <w:szCs w:val="32"/>
          <w:highlight w:val="none"/>
          <w:lang w:val="en-US" w:eastAsia="zh-CN"/>
        </w:rPr>
      </w:pPr>
      <w:r>
        <w:rPr>
          <w:rFonts w:hint="eastAsia" w:ascii="黑体" w:hAnsi="黑体" w:eastAsia="黑体" w:cs="黑体"/>
          <w:bCs/>
          <w:color w:val="000000"/>
          <w:sz w:val="32"/>
          <w:szCs w:val="32"/>
          <w:highlight w:val="none"/>
        </w:rPr>
        <w:t>二、收入决算情况说明</w:t>
      </w:r>
      <w:r>
        <w:rPr>
          <w:rFonts w:hint="eastAsia" w:ascii="黑体" w:hAnsi="黑体" w:eastAsia="黑体" w:cs="黑体"/>
          <w:bCs/>
          <w:color w:val="000000"/>
          <w:sz w:val="32"/>
          <w:szCs w:val="32"/>
          <w:highlight w:val="none"/>
        </w:rPr>
        <w:br w:type="textWrapping"/>
      </w:r>
      <w:r>
        <w:rPr>
          <w:rFonts w:hint="eastAsia" w:ascii="仿宋_GB2312" w:hAnsi="ˎ̥" w:eastAsia="仿宋_GB2312"/>
          <w:color w:val="000000"/>
          <w:sz w:val="32"/>
          <w:szCs w:val="32"/>
          <w:highlight w:val="none"/>
        </w:rPr>
        <w:t xml:space="preserve">    本年收入合</w:t>
      </w:r>
      <w:r>
        <w:rPr>
          <w:rFonts w:hint="eastAsia" w:ascii="仿宋_GB2312" w:hAnsi="ˎ̥" w:eastAsia="仿宋_GB2312"/>
          <w:color w:val="000000"/>
          <w:sz w:val="32"/>
          <w:szCs w:val="32"/>
          <w:highlight w:val="none"/>
          <w:lang w:val="en-US" w:eastAsia="zh-CN"/>
        </w:rPr>
        <w:t>377.42</w:t>
      </w:r>
      <w:r>
        <w:rPr>
          <w:rFonts w:hint="eastAsia" w:ascii="仿宋_GB2312" w:hAnsi="ˎ̥" w:eastAsia="仿宋_GB2312"/>
          <w:color w:val="000000"/>
          <w:sz w:val="32"/>
          <w:szCs w:val="32"/>
          <w:highlight w:val="none"/>
        </w:rPr>
        <w:t>万元，其中：财政拨款收入</w:t>
      </w:r>
      <w:r>
        <w:rPr>
          <w:rFonts w:hint="eastAsia" w:ascii="仿宋_GB2312" w:hAnsi="ˎ̥" w:eastAsia="仿宋_GB2312"/>
          <w:color w:val="000000"/>
          <w:sz w:val="32"/>
          <w:szCs w:val="32"/>
          <w:highlight w:val="none"/>
          <w:lang w:val="en-US" w:eastAsia="zh-CN"/>
        </w:rPr>
        <w:t>377.42</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100</w:t>
      </w:r>
      <w:r>
        <w:rPr>
          <w:rFonts w:hint="eastAsia" w:ascii="仿宋_GB2312" w:hAnsi="ˎ̥" w:eastAsia="仿宋_GB2312"/>
          <w:color w:val="000000"/>
          <w:sz w:val="32"/>
          <w:szCs w:val="32"/>
          <w:highlight w:val="none"/>
        </w:rPr>
        <w:t>%；上级补助收入</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r>
        <w:rPr>
          <w:rFonts w:hint="eastAsia" w:ascii="仿宋_GB2312" w:hAnsi="ˎ̥" w:eastAsia="仿宋_GB2312"/>
          <w:color w:val="000000"/>
          <w:sz w:val="32"/>
          <w:szCs w:val="32"/>
          <w:highlight w:val="none"/>
          <w:lang w:eastAsia="zh-CN"/>
        </w:rPr>
        <w:t>；</w:t>
      </w:r>
      <w:r>
        <w:rPr>
          <w:rFonts w:hint="eastAsia" w:ascii="仿宋_GB2312" w:hAnsi="ˎ̥" w:eastAsia="仿宋_GB2312"/>
          <w:color w:val="000000"/>
          <w:sz w:val="32"/>
          <w:szCs w:val="32"/>
          <w:highlight w:val="none"/>
        </w:rPr>
        <w:t>事业收入</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r>
        <w:rPr>
          <w:rFonts w:hint="eastAsia" w:ascii="仿宋_GB2312" w:hAnsi="ˎ̥" w:eastAsia="仿宋_GB2312"/>
          <w:color w:val="000000"/>
          <w:sz w:val="32"/>
          <w:szCs w:val="32"/>
          <w:highlight w:val="none"/>
          <w:lang w:eastAsia="zh-CN"/>
        </w:rPr>
        <w:t>；</w:t>
      </w:r>
      <w:r>
        <w:rPr>
          <w:rFonts w:hint="eastAsia" w:ascii="仿宋_GB2312" w:hAnsi="ˎ̥" w:eastAsia="仿宋_GB2312"/>
          <w:color w:val="000000"/>
          <w:sz w:val="32"/>
          <w:szCs w:val="32"/>
          <w:highlight w:val="none"/>
        </w:rPr>
        <w:t>经营收入</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r>
        <w:rPr>
          <w:rFonts w:hint="eastAsia" w:ascii="仿宋_GB2312" w:hAnsi="ˎ̥" w:eastAsia="仿宋_GB2312"/>
          <w:color w:val="000000"/>
          <w:sz w:val="32"/>
          <w:szCs w:val="32"/>
          <w:highlight w:val="none"/>
          <w:lang w:eastAsia="zh-CN"/>
        </w:rPr>
        <w:t>；</w:t>
      </w:r>
      <w:r>
        <w:rPr>
          <w:rFonts w:hint="eastAsia" w:ascii="仿宋_GB2312" w:hAnsi="ˎ̥" w:eastAsia="仿宋_GB2312"/>
          <w:color w:val="000000"/>
          <w:sz w:val="32"/>
          <w:szCs w:val="32"/>
          <w:highlight w:val="none"/>
        </w:rPr>
        <w:t>附属单位上缴收入</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%；其他收入</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r>
        <w:rPr>
          <w:rFonts w:hint="eastAsia" w:ascii="仿宋_GB2312" w:hAnsi="ˎ̥" w:eastAsia="仿宋_GB2312"/>
          <w:color w:val="000000"/>
          <w:sz w:val="32"/>
          <w:szCs w:val="32"/>
          <w:highlight w:val="none"/>
          <w:lang w:val="en-US" w:eastAsia="zh-CN"/>
        </w:rPr>
        <w:t xml:space="preserve">                </w:t>
      </w:r>
    </w:p>
    <w:p w14:paraId="5BA05EBA">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三、支出决算情况说明</w:t>
      </w:r>
    </w:p>
    <w:p w14:paraId="4D0897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本年支出合计</w:t>
      </w:r>
      <w:r>
        <w:rPr>
          <w:rFonts w:hint="eastAsia" w:ascii="仿宋_GB2312" w:hAnsi="ˎ̥" w:eastAsia="仿宋_GB2312"/>
          <w:color w:val="000000"/>
          <w:sz w:val="32"/>
          <w:szCs w:val="32"/>
          <w:highlight w:val="none"/>
          <w:lang w:val="en-US" w:eastAsia="zh-CN"/>
        </w:rPr>
        <w:t>377.42</w:t>
      </w:r>
      <w:r>
        <w:rPr>
          <w:rFonts w:hint="eastAsia" w:ascii="仿宋_GB2312" w:hAnsi="ˎ̥" w:eastAsia="仿宋_GB2312"/>
          <w:color w:val="000000"/>
          <w:sz w:val="32"/>
          <w:szCs w:val="32"/>
          <w:highlight w:val="none"/>
        </w:rPr>
        <w:t>万元，其中：基本支出</w:t>
      </w:r>
      <w:r>
        <w:rPr>
          <w:rFonts w:hint="eastAsia" w:ascii="仿宋_GB2312" w:hAnsi="ˎ̥" w:eastAsia="仿宋_GB2312"/>
          <w:color w:val="000000"/>
          <w:sz w:val="32"/>
          <w:szCs w:val="32"/>
          <w:highlight w:val="none"/>
          <w:lang w:val="en-US" w:eastAsia="zh-CN"/>
        </w:rPr>
        <w:t>337.5</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89.42</w:t>
      </w:r>
      <w:r>
        <w:rPr>
          <w:rFonts w:hint="eastAsia" w:ascii="仿宋_GB2312" w:hAnsi="ˎ̥" w:eastAsia="仿宋_GB2312"/>
          <w:color w:val="000000"/>
          <w:sz w:val="32"/>
          <w:szCs w:val="32"/>
          <w:highlight w:val="none"/>
        </w:rPr>
        <w:t>%；项目支出</w:t>
      </w:r>
      <w:r>
        <w:rPr>
          <w:rFonts w:hint="eastAsia" w:ascii="仿宋_GB2312" w:hAnsi="ˎ̥" w:eastAsia="仿宋_GB2312"/>
          <w:color w:val="000000"/>
          <w:sz w:val="32"/>
          <w:szCs w:val="32"/>
          <w:highlight w:val="none"/>
          <w:lang w:val="en-US" w:eastAsia="zh-CN"/>
        </w:rPr>
        <w:t>39.93</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10.58</w:t>
      </w:r>
      <w:r>
        <w:rPr>
          <w:rFonts w:hint="eastAsia" w:ascii="仿宋_GB2312" w:hAnsi="ˎ̥" w:eastAsia="仿宋_GB2312"/>
          <w:color w:val="000000"/>
          <w:sz w:val="32"/>
          <w:szCs w:val="32"/>
          <w:highlight w:val="none"/>
        </w:rPr>
        <w:t>%；上缴上级支出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%；经营支出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%；对附属单位补助支出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p>
    <w:p w14:paraId="5CC1A4B5">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四、财政拨款收入支出决算总体情况说明</w:t>
      </w:r>
    </w:p>
    <w:p w14:paraId="56B42C1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年度财政拨款收入</w:t>
      </w:r>
      <w:r>
        <w:rPr>
          <w:rFonts w:hint="eastAsia" w:ascii="仿宋_GB2312" w:hAnsi="ˎ̥" w:eastAsia="仿宋_GB2312"/>
          <w:color w:val="000000"/>
          <w:sz w:val="32"/>
          <w:szCs w:val="32"/>
          <w:highlight w:val="none"/>
          <w:lang w:val="en-US" w:eastAsia="zh-CN"/>
        </w:rPr>
        <w:t>377.42</w:t>
      </w:r>
      <w:r>
        <w:rPr>
          <w:rFonts w:hint="eastAsia" w:ascii="仿宋_GB2312" w:hAnsi="ˎ̥" w:eastAsia="仿宋_GB2312"/>
          <w:color w:val="000000"/>
          <w:sz w:val="32"/>
          <w:szCs w:val="32"/>
          <w:highlight w:val="none"/>
        </w:rPr>
        <w:t>万元，支出</w:t>
      </w:r>
      <w:r>
        <w:rPr>
          <w:rFonts w:hint="eastAsia" w:ascii="仿宋_GB2312" w:hAnsi="ˎ̥" w:eastAsia="仿宋_GB2312"/>
          <w:color w:val="000000"/>
          <w:sz w:val="32"/>
          <w:szCs w:val="32"/>
          <w:highlight w:val="none"/>
          <w:lang w:val="en-US" w:eastAsia="zh-CN"/>
        </w:rPr>
        <w:t>377.42</w:t>
      </w:r>
      <w:r>
        <w:rPr>
          <w:rFonts w:hint="eastAsia" w:ascii="仿宋_GB2312" w:hAnsi="ˎ̥" w:eastAsia="仿宋_GB2312"/>
          <w:color w:val="000000"/>
          <w:sz w:val="32"/>
          <w:szCs w:val="32"/>
          <w:highlight w:val="none"/>
        </w:rPr>
        <w:t>万元。与</w:t>
      </w: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3</w:t>
      </w:r>
      <w:r>
        <w:rPr>
          <w:rFonts w:hint="eastAsia" w:ascii="仿宋_GB2312" w:hAnsi="ˎ̥" w:eastAsia="仿宋_GB2312"/>
          <w:color w:val="000000"/>
          <w:sz w:val="32"/>
          <w:szCs w:val="32"/>
          <w:highlight w:val="none"/>
        </w:rPr>
        <w:t>年度相比，财政拨款收入、支出总计各</w:t>
      </w:r>
      <w:r>
        <w:rPr>
          <w:rFonts w:hint="eastAsia" w:ascii="仿宋_GB2312" w:hAnsi="ˎ̥" w:eastAsia="仿宋_GB2312"/>
          <w:color w:val="000000"/>
          <w:sz w:val="32"/>
          <w:szCs w:val="32"/>
          <w:highlight w:val="none"/>
          <w:lang w:val="en-US" w:eastAsia="zh-CN"/>
        </w:rPr>
        <w:t>减少52.57</w:t>
      </w:r>
      <w:r>
        <w:rPr>
          <w:rFonts w:hint="eastAsia" w:ascii="仿宋_GB2312" w:hAnsi="ˎ̥" w:eastAsia="仿宋_GB2312"/>
          <w:color w:val="000000"/>
          <w:sz w:val="32"/>
          <w:szCs w:val="32"/>
          <w:highlight w:val="none"/>
        </w:rPr>
        <w:t>万元，</w:t>
      </w:r>
      <w:r>
        <w:rPr>
          <w:rFonts w:hint="eastAsia" w:ascii="仿宋_GB2312" w:hAnsi="ˎ̥" w:eastAsia="仿宋_GB2312"/>
          <w:color w:val="000000"/>
          <w:sz w:val="32"/>
          <w:szCs w:val="32"/>
          <w:highlight w:val="none"/>
          <w:lang w:val="en-US" w:eastAsia="zh-CN"/>
        </w:rPr>
        <w:t>减少12.23</w:t>
      </w:r>
      <w:r>
        <w:rPr>
          <w:rFonts w:hint="eastAsia" w:ascii="仿宋_GB2312" w:hAnsi="ˎ̥" w:eastAsia="仿宋_GB2312"/>
          <w:color w:val="000000"/>
          <w:sz w:val="32"/>
          <w:szCs w:val="32"/>
          <w:highlight w:val="none"/>
        </w:rPr>
        <w:t>%。</w:t>
      </w:r>
      <w:r>
        <w:rPr>
          <w:rFonts w:hint="eastAsia" w:ascii="仿宋_GB2312" w:hAnsi="ˎ̥" w:eastAsia="仿宋_GB2312"/>
          <w:color w:val="auto"/>
          <w:sz w:val="32"/>
          <w:szCs w:val="32"/>
          <w:highlight w:val="none"/>
        </w:rPr>
        <w:t>主要原因：</w:t>
      </w:r>
      <w:r>
        <w:rPr>
          <w:rFonts w:hint="eastAsia" w:ascii="仿宋_GB2312" w:hAnsi="ˎ̥" w:eastAsia="仿宋_GB2312"/>
          <w:color w:val="auto"/>
          <w:sz w:val="32"/>
          <w:szCs w:val="32"/>
          <w:highlight w:val="none"/>
          <w:lang w:val="en-US" w:eastAsia="zh-CN"/>
        </w:rPr>
        <w:t>一是人员减少，二是</w:t>
      </w:r>
      <w:r>
        <w:rPr>
          <w:rFonts w:hint="eastAsia" w:ascii="仿宋_GB2312" w:hAnsi="ˎ̥" w:eastAsia="仿宋_GB2312"/>
          <w:color w:val="auto"/>
          <w:sz w:val="32"/>
          <w:szCs w:val="32"/>
          <w:highlight w:val="none"/>
        </w:rPr>
        <w:t>其他财政事务支出</w:t>
      </w:r>
      <w:r>
        <w:rPr>
          <w:rFonts w:hint="eastAsia" w:ascii="仿宋_GB2312" w:hAnsi="ˎ̥" w:eastAsia="仿宋_GB2312"/>
          <w:color w:val="auto"/>
          <w:sz w:val="32"/>
          <w:szCs w:val="32"/>
          <w:highlight w:val="none"/>
          <w:lang w:val="en-US" w:eastAsia="zh-CN"/>
        </w:rPr>
        <w:t>减少</w:t>
      </w:r>
      <w:r>
        <w:rPr>
          <w:rFonts w:hint="eastAsia" w:ascii="仿宋_GB2312" w:hAnsi="ˎ̥" w:eastAsia="仿宋_GB2312"/>
          <w:color w:val="auto"/>
          <w:sz w:val="32"/>
          <w:szCs w:val="32"/>
          <w:highlight w:val="none"/>
        </w:rPr>
        <w:t>。</w:t>
      </w:r>
    </w:p>
    <w:p w14:paraId="47A6F8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highlight w:val="none"/>
        </w:rPr>
      </w:pPr>
      <w:r>
        <w:rPr>
          <w:rFonts w:hint="eastAsia" w:ascii="仿宋_GB2312" w:hAnsi="ˎ̥" w:eastAsia="仿宋_GB2312"/>
          <w:color w:val="000000"/>
          <w:sz w:val="32"/>
          <w:szCs w:val="32"/>
          <w:highlight w:val="none"/>
        </w:rPr>
        <w:t>财政拨款年初结转结余</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万元，较</w:t>
      </w: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3</w:t>
      </w:r>
      <w:r>
        <w:rPr>
          <w:rFonts w:hint="eastAsia" w:ascii="仿宋_GB2312" w:hAnsi="ˎ̥" w:eastAsia="仿宋_GB2312"/>
          <w:color w:val="000000"/>
          <w:sz w:val="32"/>
          <w:szCs w:val="32"/>
          <w:highlight w:val="none"/>
        </w:rPr>
        <w:t>年度决算数</w:t>
      </w:r>
      <w:r>
        <w:rPr>
          <w:rFonts w:hint="eastAsia" w:ascii="仿宋_GB2312" w:hAnsi="ˎ̥" w:eastAsia="仿宋_GB2312"/>
          <w:color w:val="000000"/>
          <w:sz w:val="32"/>
          <w:szCs w:val="32"/>
          <w:highlight w:val="none"/>
          <w:lang w:val="en-US" w:eastAsia="zh-CN"/>
        </w:rPr>
        <w:t>保持一致</w:t>
      </w:r>
      <w:r>
        <w:rPr>
          <w:rFonts w:hint="eastAsia" w:ascii="仿宋_GB2312" w:hAnsi="ˎ̥" w:eastAsia="仿宋_GB2312"/>
          <w:color w:val="000000"/>
          <w:sz w:val="32"/>
          <w:szCs w:val="32"/>
          <w:highlight w:val="none"/>
        </w:rPr>
        <w:t>。财政拨款年末结转结余</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万元，较</w:t>
      </w: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3</w:t>
      </w:r>
      <w:r>
        <w:rPr>
          <w:rFonts w:hint="eastAsia" w:ascii="仿宋_GB2312" w:hAnsi="ˎ̥" w:eastAsia="仿宋_GB2312"/>
          <w:color w:val="000000"/>
          <w:sz w:val="32"/>
          <w:szCs w:val="32"/>
          <w:highlight w:val="none"/>
        </w:rPr>
        <w:t>年度决算数</w:t>
      </w:r>
      <w:r>
        <w:rPr>
          <w:rFonts w:hint="eastAsia" w:ascii="仿宋_GB2312" w:hAnsi="ˎ̥" w:eastAsia="仿宋_GB2312"/>
          <w:color w:val="000000"/>
          <w:sz w:val="32"/>
          <w:szCs w:val="32"/>
          <w:highlight w:val="none"/>
          <w:lang w:val="en-US" w:eastAsia="zh-CN"/>
        </w:rPr>
        <w:t>保持一致</w:t>
      </w:r>
      <w:r>
        <w:rPr>
          <w:rFonts w:hint="eastAsia" w:ascii="仿宋_GB2312" w:hAnsi="ˎ̥" w:eastAsia="仿宋_GB2312"/>
          <w:color w:val="000000"/>
          <w:sz w:val="32"/>
          <w:szCs w:val="32"/>
          <w:highlight w:val="none"/>
        </w:rPr>
        <w:t>。</w:t>
      </w:r>
    </w:p>
    <w:p w14:paraId="203798CE">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五、一般公共预算财政拨款支出决算情况说明</w:t>
      </w:r>
    </w:p>
    <w:p w14:paraId="4A6D1D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bookmarkStart w:id="77" w:name="_Toc17398_WPSOffice_Level2"/>
      <w:bookmarkStart w:id="78" w:name="_Toc13694_WPSOffice_Level2"/>
      <w:bookmarkStart w:id="79" w:name="_Toc19665_WPSOffice_Level2"/>
      <w:bookmarkStart w:id="80" w:name="_Toc21737_WPSOffice_Level2"/>
      <w:bookmarkStart w:id="81" w:name="_Toc23005_WPSOffice_Level2"/>
      <w:bookmarkStart w:id="82" w:name="_Toc9989_WPSOffice_Level2"/>
      <w:r>
        <w:rPr>
          <w:rFonts w:hint="eastAsia" w:ascii="楷体" w:hAnsi="楷体" w:eastAsia="楷体" w:cs="楷体"/>
          <w:color w:val="000000"/>
          <w:sz w:val="32"/>
          <w:szCs w:val="32"/>
          <w:highlight w:val="none"/>
        </w:rPr>
        <w:t>（一）一般公共预算财政拨款支出决算总体情况</w:t>
      </w:r>
      <w:bookmarkEnd w:id="77"/>
      <w:bookmarkEnd w:id="78"/>
      <w:r>
        <w:rPr>
          <w:rFonts w:hint="eastAsia" w:ascii="楷体" w:hAnsi="楷体" w:eastAsia="楷体" w:cs="楷体"/>
          <w:color w:val="000000"/>
          <w:sz w:val="32"/>
          <w:szCs w:val="32"/>
          <w:highlight w:val="none"/>
        </w:rPr>
        <w:t>。</w:t>
      </w:r>
      <w:bookmarkEnd w:id="79"/>
      <w:bookmarkEnd w:id="80"/>
      <w:bookmarkEnd w:id="81"/>
      <w:bookmarkEnd w:id="82"/>
    </w:p>
    <w:p w14:paraId="18BCC1E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年度一般公共预算财政拨款支出</w:t>
      </w:r>
      <w:r>
        <w:rPr>
          <w:rFonts w:hint="eastAsia" w:ascii="仿宋_GB2312" w:hAnsi="ˎ̥" w:eastAsia="仿宋_GB2312"/>
          <w:color w:val="000000"/>
          <w:sz w:val="32"/>
          <w:szCs w:val="32"/>
          <w:highlight w:val="none"/>
          <w:lang w:val="en-US" w:eastAsia="zh-CN"/>
        </w:rPr>
        <w:t>337.5</w:t>
      </w:r>
      <w:r>
        <w:rPr>
          <w:rFonts w:hint="eastAsia" w:ascii="仿宋_GB2312" w:hAnsi="ˎ̥" w:eastAsia="仿宋_GB2312"/>
          <w:color w:val="000000"/>
          <w:sz w:val="32"/>
          <w:szCs w:val="32"/>
          <w:highlight w:val="none"/>
        </w:rPr>
        <w:t>万元，占本年支出合计的</w:t>
      </w:r>
      <w:r>
        <w:rPr>
          <w:rFonts w:hint="eastAsia" w:ascii="仿宋_GB2312" w:hAnsi="ˎ̥" w:eastAsia="仿宋_GB2312"/>
          <w:color w:val="000000"/>
          <w:sz w:val="32"/>
          <w:szCs w:val="32"/>
          <w:highlight w:val="none"/>
          <w:lang w:val="en-US" w:eastAsia="zh-CN"/>
        </w:rPr>
        <w:t>89.42</w:t>
      </w:r>
      <w:r>
        <w:rPr>
          <w:rFonts w:hint="eastAsia" w:ascii="仿宋_GB2312" w:hAnsi="ˎ̥" w:eastAsia="仿宋_GB2312"/>
          <w:color w:val="000000"/>
          <w:sz w:val="32"/>
          <w:szCs w:val="32"/>
          <w:highlight w:val="none"/>
        </w:rPr>
        <w:t>%。与</w:t>
      </w: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3</w:t>
      </w:r>
      <w:r>
        <w:rPr>
          <w:rFonts w:hint="eastAsia" w:ascii="仿宋_GB2312" w:hAnsi="ˎ̥" w:eastAsia="仿宋_GB2312"/>
          <w:color w:val="000000"/>
          <w:sz w:val="32"/>
          <w:szCs w:val="32"/>
          <w:highlight w:val="none"/>
        </w:rPr>
        <w:t>年度相比，一般公共预算财政拨款支出</w:t>
      </w:r>
      <w:r>
        <w:rPr>
          <w:rFonts w:hint="eastAsia" w:ascii="仿宋_GB2312" w:hAnsi="ˎ̥" w:eastAsia="仿宋_GB2312"/>
          <w:color w:val="000000"/>
          <w:sz w:val="32"/>
          <w:szCs w:val="32"/>
          <w:highlight w:val="none"/>
          <w:lang w:val="en-US" w:eastAsia="zh-CN"/>
        </w:rPr>
        <w:t>减少39.24</w:t>
      </w:r>
      <w:r>
        <w:rPr>
          <w:rFonts w:hint="eastAsia" w:ascii="仿宋_GB2312" w:hAnsi="ˎ̥" w:eastAsia="仿宋_GB2312"/>
          <w:color w:val="000000"/>
          <w:sz w:val="32"/>
          <w:szCs w:val="32"/>
          <w:highlight w:val="none"/>
        </w:rPr>
        <w:t>万元，</w:t>
      </w:r>
      <w:r>
        <w:rPr>
          <w:rFonts w:hint="eastAsia" w:ascii="仿宋_GB2312" w:hAnsi="ˎ̥" w:eastAsia="仿宋_GB2312"/>
          <w:color w:val="000000"/>
          <w:sz w:val="32"/>
          <w:szCs w:val="32"/>
          <w:highlight w:val="none"/>
          <w:lang w:val="en-US" w:eastAsia="zh-CN"/>
        </w:rPr>
        <w:t>减少10.42</w:t>
      </w:r>
      <w:r>
        <w:rPr>
          <w:rFonts w:hint="eastAsia" w:ascii="仿宋_GB2312" w:hAnsi="ˎ̥" w:eastAsia="仿宋_GB2312"/>
          <w:color w:val="000000"/>
          <w:sz w:val="32"/>
          <w:szCs w:val="32"/>
          <w:highlight w:val="none"/>
        </w:rPr>
        <w:t>%，主要原因</w:t>
      </w:r>
      <w:r>
        <w:rPr>
          <w:rFonts w:hint="eastAsia" w:ascii="仿宋_GB2312" w:hAnsi="ˎ̥" w:eastAsia="仿宋_GB2312"/>
          <w:color w:val="auto"/>
          <w:sz w:val="32"/>
          <w:szCs w:val="32"/>
          <w:highlight w:val="none"/>
          <w:lang w:val="en-US" w:eastAsia="zh-CN"/>
        </w:rPr>
        <w:t>一是人员减少，二是</w:t>
      </w:r>
      <w:r>
        <w:rPr>
          <w:rFonts w:hint="eastAsia" w:ascii="仿宋_GB2312" w:hAnsi="ˎ̥" w:eastAsia="仿宋_GB2312"/>
          <w:color w:val="auto"/>
          <w:sz w:val="32"/>
          <w:szCs w:val="32"/>
          <w:highlight w:val="none"/>
        </w:rPr>
        <w:t>其他财政事务支出</w:t>
      </w:r>
      <w:r>
        <w:rPr>
          <w:rFonts w:hint="eastAsia" w:ascii="仿宋_GB2312" w:hAnsi="ˎ̥" w:eastAsia="仿宋_GB2312"/>
          <w:color w:val="auto"/>
          <w:sz w:val="32"/>
          <w:szCs w:val="32"/>
          <w:highlight w:val="none"/>
          <w:lang w:val="en-US" w:eastAsia="zh-CN"/>
        </w:rPr>
        <w:t>减少</w:t>
      </w:r>
      <w:r>
        <w:rPr>
          <w:rFonts w:hint="eastAsia" w:ascii="仿宋_GB2312" w:hAnsi="ˎ̥" w:eastAsia="仿宋_GB2312"/>
          <w:color w:val="auto"/>
          <w:sz w:val="32"/>
          <w:szCs w:val="32"/>
          <w:highlight w:val="none"/>
        </w:rPr>
        <w:t>。</w:t>
      </w:r>
    </w:p>
    <w:p w14:paraId="32392DA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color w:val="000000"/>
          <w:sz w:val="32"/>
          <w:szCs w:val="32"/>
          <w:highlight w:val="none"/>
        </w:rPr>
      </w:pPr>
      <w:bookmarkStart w:id="83" w:name="_Toc2711_WPSOffice_Level2"/>
      <w:bookmarkStart w:id="84" w:name="_Toc18793_WPSOffice_Level2"/>
      <w:bookmarkStart w:id="85" w:name="_Toc23864_WPSOffice_Level2"/>
      <w:bookmarkStart w:id="86" w:name="_Toc19535_WPSOffice_Level2"/>
      <w:bookmarkStart w:id="87" w:name="_Toc27767_WPSOffice_Level2"/>
      <w:bookmarkStart w:id="88" w:name="_Toc19075_WPSOffice_Level2"/>
      <w:r>
        <w:rPr>
          <w:rFonts w:hint="eastAsia" w:ascii="楷体" w:hAnsi="楷体" w:eastAsia="楷体" w:cs="楷体"/>
          <w:color w:val="000000"/>
          <w:sz w:val="32"/>
          <w:szCs w:val="32"/>
          <w:highlight w:val="none"/>
        </w:rPr>
        <w:t>（二）一般公共预算财政拨款支出决算结构情况</w:t>
      </w:r>
      <w:bookmarkEnd w:id="83"/>
      <w:bookmarkEnd w:id="84"/>
      <w:r>
        <w:rPr>
          <w:rFonts w:hint="eastAsia" w:ascii="楷体" w:hAnsi="楷体" w:eastAsia="楷体" w:cs="楷体"/>
          <w:color w:val="000000"/>
          <w:sz w:val="32"/>
          <w:szCs w:val="32"/>
          <w:highlight w:val="none"/>
        </w:rPr>
        <w:t>。</w:t>
      </w:r>
      <w:bookmarkEnd w:id="85"/>
      <w:bookmarkEnd w:id="86"/>
      <w:bookmarkEnd w:id="87"/>
      <w:bookmarkEnd w:id="88"/>
    </w:p>
    <w:p w14:paraId="7FD4AF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年度一般公共预算财政拨款支出</w:t>
      </w:r>
      <w:r>
        <w:rPr>
          <w:rFonts w:hint="eastAsia" w:ascii="仿宋_GB2312" w:hAnsi="ˎ̥" w:eastAsia="仿宋_GB2312"/>
          <w:color w:val="000000"/>
          <w:sz w:val="32"/>
          <w:szCs w:val="32"/>
          <w:highlight w:val="none"/>
          <w:lang w:val="en-US" w:eastAsia="zh-CN"/>
        </w:rPr>
        <w:t>337.5</w:t>
      </w:r>
      <w:r>
        <w:rPr>
          <w:rFonts w:hint="eastAsia" w:ascii="仿宋_GB2312" w:hAnsi="ˎ̥" w:eastAsia="仿宋_GB2312"/>
          <w:color w:val="000000"/>
          <w:sz w:val="32"/>
          <w:szCs w:val="32"/>
          <w:highlight w:val="none"/>
        </w:rPr>
        <w:t>万元，主要用于以下方面：</w:t>
      </w:r>
      <w:r>
        <w:rPr>
          <w:rFonts w:hint="eastAsia" w:ascii="仿宋_GB2312" w:hAnsi="ˎ̥" w:eastAsia="仿宋_GB2312"/>
          <w:b/>
          <w:color w:val="000000"/>
          <w:sz w:val="32"/>
          <w:szCs w:val="32"/>
          <w:highlight w:val="none"/>
        </w:rPr>
        <w:t>一般公共服务（类）</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293.1</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86.84</w:t>
      </w:r>
      <w:r>
        <w:rPr>
          <w:rFonts w:hint="eastAsia" w:ascii="仿宋_GB2312" w:hAnsi="ˎ̥" w:eastAsia="仿宋_GB2312"/>
          <w:color w:val="000000"/>
          <w:sz w:val="32"/>
          <w:szCs w:val="32"/>
          <w:highlight w:val="none"/>
        </w:rPr>
        <w:t>%；</w:t>
      </w:r>
      <w:r>
        <w:rPr>
          <w:rFonts w:hint="eastAsia" w:ascii="仿宋_GB2312" w:hAnsi="ˎ̥" w:eastAsia="仿宋_GB2312"/>
          <w:b/>
          <w:color w:val="000000"/>
          <w:sz w:val="32"/>
          <w:szCs w:val="32"/>
          <w:highlight w:val="none"/>
        </w:rPr>
        <w:t>社会保障和就业（类）</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70.23</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20.81</w:t>
      </w:r>
      <w:r>
        <w:rPr>
          <w:rFonts w:hint="eastAsia" w:ascii="仿宋_GB2312" w:hAnsi="ˎ̥" w:eastAsia="仿宋_GB2312"/>
          <w:color w:val="000000"/>
          <w:sz w:val="32"/>
          <w:szCs w:val="32"/>
          <w:highlight w:val="none"/>
        </w:rPr>
        <w:t>%；</w:t>
      </w:r>
      <w:r>
        <w:rPr>
          <w:rFonts w:hint="eastAsia" w:ascii="仿宋_GB2312" w:hAnsi="ˎ̥" w:eastAsia="仿宋_GB2312"/>
          <w:b/>
          <w:bCs/>
          <w:color w:val="000000"/>
          <w:sz w:val="32"/>
          <w:szCs w:val="32"/>
          <w:highlight w:val="none"/>
        </w:rPr>
        <w:t>卫生健康</w:t>
      </w:r>
      <w:r>
        <w:rPr>
          <w:rFonts w:hint="eastAsia" w:ascii="仿宋_GB2312" w:hAnsi="ˎ̥" w:eastAsia="仿宋_GB2312"/>
          <w:b/>
          <w:bCs/>
          <w:color w:val="000000"/>
          <w:sz w:val="32"/>
          <w:szCs w:val="32"/>
          <w:highlight w:val="none"/>
          <w:lang w:eastAsia="zh-CN"/>
        </w:rPr>
        <w:t>（类）</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52.52万元，占15.56%；</w:t>
      </w:r>
      <w:r>
        <w:rPr>
          <w:rFonts w:hint="eastAsia" w:ascii="仿宋_GB2312" w:hAnsi="ˎ̥" w:eastAsia="仿宋_GB2312"/>
          <w:b/>
          <w:bCs/>
          <w:color w:val="000000"/>
          <w:sz w:val="32"/>
          <w:szCs w:val="32"/>
          <w:highlight w:val="none"/>
        </w:rPr>
        <w:t>住房保障（类）</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25.43</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7.53</w:t>
      </w:r>
      <w:r>
        <w:rPr>
          <w:rFonts w:hint="eastAsia" w:ascii="仿宋_GB2312" w:hAnsi="ˎ̥" w:eastAsia="仿宋_GB2312"/>
          <w:color w:val="000000"/>
          <w:sz w:val="32"/>
          <w:szCs w:val="32"/>
          <w:highlight w:val="none"/>
        </w:rPr>
        <w:t>%。</w:t>
      </w:r>
    </w:p>
    <w:p w14:paraId="001907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bookmarkStart w:id="89" w:name="_Toc29364_WPSOffice_Level2"/>
      <w:bookmarkStart w:id="90" w:name="_Toc15415_WPSOffice_Level2"/>
      <w:bookmarkStart w:id="91" w:name="_Toc21701_WPSOffice_Level2"/>
      <w:bookmarkStart w:id="92" w:name="_Toc22318_WPSOffice_Level2"/>
      <w:bookmarkStart w:id="93" w:name="_Toc9502_WPSOffice_Level2"/>
      <w:bookmarkStart w:id="94" w:name="_Toc25136_WPSOffice_Level2"/>
      <w:r>
        <w:rPr>
          <w:rFonts w:hint="eastAsia" w:ascii="楷体" w:hAnsi="楷体" w:eastAsia="楷体" w:cs="楷体"/>
          <w:color w:val="000000"/>
          <w:sz w:val="32"/>
          <w:szCs w:val="32"/>
          <w:highlight w:val="none"/>
        </w:rPr>
        <w:t>（三）一般公共预算财政拨款支出决算具体情况。</w:t>
      </w:r>
      <w:bookmarkEnd w:id="89"/>
      <w:bookmarkEnd w:id="90"/>
      <w:bookmarkEnd w:id="91"/>
      <w:bookmarkEnd w:id="92"/>
      <w:bookmarkEnd w:id="93"/>
      <w:bookmarkEnd w:id="94"/>
    </w:p>
    <w:p w14:paraId="5AB719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年度一般公共预算财政拨款支出年初预算为</w:t>
      </w:r>
      <w:r>
        <w:rPr>
          <w:rFonts w:hint="eastAsia" w:ascii="仿宋_GB2312" w:hAnsi="黑体" w:eastAsia="仿宋_GB2312" w:cs="仿宋_GB2312"/>
          <w:sz w:val="32"/>
          <w:szCs w:val="32"/>
          <w:lang w:val="en-US" w:eastAsia="zh-CN"/>
        </w:rPr>
        <w:t>374.76</w:t>
      </w:r>
      <w:r>
        <w:rPr>
          <w:rFonts w:hint="eastAsia" w:ascii="仿宋_GB2312" w:hAnsi="ˎ̥" w:eastAsia="仿宋_GB2312"/>
          <w:color w:val="000000"/>
          <w:sz w:val="32"/>
          <w:szCs w:val="32"/>
          <w:highlight w:val="none"/>
        </w:rPr>
        <w:t>万元，支出决算为</w:t>
      </w:r>
      <w:r>
        <w:rPr>
          <w:rFonts w:hint="eastAsia" w:ascii="仿宋_GB2312" w:hAnsi="ˎ̥" w:eastAsia="仿宋_GB2312"/>
          <w:color w:val="000000"/>
          <w:sz w:val="32"/>
          <w:szCs w:val="32"/>
          <w:highlight w:val="none"/>
          <w:lang w:val="en-US" w:eastAsia="zh-CN"/>
        </w:rPr>
        <w:t>383.3</w:t>
      </w:r>
      <w:r>
        <w:rPr>
          <w:rFonts w:hint="eastAsia" w:ascii="仿宋_GB2312" w:hAnsi="ˎ̥" w:eastAsia="仿宋_GB2312"/>
          <w:color w:val="000000"/>
          <w:sz w:val="32"/>
          <w:szCs w:val="32"/>
          <w:highlight w:val="none"/>
        </w:rPr>
        <w:t>万元，完成年初预算的</w:t>
      </w:r>
      <w:r>
        <w:rPr>
          <w:rFonts w:hint="eastAsia" w:ascii="仿宋_GB2312" w:hAnsi="ˎ̥" w:eastAsia="仿宋_GB2312"/>
          <w:color w:val="000000"/>
          <w:sz w:val="32"/>
          <w:szCs w:val="32"/>
          <w:highlight w:val="none"/>
          <w:lang w:val="en-US" w:eastAsia="zh-CN"/>
        </w:rPr>
        <w:t>102.28</w:t>
      </w:r>
      <w:r>
        <w:rPr>
          <w:rFonts w:hint="eastAsia" w:ascii="仿宋_GB2312" w:hAnsi="ˎ̥" w:eastAsia="仿宋_GB2312"/>
          <w:color w:val="000000"/>
          <w:sz w:val="32"/>
          <w:szCs w:val="32"/>
          <w:highlight w:val="none"/>
        </w:rPr>
        <w:t>%。其中：</w:t>
      </w:r>
    </w:p>
    <w:p w14:paraId="442208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b/>
          <w:color w:val="000000"/>
          <w:sz w:val="32"/>
          <w:szCs w:val="32"/>
          <w:highlight w:val="none"/>
        </w:rPr>
      </w:pPr>
      <w:r>
        <w:rPr>
          <w:rFonts w:hint="eastAsia" w:ascii="仿宋_GB2312" w:hAnsi="ˎ̥" w:eastAsia="仿宋_GB2312"/>
          <w:color w:val="000000"/>
          <w:sz w:val="32"/>
          <w:szCs w:val="32"/>
          <w:highlight w:val="none"/>
        </w:rPr>
        <w:t>1.</w:t>
      </w:r>
      <w:r>
        <w:rPr>
          <w:rFonts w:hint="eastAsia" w:ascii="仿宋_GB2312" w:hAnsi="ˎ̥" w:eastAsia="仿宋_GB2312"/>
          <w:b/>
          <w:color w:val="000000"/>
          <w:sz w:val="32"/>
          <w:szCs w:val="32"/>
          <w:highlight w:val="none"/>
        </w:rPr>
        <w:t>一般公共服务（类）财政事务（款）行政运行（项）。</w:t>
      </w:r>
    </w:p>
    <w:p w14:paraId="1C252F8D">
      <w:pPr>
        <w:ind w:firstLine="640" w:firstLineChars="200"/>
        <w:rPr>
          <w:rFonts w:hint="eastAsia" w:ascii="仿宋_GB2312" w:hAnsi="ˎ̥" w:eastAsia="仿宋_GB2312"/>
          <w:sz w:val="32"/>
          <w:szCs w:val="32"/>
        </w:rPr>
      </w:pPr>
      <w:r>
        <w:rPr>
          <w:rFonts w:hint="eastAsia" w:ascii="仿宋_GB2312" w:hAnsi="ˎ̥" w:eastAsia="仿宋_GB2312"/>
          <w:color w:val="000000"/>
          <w:sz w:val="32"/>
          <w:szCs w:val="32"/>
          <w:highlight w:val="none"/>
        </w:rPr>
        <w:t>年初预算为</w:t>
      </w:r>
      <w:r>
        <w:rPr>
          <w:rFonts w:hint="eastAsia" w:ascii="仿宋_GB2312" w:hAnsi="ˎ̥" w:eastAsia="仿宋_GB2312"/>
          <w:color w:val="000000"/>
          <w:sz w:val="32"/>
          <w:szCs w:val="32"/>
          <w:highlight w:val="none"/>
          <w:lang w:val="en-US" w:eastAsia="zh-CN"/>
        </w:rPr>
        <w:t>254.49</w:t>
      </w:r>
      <w:r>
        <w:rPr>
          <w:rFonts w:hint="eastAsia" w:ascii="仿宋_GB2312" w:hAnsi="ˎ̥" w:eastAsia="仿宋_GB2312"/>
          <w:color w:val="000000"/>
          <w:sz w:val="32"/>
          <w:szCs w:val="32"/>
          <w:highlight w:val="none"/>
        </w:rPr>
        <w:t>万元，支出决算为</w:t>
      </w:r>
      <w:r>
        <w:rPr>
          <w:rFonts w:hint="eastAsia" w:ascii="仿宋_GB2312" w:hAnsi="ˎ̥" w:eastAsia="仿宋_GB2312"/>
          <w:color w:val="000000"/>
          <w:sz w:val="32"/>
          <w:szCs w:val="32"/>
          <w:highlight w:val="none"/>
          <w:lang w:val="en-US" w:eastAsia="zh-CN"/>
        </w:rPr>
        <w:t>201.47</w:t>
      </w:r>
      <w:r>
        <w:rPr>
          <w:rFonts w:hint="eastAsia" w:ascii="仿宋_GB2312" w:hAnsi="ˎ̥" w:eastAsia="仿宋_GB2312"/>
          <w:color w:val="000000"/>
          <w:sz w:val="32"/>
          <w:szCs w:val="32"/>
          <w:highlight w:val="none"/>
        </w:rPr>
        <w:t>万元，完成年初预算的</w:t>
      </w:r>
      <w:r>
        <w:rPr>
          <w:rFonts w:hint="eastAsia" w:ascii="仿宋_GB2312" w:hAnsi="ˎ̥" w:eastAsia="仿宋_GB2312"/>
          <w:color w:val="000000"/>
          <w:sz w:val="32"/>
          <w:szCs w:val="32"/>
          <w:highlight w:val="none"/>
          <w:lang w:val="en-US" w:eastAsia="zh-CN"/>
        </w:rPr>
        <w:t>79.17</w:t>
      </w:r>
      <w:r>
        <w:rPr>
          <w:rFonts w:hint="eastAsia" w:ascii="仿宋_GB2312" w:hAnsi="ˎ̥" w:eastAsia="仿宋_GB2312"/>
          <w:color w:val="000000"/>
          <w:sz w:val="32"/>
          <w:szCs w:val="32"/>
          <w:highlight w:val="none"/>
        </w:rPr>
        <w:t>%。决算数</w:t>
      </w:r>
      <w:r>
        <w:rPr>
          <w:rFonts w:hint="eastAsia" w:ascii="仿宋_GB2312" w:hAnsi="ˎ̥" w:eastAsia="仿宋_GB2312"/>
          <w:color w:val="000000"/>
          <w:sz w:val="32"/>
          <w:szCs w:val="32"/>
          <w:highlight w:val="none"/>
          <w:lang w:val="en-US" w:eastAsia="zh-CN"/>
        </w:rPr>
        <w:t>小</w:t>
      </w:r>
      <w:r>
        <w:rPr>
          <w:rFonts w:hint="eastAsia" w:ascii="仿宋_GB2312" w:hAnsi="ˎ̥" w:eastAsia="仿宋_GB2312"/>
          <w:color w:val="000000"/>
          <w:sz w:val="32"/>
          <w:szCs w:val="32"/>
          <w:highlight w:val="none"/>
        </w:rPr>
        <w:t>于预算数的主要原因</w:t>
      </w:r>
      <w:r>
        <w:rPr>
          <w:rFonts w:hint="eastAsia" w:ascii="仿宋_GB2312" w:hAnsi="ˎ̥" w:eastAsia="仿宋_GB2312"/>
          <w:color w:val="000000"/>
          <w:sz w:val="32"/>
          <w:szCs w:val="32"/>
          <w:highlight w:val="none"/>
          <w:lang w:val="en-US" w:eastAsia="zh-CN"/>
        </w:rPr>
        <w:t>是2024年人员变动</w:t>
      </w:r>
      <w:r>
        <w:rPr>
          <w:rFonts w:hint="eastAsia" w:ascii="仿宋_GB2312" w:hAnsi="ˎ̥" w:eastAsia="仿宋_GB2312"/>
          <w:sz w:val="32"/>
          <w:szCs w:val="32"/>
          <w:lang w:val="en-US" w:eastAsia="zh-CN"/>
        </w:rPr>
        <w:t>。</w:t>
      </w:r>
    </w:p>
    <w:p w14:paraId="4B98614E">
      <w:pPr>
        <w:numPr>
          <w:ilvl w:val="0"/>
          <w:numId w:val="3"/>
        </w:numPr>
        <w:ind w:firstLine="643" w:firstLineChars="200"/>
        <w:rPr>
          <w:rFonts w:hint="eastAsia" w:ascii="仿宋_GB2312" w:hAnsi="ˎ̥" w:eastAsia="仿宋_GB2312"/>
          <w:b/>
          <w:sz w:val="32"/>
          <w:szCs w:val="32"/>
        </w:rPr>
      </w:pPr>
      <w:r>
        <w:rPr>
          <w:rFonts w:hint="eastAsia" w:ascii="仿宋_GB2312" w:hAnsi="ˎ̥" w:eastAsia="仿宋_GB2312"/>
          <w:b/>
          <w:sz w:val="32"/>
          <w:szCs w:val="32"/>
        </w:rPr>
        <w:t>一般公共服务（类）财政事务（款）财政国库业务（项）</w:t>
      </w:r>
    </w:p>
    <w:p w14:paraId="16E13634">
      <w:pPr>
        <w:ind w:firstLine="640" w:firstLineChars="200"/>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29F440FF">
      <w:pPr>
        <w:ind w:firstLine="643" w:firstLineChars="200"/>
        <w:rPr>
          <w:rFonts w:hint="eastAsia" w:ascii="仿宋_GB2312" w:hAnsi="ˎ̥" w:eastAsia="仿宋_GB2312"/>
          <w:b/>
          <w:sz w:val="32"/>
          <w:szCs w:val="32"/>
        </w:rPr>
      </w:pPr>
      <w:r>
        <w:rPr>
          <w:rFonts w:hint="eastAsia" w:ascii="仿宋_GB2312" w:hAnsi="ˎ̥" w:eastAsia="仿宋_GB2312"/>
          <w:b/>
          <w:bCs/>
          <w:color w:val="auto"/>
          <w:sz w:val="32"/>
          <w:szCs w:val="32"/>
          <w:lang w:val="en-US" w:eastAsia="zh-CN"/>
        </w:rPr>
        <w:t>3.</w:t>
      </w:r>
      <w:r>
        <w:rPr>
          <w:rFonts w:hint="eastAsia" w:ascii="仿宋_GB2312" w:hAnsi="ˎ̥" w:eastAsia="仿宋_GB2312"/>
          <w:b/>
          <w:bCs/>
          <w:sz w:val="32"/>
          <w:szCs w:val="32"/>
        </w:rPr>
        <w:t>社</w:t>
      </w:r>
      <w:r>
        <w:rPr>
          <w:rFonts w:hint="eastAsia" w:ascii="仿宋_GB2312" w:hAnsi="ˎ̥" w:eastAsia="仿宋_GB2312"/>
          <w:b/>
          <w:sz w:val="32"/>
          <w:szCs w:val="32"/>
        </w:rPr>
        <w:t>会保障和就业支出（类）行政事业单位养老支出（款）机关事业单位基本养老保险缴费支出（项）</w:t>
      </w:r>
    </w:p>
    <w:p w14:paraId="5E1C57B5">
      <w:pPr>
        <w:spacing w:line="360" w:lineRule="auto"/>
        <w:ind w:firstLine="640" w:firstLineChars="200"/>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29.21</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26.82</w:t>
      </w:r>
      <w:r>
        <w:rPr>
          <w:rFonts w:hint="eastAsia" w:ascii="仿宋_GB2312" w:hAnsi="ˎ̥" w:eastAsia="仿宋_GB2312"/>
          <w:sz w:val="32"/>
          <w:szCs w:val="32"/>
        </w:rPr>
        <w:t>万元. 完成年初预算的</w:t>
      </w:r>
      <w:r>
        <w:rPr>
          <w:rFonts w:hint="eastAsia" w:ascii="仿宋_GB2312" w:hAnsi="ˎ̥" w:eastAsia="仿宋_GB2312"/>
          <w:sz w:val="32"/>
          <w:szCs w:val="32"/>
          <w:lang w:val="en-US" w:eastAsia="zh-CN"/>
        </w:rPr>
        <w:t>91.82</w:t>
      </w:r>
      <w:r>
        <w:rPr>
          <w:rFonts w:hint="eastAsia" w:ascii="仿宋_GB2312" w:hAnsi="ˎ̥" w:eastAsia="仿宋_GB2312"/>
          <w:sz w:val="32"/>
          <w:szCs w:val="32"/>
        </w:rPr>
        <w:t>%。决算数</w:t>
      </w:r>
      <w:r>
        <w:rPr>
          <w:rFonts w:hint="eastAsia" w:ascii="仿宋_GB2312" w:hAnsi="ˎ̥" w:eastAsia="仿宋_GB2312"/>
          <w:sz w:val="32"/>
          <w:szCs w:val="32"/>
          <w:lang w:val="en-US" w:eastAsia="zh-CN"/>
        </w:rPr>
        <w:t>小</w:t>
      </w:r>
      <w:r>
        <w:rPr>
          <w:rFonts w:hint="eastAsia" w:ascii="仿宋_GB2312" w:hAnsi="ˎ̥" w:eastAsia="仿宋_GB2312"/>
          <w:sz w:val="32"/>
          <w:szCs w:val="32"/>
          <w:lang w:eastAsia="zh-CN"/>
        </w:rPr>
        <w:t>于</w:t>
      </w:r>
      <w:r>
        <w:rPr>
          <w:rFonts w:hint="eastAsia" w:ascii="仿宋_GB2312" w:hAnsi="ˎ̥" w:eastAsia="仿宋_GB2312"/>
          <w:sz w:val="32"/>
          <w:szCs w:val="32"/>
        </w:rPr>
        <w:t>预算数的主要原因是：</w:t>
      </w:r>
      <w:r>
        <w:rPr>
          <w:rFonts w:hint="eastAsia" w:ascii="仿宋_GB2312" w:hAnsi="ˎ̥" w:eastAsia="仿宋_GB2312"/>
          <w:sz w:val="32"/>
          <w:szCs w:val="32"/>
          <w:lang w:val="en-US" w:eastAsia="zh-CN"/>
        </w:rPr>
        <w:t>人员变动</w:t>
      </w:r>
      <w:r>
        <w:rPr>
          <w:rFonts w:hint="eastAsia" w:ascii="仿宋_GB2312" w:hAnsi="ˎ̥" w:eastAsia="仿宋_GB2312"/>
          <w:sz w:val="32"/>
          <w:szCs w:val="32"/>
        </w:rPr>
        <w:t>。</w:t>
      </w:r>
    </w:p>
    <w:p w14:paraId="0CBA2422">
      <w:pPr>
        <w:numPr>
          <w:ilvl w:val="0"/>
          <w:numId w:val="0"/>
        </w:numPr>
        <w:ind w:firstLine="643" w:firstLineChars="200"/>
        <w:rPr>
          <w:rFonts w:hint="eastAsia" w:ascii="仿宋_GB2312" w:hAnsi="ˎ̥" w:eastAsia="仿宋_GB2312"/>
          <w:b/>
          <w:sz w:val="32"/>
          <w:szCs w:val="32"/>
        </w:rPr>
      </w:pPr>
      <w:r>
        <w:rPr>
          <w:rFonts w:hint="eastAsia" w:ascii="仿宋_GB2312" w:hAnsi="ˎ̥" w:eastAsia="仿宋_GB2312"/>
          <w:b/>
          <w:bCs/>
          <w:sz w:val="32"/>
          <w:szCs w:val="32"/>
          <w:lang w:val="en-US" w:eastAsia="zh-CN"/>
        </w:rPr>
        <w:t>4.</w:t>
      </w:r>
      <w:r>
        <w:rPr>
          <w:rFonts w:hint="eastAsia" w:ascii="仿宋_GB2312" w:hAnsi="ˎ̥" w:eastAsia="仿宋_GB2312"/>
          <w:b/>
          <w:bCs/>
          <w:sz w:val="32"/>
          <w:szCs w:val="32"/>
        </w:rPr>
        <w:t>社</w:t>
      </w:r>
      <w:r>
        <w:rPr>
          <w:rFonts w:hint="eastAsia" w:ascii="仿宋_GB2312" w:hAnsi="ˎ̥" w:eastAsia="仿宋_GB2312"/>
          <w:b/>
          <w:sz w:val="32"/>
          <w:szCs w:val="32"/>
        </w:rPr>
        <w:t>会保障和就业支出（类）行政事业单位养老支出（款）机关事业单位职业年金缴费支出（项）</w:t>
      </w:r>
    </w:p>
    <w:p w14:paraId="35ECEBC2">
      <w:pPr>
        <w:spacing w:line="360" w:lineRule="auto"/>
        <w:ind w:firstLine="640" w:firstLineChars="200"/>
        <w:rPr>
          <w:rFonts w:hint="eastAsia"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7.33</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39.17</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完成年初预算的</w:t>
      </w:r>
      <w:r>
        <w:rPr>
          <w:rFonts w:hint="eastAsia" w:ascii="仿宋_GB2312" w:hAnsi="ˎ̥" w:eastAsia="仿宋_GB2312"/>
          <w:sz w:val="32"/>
          <w:szCs w:val="32"/>
          <w:lang w:val="en-US" w:eastAsia="zh-CN"/>
        </w:rPr>
        <w:t>534.38</w:t>
      </w:r>
      <w:r>
        <w:rPr>
          <w:rFonts w:hint="eastAsia" w:ascii="仿宋_GB2312" w:hAnsi="ˎ̥" w:eastAsia="仿宋_GB2312"/>
          <w:sz w:val="32"/>
          <w:szCs w:val="32"/>
        </w:rPr>
        <w:t>%。决算数</w:t>
      </w:r>
      <w:r>
        <w:rPr>
          <w:rFonts w:hint="eastAsia" w:ascii="仿宋_GB2312" w:hAnsi="ˎ̥" w:eastAsia="仿宋_GB2312"/>
          <w:sz w:val="32"/>
          <w:szCs w:val="32"/>
          <w:lang w:eastAsia="zh-CN"/>
        </w:rPr>
        <w:t>大于</w:t>
      </w:r>
      <w:r>
        <w:rPr>
          <w:rFonts w:hint="eastAsia" w:ascii="仿宋_GB2312" w:hAnsi="ˎ̥" w:eastAsia="仿宋_GB2312"/>
          <w:sz w:val="32"/>
          <w:szCs w:val="32"/>
        </w:rPr>
        <w:t>预算数的主要原因是：</w:t>
      </w:r>
      <w:r>
        <w:rPr>
          <w:rFonts w:hint="eastAsia" w:ascii="仿宋_GB2312" w:hAnsi="ˎ̥" w:eastAsia="仿宋_GB2312"/>
          <w:sz w:val="32"/>
          <w:szCs w:val="32"/>
          <w:lang w:val="en-US" w:eastAsia="zh-CN"/>
        </w:rPr>
        <w:t>追加在职人员职业年金记实缴费</w:t>
      </w:r>
      <w:r>
        <w:rPr>
          <w:rFonts w:hint="eastAsia" w:ascii="仿宋_GB2312" w:hAnsi="ˎ̥" w:eastAsia="仿宋_GB2312"/>
          <w:sz w:val="32"/>
          <w:szCs w:val="32"/>
        </w:rPr>
        <w:t>。</w:t>
      </w:r>
    </w:p>
    <w:p w14:paraId="105ABFB9">
      <w:pPr>
        <w:ind w:firstLine="640" w:firstLineChars="200"/>
        <w:rPr>
          <w:rFonts w:hint="eastAsia" w:ascii="仿宋_GB2312" w:hAnsi="ˎ̥" w:eastAsia="仿宋_GB2312"/>
          <w:sz w:val="32"/>
          <w:szCs w:val="32"/>
        </w:rPr>
      </w:pPr>
      <w:r>
        <w:rPr>
          <w:rFonts w:hint="eastAsia" w:ascii="仿宋_GB2312" w:hAnsi="ˎ̥" w:eastAsia="仿宋_GB2312"/>
          <w:sz w:val="32"/>
          <w:szCs w:val="32"/>
          <w:lang w:val="en-US" w:eastAsia="zh-CN"/>
        </w:rPr>
        <w:t>5</w:t>
      </w:r>
      <w:r>
        <w:rPr>
          <w:rFonts w:hint="eastAsia" w:ascii="仿宋_GB2312" w:hAnsi="ˎ̥" w:eastAsia="仿宋_GB2312"/>
          <w:sz w:val="32"/>
          <w:szCs w:val="32"/>
        </w:rPr>
        <w:t>.</w:t>
      </w:r>
      <w:r>
        <w:rPr>
          <w:rFonts w:hint="eastAsia" w:ascii="仿宋_GB2312" w:hAnsi="ˎ̥" w:eastAsia="仿宋_GB2312"/>
          <w:b/>
          <w:sz w:val="32"/>
          <w:szCs w:val="32"/>
        </w:rPr>
        <w:t>社会保障和就业（类）抚恤（款）其他优抚支出（项）。</w:t>
      </w:r>
      <w:r>
        <w:rPr>
          <w:rFonts w:hint="eastAsia" w:ascii="仿宋_GB2312" w:hAnsi="ˎ̥" w:eastAsia="仿宋_GB2312"/>
          <w:sz w:val="32"/>
          <w:szCs w:val="32"/>
        </w:rPr>
        <w:t>年初预算为</w:t>
      </w:r>
      <w:r>
        <w:rPr>
          <w:rFonts w:hint="eastAsia" w:ascii="仿宋_GB2312" w:hAnsi="ˎ̥" w:eastAsia="仿宋_GB2312"/>
          <w:sz w:val="32"/>
          <w:szCs w:val="32"/>
          <w:lang w:val="en-US" w:eastAsia="zh-CN"/>
        </w:rPr>
        <w:t>1.86</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1.80</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96.77</w:t>
      </w:r>
      <w:r>
        <w:rPr>
          <w:rFonts w:hint="eastAsia" w:ascii="仿宋_GB2312" w:hAnsi="ˎ̥" w:eastAsia="仿宋_GB2312"/>
          <w:sz w:val="32"/>
          <w:szCs w:val="32"/>
        </w:rPr>
        <w:t>%。决算数</w:t>
      </w:r>
      <w:r>
        <w:rPr>
          <w:rFonts w:hint="eastAsia" w:ascii="仿宋_GB2312" w:hAnsi="ˎ̥" w:eastAsia="仿宋_GB2312"/>
          <w:sz w:val="32"/>
          <w:szCs w:val="32"/>
          <w:lang w:val="en-US" w:eastAsia="zh-CN"/>
        </w:rPr>
        <w:t>小</w:t>
      </w:r>
      <w:r>
        <w:rPr>
          <w:rFonts w:hint="eastAsia" w:ascii="仿宋_GB2312" w:hAnsi="ˎ̥" w:eastAsia="仿宋_GB2312"/>
          <w:sz w:val="32"/>
          <w:szCs w:val="32"/>
        </w:rPr>
        <w:t>于预算数主要原因是</w:t>
      </w:r>
      <w:r>
        <w:rPr>
          <w:rFonts w:hint="eastAsia" w:ascii="仿宋_GB2312" w:hAnsi="ˎ̥" w:eastAsia="仿宋_GB2312"/>
          <w:sz w:val="32"/>
          <w:szCs w:val="32"/>
          <w:lang w:val="en-US" w:eastAsia="zh-CN"/>
        </w:rPr>
        <w:t>2024年遗属人员减员</w:t>
      </w:r>
      <w:r>
        <w:rPr>
          <w:rFonts w:hint="eastAsia" w:ascii="仿宋_GB2312" w:hAnsi="ˎ̥" w:eastAsia="仿宋_GB2312"/>
          <w:sz w:val="32"/>
          <w:szCs w:val="32"/>
        </w:rPr>
        <w:t>。</w:t>
      </w:r>
    </w:p>
    <w:p w14:paraId="16141D1E">
      <w:pPr>
        <w:ind w:firstLine="643" w:firstLineChars="200"/>
        <w:rPr>
          <w:rFonts w:hint="eastAsia" w:ascii="仿宋_GB2312" w:hAnsi="ˎ̥" w:eastAsia="仿宋_GB2312"/>
          <w:b/>
          <w:sz w:val="32"/>
          <w:szCs w:val="32"/>
        </w:rPr>
      </w:pPr>
      <w:r>
        <w:rPr>
          <w:rFonts w:hint="eastAsia" w:ascii="仿宋_GB2312" w:hAnsi="ˎ̥" w:eastAsia="仿宋_GB2312"/>
          <w:b/>
          <w:bCs/>
          <w:sz w:val="32"/>
          <w:szCs w:val="32"/>
          <w:lang w:val="en-US" w:eastAsia="zh-CN"/>
        </w:rPr>
        <w:t>6.</w:t>
      </w:r>
      <w:r>
        <w:rPr>
          <w:rFonts w:hint="eastAsia" w:ascii="仿宋_GB2312" w:hAnsi="ˎ̥" w:eastAsia="仿宋_GB2312"/>
          <w:b/>
          <w:sz w:val="32"/>
          <w:szCs w:val="32"/>
        </w:rPr>
        <w:t>卫生健康支出（类）行政事业单位医疗（款）行政单位医疗（项）</w:t>
      </w:r>
    </w:p>
    <w:p w14:paraId="5635BF08">
      <w:pPr>
        <w:spacing w:line="360" w:lineRule="auto"/>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13.74</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11.36</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0.83</w:t>
      </w:r>
      <w:r>
        <w:rPr>
          <w:rFonts w:hint="eastAsia" w:ascii="仿宋_GB2312" w:hAnsi="ˎ̥" w:eastAsia="仿宋_GB2312"/>
          <w:sz w:val="32"/>
          <w:szCs w:val="32"/>
        </w:rPr>
        <w:t>%。决算数小于预算数的主要原因是：</w:t>
      </w:r>
      <w:r>
        <w:rPr>
          <w:rFonts w:hint="eastAsia" w:ascii="仿宋_GB2312" w:hAnsi="ˎ̥" w:eastAsia="仿宋_GB2312"/>
          <w:sz w:val="32"/>
          <w:szCs w:val="32"/>
          <w:lang w:val="en-US" w:eastAsia="zh-CN"/>
        </w:rPr>
        <w:t>编制预算时系统自动测算，预算比实际支出偏大</w:t>
      </w:r>
      <w:r>
        <w:rPr>
          <w:rFonts w:hint="eastAsia" w:ascii="仿宋_GB2312" w:hAnsi="ˎ̥" w:eastAsia="仿宋_GB2312"/>
          <w:sz w:val="32"/>
          <w:szCs w:val="32"/>
          <w:lang w:eastAsia="zh-CN"/>
        </w:rPr>
        <w:t>。</w:t>
      </w:r>
    </w:p>
    <w:p w14:paraId="2BFBE89B">
      <w:pPr>
        <w:ind w:firstLine="643" w:firstLineChars="200"/>
        <w:rPr>
          <w:rFonts w:hint="eastAsia" w:ascii="仿宋_GB2312" w:hAnsi="ˎ̥" w:eastAsia="仿宋_GB2312"/>
          <w:b/>
          <w:sz w:val="32"/>
          <w:szCs w:val="32"/>
        </w:rPr>
      </w:pPr>
      <w:r>
        <w:rPr>
          <w:rFonts w:hint="eastAsia" w:ascii="仿宋_GB2312" w:hAnsi="ˎ̥" w:eastAsia="仿宋_GB2312"/>
          <w:b/>
          <w:sz w:val="32"/>
          <w:szCs w:val="32"/>
          <w:lang w:val="en-US" w:eastAsia="zh-CN"/>
        </w:rPr>
        <w:t>7.</w:t>
      </w:r>
      <w:r>
        <w:rPr>
          <w:rFonts w:hint="eastAsia" w:ascii="仿宋_GB2312" w:hAnsi="ˎ̥" w:eastAsia="仿宋_GB2312"/>
          <w:b/>
          <w:sz w:val="32"/>
          <w:szCs w:val="32"/>
        </w:rPr>
        <w:t>医疗卫生与计划生育支出（类）行政事业单位医疗（款）公务员医疗补助（项）</w:t>
      </w:r>
    </w:p>
    <w:p w14:paraId="0109CBB6">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38.19</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35.59</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93.19</w:t>
      </w:r>
      <w:r>
        <w:rPr>
          <w:rFonts w:hint="eastAsia" w:ascii="仿宋_GB2312" w:hAnsi="ˎ̥" w:eastAsia="仿宋_GB2312"/>
          <w:sz w:val="32"/>
          <w:szCs w:val="32"/>
        </w:rPr>
        <w:t>%。决算数</w:t>
      </w:r>
      <w:r>
        <w:rPr>
          <w:rFonts w:hint="eastAsia" w:ascii="仿宋_GB2312" w:hAnsi="ˎ̥" w:eastAsia="仿宋_GB2312"/>
          <w:sz w:val="32"/>
          <w:szCs w:val="32"/>
          <w:lang w:val="en-US" w:eastAsia="zh-CN"/>
        </w:rPr>
        <w:t>小</w:t>
      </w:r>
      <w:r>
        <w:rPr>
          <w:rFonts w:hint="eastAsia" w:ascii="仿宋_GB2312" w:hAnsi="ˎ̥" w:eastAsia="仿宋_GB2312"/>
          <w:sz w:val="32"/>
          <w:szCs w:val="32"/>
          <w:lang w:eastAsia="zh-CN"/>
        </w:rPr>
        <w:t>于</w:t>
      </w:r>
      <w:r>
        <w:rPr>
          <w:rFonts w:hint="eastAsia" w:ascii="仿宋_GB2312" w:hAnsi="ˎ̥" w:eastAsia="仿宋_GB2312"/>
          <w:sz w:val="32"/>
          <w:szCs w:val="32"/>
        </w:rPr>
        <w:t>预算数的主要原因是：</w:t>
      </w:r>
      <w:r>
        <w:rPr>
          <w:rFonts w:hint="eastAsia" w:ascii="仿宋_GB2312" w:hAnsi="ˎ̥" w:eastAsia="仿宋_GB2312"/>
          <w:sz w:val="32"/>
          <w:szCs w:val="32"/>
          <w:lang w:val="en-US" w:eastAsia="zh-CN"/>
        </w:rPr>
        <w:t>在职人员工资变动，导致</w:t>
      </w:r>
      <w:r>
        <w:rPr>
          <w:rFonts w:hint="eastAsia" w:ascii="仿宋_GB2312" w:hAnsi="ˎ̥" w:eastAsia="仿宋_GB2312"/>
          <w:sz w:val="32"/>
          <w:szCs w:val="32"/>
        </w:rPr>
        <w:t>公务员医疗补助基数的</w:t>
      </w:r>
      <w:r>
        <w:rPr>
          <w:rFonts w:hint="eastAsia" w:ascii="仿宋_GB2312" w:hAnsi="ˎ̥" w:eastAsia="仿宋_GB2312"/>
          <w:sz w:val="32"/>
          <w:szCs w:val="32"/>
          <w:lang w:val="en-US" w:eastAsia="zh-CN"/>
        </w:rPr>
        <w:t>减少</w:t>
      </w:r>
      <w:r>
        <w:rPr>
          <w:rFonts w:hint="eastAsia" w:ascii="仿宋_GB2312" w:hAnsi="ˎ̥" w:eastAsia="仿宋_GB2312"/>
          <w:sz w:val="32"/>
          <w:szCs w:val="32"/>
          <w:lang w:eastAsia="zh-CN"/>
        </w:rPr>
        <w:t>。</w:t>
      </w:r>
    </w:p>
    <w:p w14:paraId="5B15D723">
      <w:pPr>
        <w:ind w:firstLine="643" w:firstLineChars="200"/>
        <w:rPr>
          <w:rFonts w:hint="eastAsia" w:ascii="仿宋_GB2312" w:hAnsi="ˎ̥" w:eastAsia="仿宋_GB2312"/>
          <w:b/>
          <w:sz w:val="32"/>
          <w:szCs w:val="32"/>
        </w:rPr>
      </w:pPr>
      <w:r>
        <w:rPr>
          <w:rFonts w:hint="eastAsia" w:ascii="仿宋_GB2312" w:hAnsi="ˎ̥" w:eastAsia="仿宋_GB2312"/>
          <w:b/>
          <w:sz w:val="32"/>
          <w:szCs w:val="32"/>
          <w:lang w:val="en-US" w:eastAsia="zh-CN"/>
        </w:rPr>
        <w:t>8</w:t>
      </w:r>
      <w:r>
        <w:rPr>
          <w:rFonts w:hint="eastAsia" w:ascii="仿宋_GB2312" w:hAnsi="ˎ̥" w:eastAsia="仿宋_GB2312"/>
          <w:b/>
          <w:sz w:val="32"/>
          <w:szCs w:val="32"/>
        </w:rPr>
        <w:t>.住房保障支出（类）住房改革支出（款）住房公积金（项）</w:t>
      </w:r>
    </w:p>
    <w:p w14:paraId="0ABE52F8">
      <w:pPr>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25.43</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21.29</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83.72</w:t>
      </w:r>
      <w:r>
        <w:rPr>
          <w:rFonts w:hint="eastAsia" w:ascii="仿宋_GB2312" w:hAnsi="ˎ̥" w:eastAsia="仿宋_GB2312"/>
          <w:sz w:val="32"/>
          <w:szCs w:val="32"/>
        </w:rPr>
        <w:t>%。决算数小于预算数的主要原因是：</w:t>
      </w:r>
      <w:r>
        <w:rPr>
          <w:rFonts w:hint="eastAsia" w:ascii="仿宋_GB2312" w:hAnsi="ˎ̥" w:eastAsia="仿宋_GB2312"/>
          <w:sz w:val="32"/>
          <w:szCs w:val="32"/>
          <w:lang w:val="en-US" w:eastAsia="zh-CN"/>
        </w:rPr>
        <w:t>在职人员减少</w:t>
      </w:r>
      <w:r>
        <w:rPr>
          <w:rFonts w:hint="eastAsia" w:ascii="仿宋_GB2312" w:hAnsi="ˎ̥" w:eastAsia="仿宋_GB2312"/>
          <w:sz w:val="32"/>
          <w:szCs w:val="32"/>
          <w:lang w:eastAsia="zh-CN"/>
        </w:rPr>
        <w:t>。</w:t>
      </w:r>
    </w:p>
    <w:p w14:paraId="39B1FF25">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color w:val="000000"/>
          <w:sz w:val="32"/>
          <w:szCs w:val="32"/>
          <w:highlight w:val="none"/>
        </w:rPr>
      </w:pPr>
      <w:r>
        <w:rPr>
          <w:rFonts w:hint="eastAsia" w:ascii="黑体" w:hAnsi="黑体" w:eastAsia="黑体" w:cs="黑体"/>
          <w:bCs/>
          <w:color w:val="000000"/>
          <w:sz w:val="32"/>
          <w:szCs w:val="32"/>
          <w:highlight w:val="none"/>
        </w:rPr>
        <w:t>六、一般公共预算财政拨款基本支出决算情况说明</w:t>
      </w:r>
    </w:p>
    <w:p w14:paraId="07F800B8">
      <w:pPr>
        <w:keepNext w:val="0"/>
        <w:keepLines w:val="0"/>
        <w:pageBreakBefore w:val="0"/>
        <w:tabs>
          <w:tab w:val="center" w:pos="4473"/>
        </w:tabs>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年度财政拨款基本支出</w:t>
      </w:r>
      <w:r>
        <w:rPr>
          <w:rFonts w:hint="eastAsia" w:ascii="仿宋_GB2312" w:hAnsi="ˎ̥" w:eastAsia="仿宋_GB2312"/>
          <w:color w:val="000000"/>
          <w:sz w:val="32"/>
          <w:szCs w:val="32"/>
          <w:highlight w:val="none"/>
          <w:lang w:val="en-US" w:eastAsia="zh-CN"/>
        </w:rPr>
        <w:t>337.5</w:t>
      </w:r>
      <w:r>
        <w:rPr>
          <w:rFonts w:hint="eastAsia" w:ascii="仿宋_GB2312" w:hAnsi="ˎ̥" w:eastAsia="仿宋_GB2312"/>
          <w:color w:val="000000"/>
          <w:sz w:val="32"/>
          <w:szCs w:val="32"/>
          <w:highlight w:val="none"/>
        </w:rPr>
        <w:t>万元，其中：人员经费</w:t>
      </w:r>
      <w:r>
        <w:rPr>
          <w:rFonts w:hint="eastAsia" w:ascii="仿宋_GB2312" w:hAnsi="ˎ̥" w:eastAsia="仿宋_GB2312"/>
          <w:color w:val="000000"/>
          <w:sz w:val="32"/>
          <w:szCs w:val="32"/>
          <w:highlight w:val="none"/>
          <w:lang w:val="en-US" w:eastAsia="zh-CN"/>
        </w:rPr>
        <w:t>315.04</w:t>
      </w:r>
      <w:r>
        <w:rPr>
          <w:rFonts w:hint="eastAsia" w:ascii="仿宋_GB2312" w:hAnsi="ˎ̥" w:eastAsia="仿宋_GB2312"/>
          <w:color w:val="000000"/>
          <w:sz w:val="32"/>
          <w:szCs w:val="32"/>
          <w:highlight w:val="none"/>
        </w:rPr>
        <w:t>万元，主要包括：工资福利支出中的基本工资、津贴补贴、</w:t>
      </w:r>
      <w:r>
        <w:rPr>
          <w:rFonts w:hint="eastAsia" w:ascii="仿宋_GB2312" w:hAnsi="ˎ̥" w:eastAsia="仿宋_GB2312"/>
          <w:color w:val="000000"/>
          <w:sz w:val="32"/>
          <w:szCs w:val="32"/>
          <w:highlight w:val="none"/>
          <w:lang w:val="en-US" w:eastAsia="zh-CN"/>
        </w:rPr>
        <w:t>奖金、</w:t>
      </w:r>
      <w:r>
        <w:rPr>
          <w:rFonts w:hint="eastAsia" w:ascii="仿宋_GB2312" w:hAnsi="ˎ̥" w:eastAsia="仿宋_GB2312"/>
          <w:color w:val="000000"/>
          <w:sz w:val="32"/>
          <w:szCs w:val="32"/>
          <w:highlight w:val="none"/>
        </w:rPr>
        <w:t>机关事业单位基本养老保险缴费、职工基本医疗保险缴费、公务员医疗补助缴费、其他社会保障缴费、住房公积金</w:t>
      </w:r>
      <w:r>
        <w:rPr>
          <w:rFonts w:hint="eastAsia" w:ascii="仿宋_GB2312" w:hAnsi="ˎ̥" w:eastAsia="仿宋_GB2312"/>
          <w:color w:val="000000"/>
          <w:sz w:val="32"/>
          <w:szCs w:val="32"/>
          <w:highlight w:val="none"/>
          <w:lang w:eastAsia="zh-CN"/>
        </w:rPr>
        <w:t>、</w:t>
      </w:r>
      <w:r>
        <w:rPr>
          <w:rFonts w:hint="eastAsia" w:ascii="仿宋_GB2312" w:hAnsi="ˎ̥" w:eastAsia="仿宋_GB2312"/>
          <w:color w:val="000000"/>
          <w:sz w:val="32"/>
          <w:szCs w:val="32"/>
          <w:highlight w:val="none"/>
          <w:lang w:val="en-US" w:eastAsia="zh-CN"/>
        </w:rPr>
        <w:t>其他工资福利支出</w:t>
      </w:r>
      <w:r>
        <w:rPr>
          <w:rFonts w:hint="eastAsia" w:ascii="仿宋_GB2312" w:hAnsi="ˎ̥" w:eastAsia="仿宋_GB2312"/>
          <w:color w:val="000000"/>
          <w:sz w:val="32"/>
          <w:szCs w:val="32"/>
          <w:highlight w:val="none"/>
        </w:rPr>
        <w:t>。公用经费</w:t>
      </w:r>
      <w:r>
        <w:rPr>
          <w:rFonts w:hint="eastAsia" w:ascii="仿宋_GB2312" w:hAnsi="ˎ̥" w:eastAsia="仿宋_GB2312"/>
          <w:color w:val="000000"/>
          <w:sz w:val="32"/>
          <w:szCs w:val="32"/>
          <w:highlight w:val="none"/>
          <w:lang w:val="en-US" w:eastAsia="zh-CN"/>
        </w:rPr>
        <w:t>22.46</w:t>
      </w:r>
      <w:r>
        <w:rPr>
          <w:rFonts w:hint="eastAsia" w:ascii="仿宋_GB2312" w:hAnsi="ˎ̥" w:eastAsia="仿宋_GB2312"/>
          <w:color w:val="000000"/>
          <w:sz w:val="32"/>
          <w:szCs w:val="32"/>
          <w:highlight w:val="none"/>
        </w:rPr>
        <w:t>万元，主要包括：商品和服务支出中的办公费</w:t>
      </w:r>
      <w:r>
        <w:rPr>
          <w:rFonts w:hint="eastAsia" w:ascii="仿宋_GB2312" w:hAnsi="ˎ̥" w:eastAsia="仿宋_GB2312"/>
          <w:color w:val="000000"/>
          <w:sz w:val="32"/>
          <w:szCs w:val="32"/>
          <w:highlight w:val="none"/>
          <w:lang w:eastAsia="zh-CN"/>
        </w:rPr>
        <w:t>、</w:t>
      </w:r>
      <w:r>
        <w:rPr>
          <w:rFonts w:hint="eastAsia" w:ascii="仿宋_GB2312" w:hAnsi="ˎ̥" w:eastAsia="仿宋_GB2312"/>
          <w:color w:val="000000"/>
          <w:sz w:val="32"/>
          <w:szCs w:val="32"/>
          <w:highlight w:val="none"/>
        </w:rPr>
        <w:t>电费、邮电费、差旅费、工会经费、其他交通费用</w:t>
      </w:r>
      <w:r>
        <w:rPr>
          <w:rFonts w:hint="eastAsia" w:ascii="仿宋_GB2312" w:hAnsi="ˎ̥" w:eastAsia="仿宋_GB2312"/>
          <w:color w:val="000000"/>
          <w:sz w:val="32"/>
          <w:szCs w:val="32"/>
          <w:highlight w:val="none"/>
          <w:lang w:val="en-US" w:eastAsia="zh-CN"/>
        </w:rPr>
        <w:t>等</w:t>
      </w:r>
      <w:r>
        <w:rPr>
          <w:rFonts w:hint="eastAsia" w:ascii="仿宋_GB2312" w:hAnsi="ˎ̥" w:eastAsia="仿宋_GB2312"/>
          <w:color w:val="000000"/>
          <w:sz w:val="32"/>
          <w:szCs w:val="32"/>
          <w:highlight w:val="none"/>
        </w:rPr>
        <w:t>。</w:t>
      </w:r>
    </w:p>
    <w:p w14:paraId="03FDC8E1">
      <w:pPr>
        <w:keepNext w:val="0"/>
        <w:keepLines w:val="0"/>
        <w:pageBreakBefore w:val="0"/>
        <w:tabs>
          <w:tab w:val="center" w:pos="4473"/>
        </w:tabs>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七、政府性基金预算财政拨款支出决算情况说明</w:t>
      </w:r>
    </w:p>
    <w:p w14:paraId="6F4CEA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（一）政府性基金预算财政拨款支出决算总体情况。</w:t>
      </w:r>
    </w:p>
    <w:p w14:paraId="52B682D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年度政府性基金预算财政拨款支出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万元，占本年支出合计的</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p>
    <w:p w14:paraId="2DB6B0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（二）政府性基金预算财政拨款支出决算结构情况。</w:t>
      </w:r>
    </w:p>
    <w:p w14:paraId="5A900DC5">
      <w:pPr>
        <w:tabs>
          <w:tab w:val="center" w:pos="4473"/>
        </w:tabs>
        <w:ind w:firstLine="640" w:firstLineChars="200"/>
        <w:rPr>
          <w:rFonts w:hint="default" w:ascii="仿宋_GB2312" w:hAnsi="ˎ̥" w:eastAsia="仿宋_GB2312"/>
          <w:sz w:val="32"/>
          <w:szCs w:val="32"/>
          <w:lang w:val="en-US" w:eastAsia="zh-CN"/>
        </w:rPr>
      </w:pP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年度政府性基金预算财政拨款支出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w:t>
      </w:r>
      <w:r>
        <w:rPr>
          <w:rFonts w:hint="eastAsia" w:ascii="仿宋_GB2312" w:hAnsi="ˎ̥" w:eastAsia="仿宋_GB2312"/>
          <w:sz w:val="32"/>
          <w:szCs w:val="32"/>
        </w:rPr>
        <w:t>主要用于以下方面：城乡社区支出（类）支出</w:t>
      </w:r>
      <w:r>
        <w:rPr>
          <w:rFonts w:hint="eastAsia" w:ascii="仿宋_GB2312" w:hAnsi="ˎ̥" w:eastAsia="仿宋_GB2312"/>
          <w:sz w:val="32"/>
          <w:szCs w:val="32"/>
          <w:lang w:val="en-US" w:eastAsia="zh-CN"/>
        </w:rPr>
        <w:t>0万</w:t>
      </w:r>
      <w:r>
        <w:rPr>
          <w:rFonts w:hint="eastAsia" w:ascii="仿宋_GB2312" w:hAnsi="ˎ̥" w:eastAsia="仿宋_GB2312"/>
          <w:sz w:val="32"/>
          <w:szCs w:val="32"/>
        </w:rPr>
        <w:t>元，占</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20E2F5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（三）政府性基金预算财政拨款支出决算具体情况。</w:t>
      </w:r>
    </w:p>
    <w:p w14:paraId="3A8AA1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年度政府性基金预算财政拨款支出年初预算为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万元，支出决算为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w:t>
      </w:r>
      <w:r>
        <w:rPr>
          <w:rFonts w:hint="eastAsia" w:ascii="仿宋_GB2312" w:hAnsi="ˎ̥" w:eastAsia="仿宋_GB2312"/>
          <w:color w:val="000000"/>
          <w:sz w:val="32"/>
          <w:szCs w:val="32"/>
          <w:highlight w:val="none"/>
          <w:lang w:eastAsia="zh-CN"/>
        </w:rPr>
        <w:t>，</w:t>
      </w:r>
      <w:r>
        <w:rPr>
          <w:rFonts w:hint="eastAsia" w:ascii="仿宋_GB2312" w:hAnsi="ˎ̥" w:eastAsia="仿宋_GB2312"/>
          <w:color w:val="000000"/>
          <w:sz w:val="32"/>
          <w:szCs w:val="32"/>
          <w:highlight w:val="none"/>
          <w:lang w:val="en-US" w:eastAsia="zh-CN"/>
        </w:rPr>
        <w:t>完成年初预算的0%。</w:t>
      </w:r>
      <w:r>
        <w:rPr>
          <w:rFonts w:hint="eastAsia" w:ascii="仿宋_GB2312" w:hAnsi="ˎ̥" w:eastAsia="仿宋_GB2312"/>
          <w:color w:val="000000"/>
          <w:sz w:val="32"/>
          <w:szCs w:val="32"/>
          <w:highlight w:val="none"/>
        </w:rPr>
        <w:t>其中：</w:t>
      </w:r>
    </w:p>
    <w:p w14:paraId="692716E9">
      <w:pPr>
        <w:ind w:firstLine="640" w:firstLineChars="200"/>
        <w:rPr>
          <w:rFonts w:hint="eastAsia" w:ascii="仿宋_GB2312" w:hAnsi="ˎ̥" w:eastAsia="仿宋_GB2312"/>
          <w:b/>
          <w:sz w:val="32"/>
          <w:szCs w:val="32"/>
        </w:rPr>
      </w:pPr>
      <w:r>
        <w:rPr>
          <w:rFonts w:hint="eastAsia" w:ascii="仿宋_GB2312" w:hAnsi="ˎ̥" w:eastAsia="仿宋_GB2312"/>
          <w:sz w:val="32"/>
          <w:szCs w:val="32"/>
          <w:lang w:val="en-US" w:eastAsia="zh-CN"/>
        </w:rPr>
        <w:t>1.</w:t>
      </w:r>
      <w:r>
        <w:rPr>
          <w:rFonts w:hint="eastAsia" w:ascii="仿宋_GB2312" w:hAnsi="ˎ̥" w:eastAsia="仿宋_GB2312"/>
          <w:sz w:val="32"/>
          <w:szCs w:val="32"/>
        </w:rPr>
        <w:t>城乡社区支出</w:t>
      </w:r>
      <w:r>
        <w:rPr>
          <w:rFonts w:hint="eastAsia" w:ascii="仿宋_GB2312" w:hAnsi="ˎ̥" w:eastAsia="仿宋_GB2312"/>
          <w:b/>
          <w:sz w:val="32"/>
          <w:szCs w:val="32"/>
        </w:rPr>
        <w:t>（类）</w:t>
      </w:r>
      <w:r>
        <w:rPr>
          <w:rFonts w:hint="eastAsia" w:ascii="仿宋_GB2312" w:hAnsi="ˎ̥" w:eastAsia="仿宋_GB2312"/>
          <w:sz w:val="32"/>
          <w:szCs w:val="32"/>
        </w:rPr>
        <w:t>国有土地使用权出让收入安排的支出</w:t>
      </w:r>
      <w:r>
        <w:rPr>
          <w:rFonts w:hint="eastAsia" w:ascii="仿宋_GB2312" w:hAnsi="ˎ̥" w:eastAsia="仿宋_GB2312"/>
          <w:b/>
          <w:sz w:val="32"/>
          <w:szCs w:val="32"/>
        </w:rPr>
        <w:t>（款）</w:t>
      </w:r>
      <w:r>
        <w:rPr>
          <w:rFonts w:hint="eastAsia" w:ascii="仿宋_GB2312" w:hAnsi="ˎ̥" w:eastAsia="仿宋_GB2312"/>
          <w:sz w:val="32"/>
          <w:szCs w:val="32"/>
        </w:rPr>
        <w:t>其他国有土地使用权出让收入安排的支出</w:t>
      </w:r>
      <w:r>
        <w:rPr>
          <w:rFonts w:hint="eastAsia" w:ascii="仿宋_GB2312" w:hAnsi="ˎ̥" w:eastAsia="仿宋_GB2312"/>
          <w:b/>
          <w:sz w:val="32"/>
          <w:szCs w:val="32"/>
        </w:rPr>
        <w:t>（项）。</w:t>
      </w:r>
    </w:p>
    <w:p w14:paraId="3AC36FCB">
      <w:pPr>
        <w:keepNext w:val="0"/>
        <w:keepLines w:val="0"/>
        <w:pageBreakBefore w:val="0"/>
        <w:tabs>
          <w:tab w:val="center" w:pos="4473"/>
        </w:tabs>
        <w:kinsoku/>
        <w:wordWrap/>
        <w:overflowPunct/>
        <w:topLinePunct w:val="0"/>
        <w:autoSpaceDE/>
        <w:autoSpaceDN/>
        <w:bidi w:val="0"/>
        <w:adjustRightInd/>
        <w:snapToGrid/>
        <w:spacing w:line="240" w:lineRule="auto"/>
        <w:ind w:firstLine="0" w:firstLineChars="0"/>
        <w:textAlignment w:val="auto"/>
        <w:rPr>
          <w:rFonts w:hint="default" w:ascii="仿宋_GB2312" w:hAnsi="ˎ̥" w:eastAsia="仿宋_GB2312"/>
          <w:sz w:val="32"/>
          <w:szCs w:val="32"/>
          <w:lang w:val="en-US" w:eastAsia="zh-CN"/>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%。决算数</w:t>
      </w:r>
      <w:r>
        <w:rPr>
          <w:rFonts w:hint="eastAsia" w:ascii="仿宋_GB2312" w:hAnsi="ˎ̥" w:eastAsia="仿宋_GB2312"/>
          <w:sz w:val="32"/>
          <w:szCs w:val="32"/>
          <w:lang w:val="en-US" w:eastAsia="zh-CN"/>
        </w:rPr>
        <w:t>小</w:t>
      </w:r>
      <w:r>
        <w:rPr>
          <w:rFonts w:hint="eastAsia" w:ascii="仿宋_GB2312" w:hAnsi="ˎ̥" w:eastAsia="仿宋_GB2312"/>
          <w:sz w:val="32"/>
          <w:szCs w:val="32"/>
        </w:rPr>
        <w:t>于预算数的主要原因是</w:t>
      </w:r>
      <w:r>
        <w:rPr>
          <w:rFonts w:hint="eastAsia" w:ascii="仿宋_GB2312" w:hAnsi="ˎ̥" w:eastAsia="仿宋_GB2312"/>
          <w:sz w:val="32"/>
          <w:szCs w:val="32"/>
          <w:lang w:val="en-US" w:eastAsia="zh-CN"/>
        </w:rPr>
        <w:t>节约经费，财政业务支出减少。</w:t>
      </w:r>
    </w:p>
    <w:p w14:paraId="4BB725CF">
      <w:pPr>
        <w:keepNext w:val="0"/>
        <w:keepLines w:val="0"/>
        <w:pageBreakBefore w:val="0"/>
        <w:tabs>
          <w:tab w:val="center" w:pos="4473"/>
        </w:tabs>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八、国有资本经营预算财政拨款支出决算情况说明</w:t>
      </w:r>
    </w:p>
    <w:p w14:paraId="68BF1F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（一）国有资本经营预算财政拨款支出决算总体情况。</w:t>
      </w:r>
    </w:p>
    <w:p w14:paraId="58A1418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年度国有资本经营预算财政拨款支出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万元，占本年支出合计的</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%。与</w:t>
      </w: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3</w:t>
      </w:r>
      <w:r>
        <w:rPr>
          <w:rFonts w:hint="eastAsia" w:ascii="仿宋_GB2312" w:hAnsi="ˎ̥" w:eastAsia="仿宋_GB2312"/>
          <w:color w:val="000000"/>
          <w:sz w:val="32"/>
          <w:szCs w:val="32"/>
          <w:highlight w:val="none"/>
        </w:rPr>
        <w:t>年度相比，国有资本经营预算财政拨款支出增加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万元，增长</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p>
    <w:p w14:paraId="470E85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（二）国有资本经营预算财政拨款支出决算结构情况。</w:t>
      </w:r>
    </w:p>
    <w:p w14:paraId="28A12A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年度国有资本经营预算财政拨款支出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w:t>
      </w:r>
    </w:p>
    <w:p w14:paraId="3C629E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（三）国有资本经营预算财政拨款支出决算具体情况。</w:t>
      </w:r>
    </w:p>
    <w:p w14:paraId="566EE357">
      <w:pPr>
        <w:keepNext w:val="0"/>
        <w:keepLines w:val="0"/>
        <w:pageBreakBefore w:val="0"/>
        <w:tabs>
          <w:tab w:val="center" w:pos="4473"/>
        </w:tabs>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年度国有资本经营预算财政拨款支出年初预算为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万元，支出决算为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万元，完成年初预算的</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p>
    <w:p w14:paraId="75444C4F">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仿宋_GB2312" w:hAnsi="ˎ̥" w:eastAsia="楷体_GB2312"/>
          <w:color w:val="000000"/>
          <w:sz w:val="32"/>
          <w:szCs w:val="32"/>
          <w:highlight w:val="none"/>
        </w:rPr>
      </w:pPr>
      <w:r>
        <w:rPr>
          <w:rFonts w:hint="eastAsia" w:ascii="黑体" w:hAnsi="黑体" w:eastAsia="黑体" w:cs="黑体"/>
          <w:bCs/>
          <w:color w:val="000000"/>
          <w:sz w:val="32"/>
          <w:szCs w:val="32"/>
          <w:highlight w:val="none"/>
        </w:rPr>
        <w:t>九、财政拨款“三公”经费支出决算情况说明</w:t>
      </w:r>
    </w:p>
    <w:p w14:paraId="62C72D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color w:val="000000"/>
          <w:sz w:val="32"/>
          <w:szCs w:val="32"/>
          <w:highlight w:val="none"/>
        </w:rPr>
      </w:pPr>
      <w:r>
        <w:rPr>
          <w:rFonts w:hint="eastAsia" w:ascii="楷体" w:hAnsi="楷体" w:eastAsia="楷体" w:cs="楷体"/>
          <w:bCs/>
          <w:color w:val="000000"/>
          <w:sz w:val="32"/>
          <w:szCs w:val="32"/>
          <w:highlight w:val="none"/>
        </w:rPr>
        <w:t>（一）财政拨款“三公”经费支出决算总体情况说明。</w:t>
      </w:r>
    </w:p>
    <w:p w14:paraId="366974B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 xml:space="preserve">    </w:t>
      </w: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年度财政拨款“三公”经费支出预算为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万元，支出决算为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万元，完成预算的</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p>
    <w:p w14:paraId="14C411AB">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s="楷体"/>
          <w:color w:val="000000"/>
          <w:sz w:val="32"/>
          <w:szCs w:val="32"/>
          <w:highlight w:val="none"/>
        </w:rPr>
      </w:pPr>
      <w:r>
        <w:rPr>
          <w:rFonts w:hint="eastAsia" w:ascii="楷体" w:hAnsi="楷体" w:eastAsia="楷体" w:cs="楷体"/>
          <w:b/>
          <w:bCs/>
          <w:color w:val="000000"/>
          <w:sz w:val="32"/>
          <w:szCs w:val="32"/>
          <w:highlight w:val="none"/>
        </w:rPr>
        <w:t xml:space="preserve">   </w:t>
      </w:r>
      <w:r>
        <w:rPr>
          <w:rFonts w:hint="eastAsia" w:ascii="楷体" w:hAnsi="楷体" w:eastAsia="楷体" w:cs="楷体"/>
          <w:color w:val="000000"/>
          <w:sz w:val="32"/>
          <w:szCs w:val="32"/>
          <w:highlight w:val="none"/>
        </w:rPr>
        <w:t xml:space="preserve"> （二）财政拨款“三公”经费支出决算具体情况说明。</w:t>
      </w:r>
    </w:p>
    <w:p w14:paraId="48C302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年度财政拨款“三公”经费支出决算中，因公出国（境）费支出决算</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%；公务用车购置及运行维护费支出决算</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%；公务接待费支出决算</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%。具体情况如下：</w:t>
      </w:r>
    </w:p>
    <w:p w14:paraId="06B40DD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color w:val="000000"/>
          <w:sz w:val="32"/>
          <w:szCs w:val="32"/>
          <w:highlight w:val="none"/>
        </w:rPr>
        <w:t>1.因公出国（境）费</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万元。全年安排因公出国（境）团组</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个，因公出国（境）</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人次。</w:t>
      </w:r>
    </w:p>
    <w:p w14:paraId="4F8841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因公出国（境）费支出决算比预算数增加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万元，增长</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p>
    <w:p w14:paraId="35DD360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ˎ̥" w:eastAsia="仿宋_GB2312"/>
          <w:color w:val="000000"/>
          <w:sz w:val="32"/>
          <w:szCs w:val="32"/>
          <w:highlight w:val="none"/>
        </w:rPr>
      </w:pPr>
      <w:r>
        <w:rPr>
          <w:rFonts w:hint="eastAsia" w:ascii="仿宋_GB2312" w:hAnsi="ˎ̥" w:eastAsia="仿宋_GB2312"/>
          <w:b/>
          <w:color w:val="000000"/>
          <w:sz w:val="32"/>
          <w:szCs w:val="32"/>
          <w:highlight w:val="none"/>
        </w:rPr>
        <w:t xml:space="preserve">    2.公务用车购置及运行维护费支出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万元。其中：</w:t>
      </w:r>
    </w:p>
    <w:p w14:paraId="3AE9EF1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color w:val="000000"/>
          <w:sz w:val="32"/>
          <w:szCs w:val="32"/>
          <w:highlight w:val="none"/>
        </w:rPr>
        <w:t>公务用车购置支出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万元，全年购置公务用车</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辆，年末公务用车保有量</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辆。</w:t>
      </w:r>
    </w:p>
    <w:p w14:paraId="5842BC7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color w:val="000000"/>
          <w:sz w:val="32"/>
          <w:szCs w:val="32"/>
          <w:highlight w:val="none"/>
        </w:rPr>
        <w:t>公务用车运行维护费</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w:t>
      </w:r>
    </w:p>
    <w:p w14:paraId="0AD98E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bCs/>
          <w:color w:val="000000"/>
          <w:sz w:val="32"/>
          <w:szCs w:val="32"/>
          <w:highlight w:val="none"/>
        </w:rPr>
      </w:pPr>
      <w:r>
        <w:rPr>
          <w:rFonts w:hint="eastAsia" w:ascii="仿宋_GB2312" w:hAnsi="ˎ̥" w:eastAsia="仿宋_GB2312"/>
          <w:bCs/>
          <w:color w:val="000000"/>
          <w:sz w:val="32"/>
          <w:szCs w:val="32"/>
          <w:highlight w:val="none"/>
        </w:rPr>
        <w:t>公务用车购置及运行费支出决算数</w:t>
      </w:r>
      <w:r>
        <w:rPr>
          <w:rFonts w:hint="eastAsia" w:ascii="仿宋_GB2312" w:hAnsi="ˎ̥" w:eastAsia="仿宋_GB2312"/>
          <w:color w:val="000000"/>
          <w:sz w:val="32"/>
          <w:szCs w:val="32"/>
          <w:highlight w:val="none"/>
        </w:rPr>
        <w:t>比预算数增加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万元，增长</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p>
    <w:p w14:paraId="5C74949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ˎ̥" w:eastAsia="仿宋_GB2312"/>
          <w:color w:val="000000"/>
          <w:sz w:val="32"/>
          <w:szCs w:val="32"/>
          <w:highlight w:val="none"/>
        </w:rPr>
      </w:pPr>
      <w:r>
        <w:rPr>
          <w:rFonts w:hint="eastAsia" w:ascii="仿宋_GB2312" w:hAnsi="ˎ̥" w:eastAsia="仿宋_GB2312"/>
          <w:b/>
          <w:color w:val="000000"/>
          <w:sz w:val="32"/>
          <w:szCs w:val="32"/>
          <w:highlight w:val="none"/>
        </w:rPr>
        <w:t xml:space="preserve">    3.公务接待费支出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万元，其中：</w:t>
      </w:r>
    </w:p>
    <w:p w14:paraId="1B4F8B7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color w:val="000000"/>
          <w:sz w:val="32"/>
          <w:szCs w:val="32"/>
          <w:highlight w:val="none"/>
        </w:rPr>
        <w:t>国内接待费</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万元，国内公务接待</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批次，接待</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人次。</w:t>
      </w:r>
    </w:p>
    <w:p w14:paraId="1C953D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国（境）外接待费支出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万元，国（境）外公务接待</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批次，接待</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人次。</w:t>
      </w:r>
    </w:p>
    <w:p w14:paraId="226FFB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公务接待费支出决算数比预算数增加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万元，增长</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p>
    <w:p w14:paraId="795BFC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十、预算绩效情况说明</w:t>
      </w:r>
    </w:p>
    <w:p w14:paraId="58AEB2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lang w:eastAsia="zh-CN"/>
        </w:rPr>
        <w:t>（一）</w:t>
      </w:r>
      <w:r>
        <w:rPr>
          <w:rFonts w:hint="eastAsia" w:ascii="楷体" w:hAnsi="楷体" w:eastAsia="楷体" w:cs="楷体"/>
          <w:b w:val="0"/>
          <w:bCs/>
          <w:color w:val="000000"/>
          <w:sz w:val="32"/>
          <w:szCs w:val="32"/>
          <w:highlight w:val="none"/>
        </w:rPr>
        <w:t>绩效管理工作开展情况。</w:t>
      </w:r>
    </w:p>
    <w:p w14:paraId="2EECBD83">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根据财政预算管理要求，我部门组织对</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hint="eastAsia" w:ascii="仿宋_GB2312" w:eastAsia="仿宋_GB2312"/>
          <w:sz w:val="32"/>
          <w:szCs w:val="32"/>
          <w:lang w:eastAsia="zh-CN"/>
        </w:rPr>
        <w:t>年度</w:t>
      </w:r>
      <w:r>
        <w:rPr>
          <w:rFonts w:hint="eastAsia" w:ascii="仿宋_GB2312" w:eastAsia="仿宋_GB2312"/>
          <w:sz w:val="32"/>
          <w:szCs w:val="32"/>
        </w:rPr>
        <w:t>一般公共预算项目支出全面开展绩效自评。自评项目</w:t>
      </w:r>
      <w:r>
        <w:rPr>
          <w:rFonts w:hint="eastAsia" w:ascii="仿宋_GB2312" w:eastAsia="仿宋_GB2312"/>
          <w:sz w:val="32"/>
          <w:szCs w:val="32"/>
          <w:lang w:val="en-US" w:eastAsia="zh-CN"/>
        </w:rPr>
        <w:t>15</w:t>
      </w:r>
      <w:r>
        <w:rPr>
          <w:rFonts w:hint="eastAsia" w:ascii="仿宋_GB2312" w:eastAsia="仿宋_GB2312"/>
          <w:sz w:val="32"/>
          <w:szCs w:val="32"/>
        </w:rPr>
        <w:t>个，共涉及资金</w:t>
      </w:r>
      <w:r>
        <w:rPr>
          <w:rFonts w:hint="eastAsia" w:ascii="仿宋_GB2312" w:eastAsia="仿宋_GB2312"/>
          <w:sz w:val="32"/>
          <w:szCs w:val="32"/>
          <w:lang w:val="en-US" w:eastAsia="zh-CN"/>
        </w:rPr>
        <w:t>432.26</w:t>
      </w:r>
      <w:r>
        <w:rPr>
          <w:rFonts w:hint="eastAsia" w:ascii="仿宋_GB2312" w:eastAsia="仿宋_GB2312"/>
          <w:sz w:val="32"/>
          <w:szCs w:val="32"/>
        </w:rPr>
        <w:t>万元，自评覆盖率达到</w:t>
      </w:r>
      <w:r>
        <w:rPr>
          <w:rFonts w:hint="eastAsia" w:ascii="仿宋_GB2312" w:eastAsia="仿宋_GB2312"/>
          <w:sz w:val="32"/>
          <w:szCs w:val="32"/>
          <w:lang w:val="en-US" w:eastAsia="zh-CN"/>
        </w:rPr>
        <w:t>100</w:t>
      </w:r>
      <w:r>
        <w:rPr>
          <w:rFonts w:hint="eastAsia" w:ascii="仿宋_GB2312" w:eastAsia="仿宋_GB2312"/>
          <w:sz w:val="32"/>
          <w:szCs w:val="32"/>
        </w:rPr>
        <w:t>%。</w:t>
      </w:r>
    </w:p>
    <w:p w14:paraId="2D2A244B">
      <w:pPr>
        <w:widowControl w:val="0"/>
        <w:wordWrap/>
        <w:adjustRightInd/>
        <w:snapToGrid/>
        <w:spacing w:line="240" w:lineRule="auto"/>
        <w:ind w:left="0" w:lef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共组织对“财政业务费”等</w:t>
      </w:r>
      <w:r>
        <w:rPr>
          <w:rFonts w:hint="eastAsia" w:ascii="仿宋_GB2312" w:eastAsia="仿宋_GB2312"/>
          <w:sz w:val="32"/>
          <w:szCs w:val="32"/>
          <w:lang w:val="en-US" w:eastAsia="zh-CN"/>
        </w:rPr>
        <w:t>15</w:t>
      </w:r>
      <w:r>
        <w:rPr>
          <w:rFonts w:hint="eastAsia" w:ascii="仿宋_GB2312" w:eastAsia="仿宋_GB2312"/>
          <w:sz w:val="32"/>
          <w:szCs w:val="32"/>
        </w:rPr>
        <w:t>个项目</w:t>
      </w:r>
      <w:r>
        <w:rPr>
          <w:rFonts w:hint="eastAsia" w:ascii="仿宋_GB2312" w:eastAsia="仿宋_GB2312"/>
          <w:sz w:val="32"/>
          <w:szCs w:val="32"/>
          <w:lang w:eastAsia="zh-CN"/>
        </w:rPr>
        <w:t>开展了部门</w:t>
      </w:r>
      <w:r>
        <w:rPr>
          <w:rFonts w:hint="eastAsia" w:ascii="仿宋_GB2312" w:eastAsia="仿宋_GB2312"/>
          <w:sz w:val="32"/>
          <w:szCs w:val="32"/>
        </w:rPr>
        <w:t>评价，涉及资金</w:t>
      </w:r>
      <w:r>
        <w:rPr>
          <w:rFonts w:hint="eastAsia" w:ascii="仿宋_GB2312" w:eastAsia="仿宋_GB2312"/>
          <w:sz w:val="32"/>
          <w:szCs w:val="32"/>
          <w:lang w:val="en-US" w:eastAsia="zh-CN"/>
        </w:rPr>
        <w:t>432.26</w:t>
      </w:r>
      <w:r>
        <w:rPr>
          <w:rFonts w:hint="eastAsia" w:ascii="仿宋_GB2312" w:eastAsia="仿宋_GB2312"/>
          <w:sz w:val="32"/>
          <w:szCs w:val="32"/>
        </w:rPr>
        <w:t>万元。从评价情况来看，</w:t>
      </w:r>
      <w:r>
        <w:rPr>
          <w:rFonts w:hint="eastAsia" w:ascii="仿宋_GB2312" w:eastAsia="仿宋_GB2312"/>
          <w:sz w:val="32"/>
          <w:szCs w:val="32"/>
          <w:lang w:eastAsia="zh-CN"/>
        </w:rPr>
        <w:t>各项目都能做到专款专用，按时支出，确保各项财政工作正常开展</w:t>
      </w:r>
      <w:r>
        <w:rPr>
          <w:rFonts w:hint="eastAsia" w:ascii="仿宋_GB2312" w:eastAsia="仿宋_GB2312"/>
          <w:sz w:val="32"/>
          <w:szCs w:val="32"/>
        </w:rPr>
        <w:t>。</w:t>
      </w:r>
    </w:p>
    <w:p w14:paraId="43A376B7">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rPr>
        <w:t>部门决算中项目绩效自评结果。</w:t>
      </w:r>
    </w:p>
    <w:p w14:paraId="04D9909A">
      <w:pPr>
        <w:spacing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财政业务经费项目绩效自评综述：根据年初设定的绩效目标，</w:t>
      </w:r>
      <w:r>
        <w:rPr>
          <w:rFonts w:hint="eastAsia" w:ascii="仿宋_GB2312" w:hAnsi="宋体" w:eastAsia="仿宋_GB2312"/>
          <w:sz w:val="32"/>
          <w:szCs w:val="32"/>
          <w:lang w:val="en-US" w:eastAsia="zh-CN"/>
        </w:rPr>
        <w:t>项目资金执行率50.01%</w:t>
      </w:r>
      <w:r>
        <w:rPr>
          <w:rFonts w:hint="eastAsia" w:ascii="仿宋_GB2312" w:hAnsi="Times New Roman" w:eastAsia="仿宋_GB2312" w:cs="Times New Roman"/>
          <w:kern w:val="2"/>
          <w:sz w:val="32"/>
          <w:szCs w:val="32"/>
          <w:lang w:val="en-US" w:eastAsia="zh-CN" w:bidi="ar-SA"/>
        </w:rPr>
        <w:t>。全年预算数为20万元，执行数为39.93万元，完成预算的50.01</w:t>
      </w:r>
      <w:bookmarkStart w:id="119" w:name="_GoBack"/>
      <w:bookmarkEnd w:id="119"/>
      <w:r>
        <w:rPr>
          <w:rFonts w:hint="eastAsia" w:ascii="仿宋_GB2312" w:hAnsi="Times New Roman" w:eastAsia="仿宋_GB2312" w:cs="Times New Roman"/>
          <w:kern w:val="2"/>
          <w:sz w:val="32"/>
          <w:szCs w:val="32"/>
          <w:lang w:val="en-US" w:eastAsia="zh-CN" w:bidi="ar-SA"/>
        </w:rPr>
        <w:t>%。项目绩效目标完成情况：</w:t>
      </w:r>
      <w:r>
        <w:rPr>
          <w:rFonts w:hint="eastAsia" w:ascii="仿宋_GB2312" w:eastAsia="仿宋_GB2312" w:cs="Times New Roman"/>
          <w:kern w:val="2"/>
          <w:sz w:val="32"/>
          <w:szCs w:val="32"/>
          <w:lang w:val="en-US" w:eastAsia="zh-CN" w:bidi="ar-SA"/>
        </w:rPr>
        <w:t>合理科学支出，保障嘉积财政所日常工作运转</w:t>
      </w:r>
      <w:r>
        <w:rPr>
          <w:rFonts w:hint="eastAsia" w:ascii="仿宋_GB2312" w:hAnsi="Times New Roman" w:eastAsia="仿宋_GB2312" w:cs="Times New Roman"/>
          <w:kern w:val="2"/>
          <w:sz w:val="32"/>
          <w:szCs w:val="32"/>
          <w:lang w:val="en-US" w:eastAsia="zh-CN" w:bidi="ar-SA"/>
        </w:rPr>
        <w:t>。财政业务经费项目绩效自评综述：通过绩效自评，市财政预算安排我所的2024年财政业务费项目经费20万元，项目政策依据充分，符合实际需求，目标制定明确；资金严格按照计划进行开支，所有资金均按照财务管理要求，按时足额完成开支；项目设立管理机构，配套制定管理制度，项目实施需要的专业人才和专业机构等得到充分保障，经费支出过程监管到位，经费支出的组织管理水平总体较高；通过本项资金安排和实施，产生较显著的社会效益；资金到位及时，对资金的使用监管有力有效。整个经费开支达到预期绩效目标，综合绩效自评等次为优。</w:t>
      </w:r>
    </w:p>
    <w:p w14:paraId="233F4AA3">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发现的主要问题及原因：</w:t>
      </w:r>
      <w:r>
        <w:rPr>
          <w:rFonts w:hint="eastAsia" w:ascii="仿宋_GB2312" w:hAnsi="仿宋_GB2312" w:eastAsia="仿宋_GB2312" w:cs="仿宋_GB2312"/>
          <w:bCs/>
          <w:color w:val="000000"/>
          <w:sz w:val="32"/>
          <w:szCs w:val="32"/>
        </w:rPr>
        <w:t>项目产出指标有待进一步细化，项目效果需要更科学的评价。</w:t>
      </w:r>
    </w:p>
    <w:p w14:paraId="4F7B182B">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0"/>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下一步改进措施：</w:t>
      </w:r>
      <w:r>
        <w:rPr>
          <w:rFonts w:hint="eastAsia" w:ascii="仿宋_GB2312" w:hAnsi="仿宋_GB2312" w:eastAsia="仿宋_GB2312" w:cs="仿宋_GB2312"/>
          <w:bCs/>
          <w:color w:val="000000"/>
          <w:sz w:val="32"/>
          <w:szCs w:val="32"/>
        </w:rPr>
        <w:t>根据项目实际情况，进一步完善项目的各项评价指标。更多地从定量角度分析项目实施的效果。</w:t>
      </w:r>
    </w:p>
    <w:p w14:paraId="68BE820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lang w:eastAsia="zh-CN"/>
        </w:rPr>
        <w:t>（三）</w:t>
      </w:r>
      <w:r>
        <w:rPr>
          <w:rFonts w:hint="eastAsia" w:ascii="楷体" w:hAnsi="楷体" w:eastAsia="楷体" w:cs="楷体"/>
          <w:b w:val="0"/>
          <w:bCs/>
          <w:color w:val="000000"/>
          <w:sz w:val="32"/>
          <w:szCs w:val="32"/>
          <w:highlight w:val="none"/>
          <w:lang w:val="en-US"/>
        </w:rPr>
        <w:t>部门评价结果</w:t>
      </w:r>
    </w:p>
    <w:p w14:paraId="624E1FC4">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无</w:t>
      </w:r>
    </w:p>
    <w:p w14:paraId="35F483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lang w:eastAsia="zh-CN"/>
        </w:rPr>
        <w:t>（四）财政评价结果</w:t>
      </w:r>
      <w:r>
        <w:rPr>
          <w:rFonts w:hint="eastAsia" w:ascii="楷体" w:hAnsi="楷体" w:eastAsia="楷体" w:cs="楷体"/>
          <w:b w:val="0"/>
          <w:bCs/>
          <w:color w:val="000000"/>
          <w:sz w:val="32"/>
          <w:szCs w:val="32"/>
          <w:highlight w:val="none"/>
        </w:rPr>
        <w:t>。</w:t>
      </w:r>
    </w:p>
    <w:p w14:paraId="32C1C96C">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eastAsia" w:ascii="仿宋_GB2312" w:eastAsia="仿宋_GB2312"/>
          <w:color w:val="000000"/>
          <w:sz w:val="32"/>
          <w:szCs w:val="32"/>
          <w:highlight w:val="none"/>
          <w:lang w:val="zh-CN"/>
        </w:rPr>
      </w:pPr>
      <w:r>
        <w:rPr>
          <w:rFonts w:hint="eastAsia" w:ascii="仿宋_GB2312" w:eastAsia="仿宋_GB2312"/>
          <w:color w:val="000000"/>
          <w:sz w:val="32"/>
          <w:szCs w:val="32"/>
          <w:highlight w:val="none"/>
          <w:lang w:val="zh-CN"/>
        </w:rPr>
        <w:t>无</w:t>
      </w:r>
    </w:p>
    <w:p w14:paraId="0FEDBF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十一、其他重要事项情况说明</w:t>
      </w:r>
    </w:p>
    <w:p w14:paraId="503CE9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color w:val="000000"/>
          <w:sz w:val="32"/>
          <w:szCs w:val="32"/>
          <w:highlight w:val="none"/>
        </w:rPr>
      </w:pPr>
      <w:bookmarkStart w:id="95" w:name="_Toc5978_WPSOffice_Level2"/>
      <w:bookmarkStart w:id="96" w:name="_Toc18325_WPSOffice_Level2"/>
      <w:bookmarkStart w:id="97" w:name="_Toc23598_WPSOffice_Level2"/>
      <w:bookmarkStart w:id="98" w:name="_Toc15262_WPSOffice_Level2"/>
      <w:bookmarkStart w:id="99" w:name="_Toc32639_WPSOffice_Level2"/>
      <w:bookmarkStart w:id="100" w:name="_Toc15565_WPSOffice_Level2"/>
      <w:r>
        <w:rPr>
          <w:rFonts w:hint="eastAsia" w:ascii="楷体" w:hAnsi="楷体" w:eastAsia="楷体" w:cs="楷体"/>
          <w:bCs/>
          <w:color w:val="000000"/>
          <w:sz w:val="32"/>
          <w:szCs w:val="32"/>
          <w:highlight w:val="none"/>
        </w:rPr>
        <w:t>（一）机关运行经费支出情况。</w:t>
      </w:r>
      <w:bookmarkEnd w:id="95"/>
      <w:bookmarkEnd w:id="96"/>
      <w:bookmarkEnd w:id="97"/>
      <w:bookmarkEnd w:id="98"/>
      <w:bookmarkEnd w:id="99"/>
      <w:bookmarkEnd w:id="100"/>
    </w:p>
    <w:p w14:paraId="6FA07948">
      <w:pPr>
        <w:ind w:firstLine="640" w:firstLineChars="200"/>
        <w:rPr>
          <w:rFonts w:hint="eastAsia" w:ascii="仿宋_GB2312" w:hAnsi="ˎ̥" w:eastAsia="仿宋_GB2312"/>
          <w:sz w:val="32"/>
          <w:szCs w:val="32"/>
          <w:lang w:eastAsia="zh-CN"/>
        </w:rPr>
      </w:pP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w:t>
      </w:r>
      <w:r>
        <w:rPr>
          <w:rFonts w:hint="eastAsia" w:ascii="仿宋_GB2312" w:hAnsi="ˎ̥" w:eastAsia="仿宋_GB2312"/>
          <w:color w:val="000000"/>
          <w:sz w:val="32"/>
          <w:szCs w:val="32"/>
          <w:highlight w:val="none"/>
          <w:lang w:eastAsia="zh-CN"/>
        </w:rPr>
        <w:t>琼海市财政局嘉积财政所</w:t>
      </w:r>
      <w:r>
        <w:rPr>
          <w:rFonts w:hint="eastAsia" w:ascii="仿宋_GB2312" w:hAnsi="ˎ̥" w:eastAsia="仿宋_GB2312"/>
          <w:color w:val="000000"/>
          <w:sz w:val="32"/>
          <w:szCs w:val="32"/>
          <w:highlight w:val="none"/>
        </w:rPr>
        <w:t>部门机关运行经费</w:t>
      </w:r>
      <w:r>
        <w:rPr>
          <w:rFonts w:hint="eastAsia" w:ascii="仿宋_GB2312" w:hAnsi="ˎ̥" w:eastAsia="仿宋_GB2312"/>
          <w:color w:val="000000"/>
          <w:sz w:val="32"/>
          <w:szCs w:val="32"/>
          <w:highlight w:val="none"/>
          <w:lang w:val="en-US" w:eastAsia="zh-CN"/>
        </w:rPr>
        <w:t>122.46</w:t>
      </w:r>
      <w:r>
        <w:rPr>
          <w:rFonts w:hint="eastAsia" w:ascii="仿宋_GB2312" w:hAnsi="ˎ̥" w:eastAsia="仿宋_GB2312"/>
          <w:color w:val="000000"/>
          <w:sz w:val="32"/>
          <w:szCs w:val="32"/>
          <w:highlight w:val="none"/>
        </w:rPr>
        <w:t>万元，比年初预算</w:t>
      </w:r>
      <w:r>
        <w:rPr>
          <w:rFonts w:hint="eastAsia" w:ascii="仿宋_GB2312" w:hAnsi="ˎ̥" w:eastAsia="仿宋_GB2312"/>
          <w:color w:val="000000"/>
          <w:sz w:val="32"/>
          <w:szCs w:val="32"/>
          <w:highlight w:val="none"/>
          <w:lang w:val="en-US" w:eastAsia="zh-CN"/>
        </w:rPr>
        <w:t>增加1.81</w:t>
      </w:r>
      <w:r>
        <w:rPr>
          <w:rFonts w:hint="eastAsia" w:ascii="仿宋_GB2312" w:hAnsi="ˎ̥" w:eastAsia="仿宋_GB2312"/>
          <w:color w:val="000000"/>
          <w:sz w:val="32"/>
          <w:szCs w:val="32"/>
          <w:highlight w:val="none"/>
        </w:rPr>
        <w:t>万元，</w:t>
      </w:r>
      <w:r>
        <w:rPr>
          <w:rFonts w:hint="eastAsia" w:ascii="仿宋_GB2312" w:hAnsi="ˎ̥" w:eastAsia="仿宋_GB2312"/>
          <w:color w:val="000000"/>
          <w:sz w:val="32"/>
          <w:szCs w:val="32"/>
          <w:highlight w:val="none"/>
          <w:lang w:val="en-US" w:eastAsia="zh-CN"/>
        </w:rPr>
        <w:t>增8.77</w:t>
      </w:r>
      <w:r>
        <w:rPr>
          <w:rFonts w:hint="eastAsia" w:ascii="仿宋_GB2312" w:hAnsi="ˎ̥" w:eastAsia="仿宋_GB2312"/>
          <w:color w:val="000000"/>
          <w:sz w:val="32"/>
          <w:szCs w:val="32"/>
          <w:highlight w:val="none"/>
        </w:rPr>
        <w:t>%。主要原因是：</w:t>
      </w:r>
      <w:r>
        <w:rPr>
          <w:rFonts w:hint="eastAsia" w:ascii="仿宋_GB2312" w:hAnsi="ˎ̥" w:eastAsia="仿宋_GB2312"/>
          <w:sz w:val="32"/>
          <w:szCs w:val="32"/>
          <w:lang w:val="en-US" w:eastAsia="zh-CN"/>
        </w:rPr>
        <w:t>日常公务活动产生的办公经费</w:t>
      </w:r>
      <w:r>
        <w:rPr>
          <w:rFonts w:hint="eastAsia" w:ascii="仿宋_GB2312" w:hAnsi="ˎ̥" w:eastAsia="仿宋_GB2312"/>
          <w:sz w:val="32"/>
          <w:szCs w:val="32"/>
          <w:lang w:eastAsia="zh-CN"/>
        </w:rPr>
        <w:t>。</w:t>
      </w:r>
    </w:p>
    <w:p w14:paraId="5D486E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color w:val="000000"/>
          <w:sz w:val="32"/>
          <w:szCs w:val="32"/>
          <w:highlight w:val="none"/>
        </w:rPr>
      </w:pPr>
      <w:bookmarkStart w:id="101" w:name="_Toc3131_WPSOffice_Level2"/>
      <w:bookmarkStart w:id="102" w:name="_Toc23966_WPSOffice_Level2"/>
      <w:bookmarkStart w:id="103" w:name="_Toc25333_WPSOffice_Level2"/>
      <w:bookmarkStart w:id="104" w:name="_Toc30383_WPSOffice_Level2"/>
      <w:bookmarkStart w:id="105" w:name="_Toc32689_WPSOffice_Level2"/>
      <w:bookmarkStart w:id="106" w:name="_Toc13084_WPSOffice_Level2"/>
      <w:r>
        <w:rPr>
          <w:rFonts w:hint="eastAsia" w:ascii="楷体" w:hAnsi="楷体" w:eastAsia="楷体" w:cs="楷体"/>
          <w:bCs/>
          <w:color w:val="000000"/>
          <w:sz w:val="32"/>
          <w:szCs w:val="32"/>
          <w:highlight w:val="none"/>
        </w:rPr>
        <w:t>（二）政府采购支出情况。</w:t>
      </w:r>
      <w:bookmarkEnd w:id="101"/>
      <w:bookmarkEnd w:id="102"/>
      <w:bookmarkEnd w:id="103"/>
      <w:bookmarkEnd w:id="104"/>
      <w:bookmarkEnd w:id="105"/>
      <w:bookmarkEnd w:id="106"/>
    </w:p>
    <w:p w14:paraId="391E0A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年度</w:t>
      </w:r>
      <w:r>
        <w:rPr>
          <w:rFonts w:hint="eastAsia" w:ascii="仿宋_GB2312" w:hAnsi="ˎ̥" w:eastAsia="仿宋_GB2312"/>
          <w:color w:val="000000"/>
          <w:sz w:val="32"/>
          <w:szCs w:val="32"/>
          <w:highlight w:val="none"/>
          <w:lang w:eastAsia="zh-CN"/>
        </w:rPr>
        <w:t>琼海市财政局嘉积财政所</w:t>
      </w:r>
      <w:r>
        <w:rPr>
          <w:rFonts w:hint="eastAsia" w:ascii="仿宋_GB2312" w:hAnsi="ˎ̥" w:eastAsia="仿宋_GB2312"/>
          <w:color w:val="000000"/>
          <w:sz w:val="32"/>
          <w:szCs w:val="32"/>
          <w:highlight w:val="none"/>
        </w:rPr>
        <w:t>部门政府采购支出总额</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万元，其中：政府采购货物支出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万元、政府采购工程支出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万元、政府采购服务支出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万元。授予中小企业合同金额</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万元，占政府采购支出总额的</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%，其中：授予小微企业合同金额</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仿宋_GB2312" w:eastAsia="仿宋_GB2312" w:cs="仿宋_GB2312"/>
          <w:color w:val="000000"/>
          <w:kern w:val="0"/>
          <w:sz w:val="32"/>
          <w:szCs w:val="32"/>
          <w:highlight w:val="none"/>
          <w:lang w:bidi="ar"/>
        </w:rPr>
        <w:t>授予中小企业合同金额</w:t>
      </w:r>
      <w:r>
        <w:rPr>
          <w:rFonts w:hint="eastAsia" w:ascii="仿宋_GB2312" w:hAnsi="仿宋_GB2312" w:eastAsia="仿宋_GB2312" w:cs="仿宋_GB2312"/>
          <w:color w:val="000000"/>
          <w:sz w:val="32"/>
          <w:szCs w:val="32"/>
          <w:highlight w:val="none"/>
        </w:rPr>
        <w:t>的</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p>
    <w:p w14:paraId="6D3D22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color w:val="000000"/>
          <w:sz w:val="32"/>
          <w:szCs w:val="32"/>
          <w:highlight w:val="none"/>
        </w:rPr>
      </w:pPr>
      <w:bookmarkStart w:id="107" w:name="_Toc6016_WPSOffice_Level2"/>
      <w:bookmarkStart w:id="108" w:name="_Toc15129_WPSOffice_Level2"/>
      <w:bookmarkStart w:id="109" w:name="_Toc29584_WPSOffice_Level2"/>
      <w:bookmarkStart w:id="110" w:name="_Toc19989_WPSOffice_Level2"/>
      <w:bookmarkStart w:id="111" w:name="_Toc527_WPSOffice_Level2"/>
      <w:bookmarkStart w:id="112" w:name="_Toc10902_WPSOffice_Level2"/>
      <w:r>
        <w:rPr>
          <w:rFonts w:hint="eastAsia" w:ascii="楷体" w:hAnsi="楷体" w:eastAsia="楷体" w:cs="楷体"/>
          <w:bCs/>
          <w:color w:val="000000"/>
          <w:sz w:val="32"/>
          <w:szCs w:val="32"/>
          <w:highlight w:val="none"/>
        </w:rPr>
        <w:t>（三）国有资产占用情况。</w:t>
      </w:r>
      <w:bookmarkEnd w:id="107"/>
      <w:bookmarkEnd w:id="108"/>
      <w:bookmarkEnd w:id="109"/>
      <w:bookmarkEnd w:id="110"/>
      <w:bookmarkEnd w:id="111"/>
      <w:bookmarkEnd w:id="112"/>
    </w:p>
    <w:p w14:paraId="647FB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bCs/>
          <w:color w:val="000000"/>
          <w:sz w:val="32"/>
          <w:szCs w:val="32"/>
          <w:highlight w:val="none"/>
        </w:rPr>
        <w:t>截至</w:t>
      </w:r>
      <w:r>
        <w:rPr>
          <w:rFonts w:hint="eastAsia" w:ascii="仿宋_GB2312" w:hAnsi="ˎ̥" w:eastAsia="仿宋_GB2312"/>
          <w:bCs/>
          <w:color w:val="000000"/>
          <w:sz w:val="32"/>
          <w:szCs w:val="32"/>
          <w:highlight w:val="none"/>
          <w:lang w:eastAsia="zh-CN"/>
        </w:rPr>
        <w:t>202</w:t>
      </w:r>
      <w:r>
        <w:rPr>
          <w:rFonts w:hint="eastAsia" w:ascii="仿宋_GB2312" w:hAnsi="ˎ̥" w:eastAsia="仿宋_GB2312"/>
          <w:bCs/>
          <w:color w:val="000000"/>
          <w:sz w:val="32"/>
          <w:szCs w:val="32"/>
          <w:highlight w:val="none"/>
          <w:lang w:val="en-US" w:eastAsia="zh-CN"/>
        </w:rPr>
        <w:t>4</w:t>
      </w:r>
      <w:r>
        <w:rPr>
          <w:rFonts w:hint="eastAsia" w:ascii="仿宋_GB2312" w:hAnsi="ˎ̥" w:eastAsia="仿宋_GB2312"/>
          <w:bCs/>
          <w:color w:val="000000"/>
          <w:sz w:val="32"/>
          <w:szCs w:val="32"/>
          <w:highlight w:val="none"/>
        </w:rPr>
        <w:t>年12月31日，本部门拥有</w:t>
      </w:r>
      <w:r>
        <w:rPr>
          <w:rFonts w:hint="eastAsia" w:ascii="仿宋_GB2312" w:hAnsi="ˎ̥" w:eastAsia="仿宋_GB2312"/>
          <w:color w:val="000000"/>
          <w:sz w:val="32"/>
          <w:szCs w:val="32"/>
          <w:highlight w:val="none"/>
        </w:rPr>
        <w:t>房屋面积</w:t>
      </w:r>
      <w:r>
        <w:rPr>
          <w:rFonts w:hint="eastAsia" w:ascii="仿宋_GB2312" w:hAnsi="ˎ̥" w:eastAsia="仿宋_GB2312"/>
          <w:color w:val="000000"/>
          <w:sz w:val="32"/>
          <w:szCs w:val="32"/>
          <w:highlight w:val="none"/>
          <w:lang w:val="en-US" w:eastAsia="zh-CN"/>
        </w:rPr>
        <w:t>748</w:t>
      </w:r>
      <w:r>
        <w:rPr>
          <w:rFonts w:hint="eastAsia" w:ascii="仿宋_GB2312" w:hAnsi="ˎ̥" w:eastAsia="仿宋_GB2312"/>
          <w:color w:val="000000"/>
          <w:sz w:val="32"/>
          <w:szCs w:val="32"/>
          <w:highlight w:val="none"/>
        </w:rPr>
        <w:t>平方米，其中：办公用房</w:t>
      </w:r>
      <w:r>
        <w:rPr>
          <w:rFonts w:hint="eastAsia" w:ascii="仿宋_GB2312" w:hAnsi="ˎ̥" w:eastAsia="仿宋_GB2312"/>
          <w:color w:val="000000"/>
          <w:sz w:val="32"/>
          <w:szCs w:val="32"/>
          <w:highlight w:val="none"/>
          <w:lang w:val="en-US" w:eastAsia="zh-CN"/>
        </w:rPr>
        <w:t>748</w:t>
      </w:r>
      <w:r>
        <w:rPr>
          <w:rFonts w:hint="eastAsia" w:ascii="仿宋_GB2312" w:hAnsi="ˎ̥" w:eastAsia="仿宋_GB2312"/>
          <w:color w:val="000000"/>
          <w:sz w:val="32"/>
          <w:szCs w:val="32"/>
          <w:highlight w:val="none"/>
        </w:rPr>
        <w:t>平方米，业务用房</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平方米，其他（不含构筑物）</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平方米。</w:t>
      </w:r>
    </w:p>
    <w:p w14:paraId="120322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本部门共有车辆</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辆，其中，副部（省）级及以上领导用车</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辆、主要领导干部用车</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辆、机要通信用车</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辆、应急保障用车</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辆、执法执勤用车</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辆、特种专业技术用车</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辆、离退休干部用车</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辆、其他用车</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辆。单价100万元（含）以上设备（不含车辆）</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台（套）。</w:t>
      </w:r>
    </w:p>
    <w:p w14:paraId="2D0622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年末在建工程</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w:t>
      </w:r>
    </w:p>
    <w:p w14:paraId="0AD6FEA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bookmarkStart w:id="113" w:name="_Toc8874_WPSOffice_Level1"/>
      <w:bookmarkStart w:id="114" w:name="_Toc8808_WPSOffice_Level1"/>
      <w:bookmarkStart w:id="115" w:name="_Toc17580_WPSOffice_Level1"/>
      <w:bookmarkStart w:id="116" w:name="_Toc4398_WPSOffice_Level1"/>
      <w:bookmarkStart w:id="117" w:name="_Toc15425_WPSOffice_Level1"/>
      <w:bookmarkStart w:id="118" w:name="_Toc11039_WPSOffice_Level1"/>
    </w:p>
    <w:p w14:paraId="0E86C80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r>
        <w:rPr>
          <w:rFonts w:hint="eastAsia" w:ascii="黑体" w:hAnsi="ˎ̥" w:eastAsia="黑体"/>
          <w:color w:val="000000"/>
          <w:sz w:val="32"/>
          <w:szCs w:val="32"/>
          <w:highlight w:val="none"/>
        </w:rPr>
        <w:t>第四部分  名词解释</w:t>
      </w:r>
      <w:bookmarkEnd w:id="113"/>
      <w:bookmarkEnd w:id="114"/>
      <w:bookmarkEnd w:id="115"/>
      <w:bookmarkEnd w:id="116"/>
      <w:bookmarkEnd w:id="117"/>
      <w:bookmarkEnd w:id="118"/>
    </w:p>
    <w:p w14:paraId="2449C95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p>
    <w:p w14:paraId="76944726">
      <w:pPr>
        <w:keepNext w:val="0"/>
        <w:keepLines w:val="0"/>
        <w:pageBreakBefore w:val="0"/>
        <w:numPr>
          <w:ilvl w:val="0"/>
          <w:numId w:val="5"/>
        </w:numPr>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财政拨款收入：指同级政府财政部门当年拨付的各类财政拨款。</w:t>
      </w:r>
    </w:p>
    <w:p w14:paraId="4988C7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二、上级补助收入：指事业单位从主管部门和上级单位取得的非财政补助收入。</w:t>
      </w:r>
    </w:p>
    <w:p w14:paraId="73FFE4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三、事业收入：指事业单位开展专业业务活动及辅助活动取得的收入。</w:t>
      </w:r>
    </w:p>
    <w:p w14:paraId="60903AF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四、经营收入：指事业单位在专业业务活动及其辅助活动之外开展非独立核算经营活动取得的收入。</w:t>
      </w:r>
    </w:p>
    <w:p w14:paraId="272C0C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五、附属单位上缴收入：指事业单位取得附属独立核算单位根据有关规定上缴的收入。</w:t>
      </w:r>
    </w:p>
    <w:p w14:paraId="3C3B476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六、其他收入：指除上述“财政拨款收入”“事业收入”“上级补助收入”“经营收入”“附属单位上缴收入”等以外的收入。</w:t>
      </w:r>
    </w:p>
    <w:p w14:paraId="7D5DC8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七、使用非财政拨款结余：指事业单位在当年的“财政拨款收入”“事业收入”“经营收入”“其他收入”等不足以安排当年支出的情况下，使用非同级财政拨款结余资金弥补本年度收支缺口。</w:t>
      </w:r>
    </w:p>
    <w:p w14:paraId="133AC0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八、年初结转和结余：指以前年度尚未完成、结转到本年按有关规定继续使用的资金，或项目已完成等产生的结余资金。</w:t>
      </w:r>
    </w:p>
    <w:p w14:paraId="0E3EAA7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九、结余分配：指事业单位缴纳企业所得税以及从非财政拨款结余或经营结余中提取各类结余的情况。</w:t>
      </w:r>
    </w:p>
    <w:p w14:paraId="22190D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十、年末结转和结余：指本年度或以前年度预算安排、因客观条件发生变化无法按原计划实施，需要延迟到以后年度按有关规定继续使用的资金（不包括事业单位非财政拨款结余和专用结余）。</w:t>
      </w:r>
    </w:p>
    <w:p w14:paraId="79CDEB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十一、基本支出：指为保障机构正常运转、完成日常工作任务而发生的人员支出和公用支出。</w:t>
      </w:r>
    </w:p>
    <w:p w14:paraId="0D6892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十二、项目支出：指在基本支出之外为完成特定行政任务和事业发展目标所发生的支出。</w:t>
      </w:r>
    </w:p>
    <w:p w14:paraId="60A4CF5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十三、经营支出：指事业单位在专业业务活动及其辅助活动之外开展非独立核算经营活动发生的支出。</w:t>
      </w:r>
    </w:p>
    <w:p w14:paraId="34A000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2084F160">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55706F78">
      <w:pPr>
        <w:keepNext w:val="0"/>
        <w:keepLines w:val="0"/>
        <w:pageBreakBefore w:val="0"/>
        <w:kinsoku/>
        <w:wordWrap/>
        <w:overflowPunct/>
        <w:topLinePunct w:val="0"/>
        <w:autoSpaceDE/>
        <w:autoSpaceDN/>
        <w:bidi w:val="0"/>
        <w:adjustRightInd/>
        <w:snapToGrid/>
        <w:spacing w:line="560" w:lineRule="exact"/>
        <w:textAlignment w:val="auto"/>
        <w:rPr>
          <w:color w:val="000000"/>
          <w:highlight w:val="none"/>
        </w:rPr>
      </w:pPr>
    </w:p>
    <w:p w14:paraId="1207C6FE"/>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D44F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B29951">
                          <w:pPr>
                            <w:pStyle w:val="2"/>
                            <w:rPr>
                              <w:rStyle w:val="6"/>
                            </w:rPr>
                          </w:pPr>
                          <w:r>
                            <w:rPr>
                              <w:rStyle w:val="6"/>
                            </w:rPr>
                            <w:t xml:space="preserve">— </w:t>
                          </w:r>
                          <w:r>
                            <w:fldChar w:fldCharType="begin"/>
                          </w:r>
                          <w:r>
                            <w:rPr>
                              <w:rStyle w:val="6"/>
                            </w:rPr>
                            <w:instrText xml:space="preserve"> PAGE  \* MERGEFORMAT </w:instrText>
                          </w:r>
                          <w:r>
                            <w:fldChar w:fldCharType="separate"/>
                          </w:r>
                          <w:r>
                            <w:rPr>
                              <w:rStyle w:val="6"/>
                            </w:rPr>
                            <w:t>1</w:t>
                          </w:r>
                          <w:r>
                            <w:fldChar w:fldCharType="end"/>
                          </w:r>
                          <w:r>
                            <w:rPr>
                              <w:rStyle w:val="6"/>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6B29951">
                    <w:pPr>
                      <w:pStyle w:val="2"/>
                      <w:rPr>
                        <w:rStyle w:val="6"/>
                      </w:rPr>
                    </w:pPr>
                    <w:r>
                      <w:rPr>
                        <w:rStyle w:val="6"/>
                      </w:rPr>
                      <w:t xml:space="preserve">— </w:t>
                    </w:r>
                    <w:r>
                      <w:fldChar w:fldCharType="begin"/>
                    </w:r>
                    <w:r>
                      <w:rPr>
                        <w:rStyle w:val="6"/>
                      </w:rPr>
                      <w:instrText xml:space="preserve"> PAGE  \* MERGEFORMAT </w:instrText>
                    </w:r>
                    <w:r>
                      <w:fldChar w:fldCharType="separate"/>
                    </w:r>
                    <w:r>
                      <w:rPr>
                        <w:rStyle w:val="6"/>
                      </w:rPr>
                      <w:t>1</w:t>
                    </w:r>
                    <w:r>
                      <w:fldChar w:fldCharType="end"/>
                    </w:r>
                    <w:r>
                      <w:rPr>
                        <w:rStyle w:val="6"/>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F7BB8">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388B077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826C">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86C00"/>
    <w:multiLevelType w:val="singleLevel"/>
    <w:tmpl w:val="99286C00"/>
    <w:lvl w:ilvl="0" w:tentative="0">
      <w:start w:val="1"/>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1A81DA62"/>
    <w:multiLevelType w:val="singleLevel"/>
    <w:tmpl w:val="1A81DA62"/>
    <w:lvl w:ilvl="0" w:tentative="0">
      <w:start w:val="2"/>
      <w:numFmt w:val="decimal"/>
      <w:lvlText w:val="%1."/>
      <w:lvlJc w:val="left"/>
      <w:pPr>
        <w:tabs>
          <w:tab w:val="left" w:pos="312"/>
        </w:tabs>
      </w:p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abstractNum w:abstractNumId="4">
    <w:nsid w:val="75470EE4"/>
    <w:multiLevelType w:val="singleLevel"/>
    <w:tmpl w:val="75470EE4"/>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E37F3"/>
    <w:rsid w:val="0FAB715B"/>
    <w:rsid w:val="15E176D7"/>
    <w:rsid w:val="1723614E"/>
    <w:rsid w:val="178520B0"/>
    <w:rsid w:val="1E0508CE"/>
    <w:rsid w:val="2D746D9D"/>
    <w:rsid w:val="318D6246"/>
    <w:rsid w:val="38FD21E2"/>
    <w:rsid w:val="3B905C1C"/>
    <w:rsid w:val="3DF51D22"/>
    <w:rsid w:val="41767E98"/>
    <w:rsid w:val="470D3D03"/>
    <w:rsid w:val="4892419C"/>
    <w:rsid w:val="53055745"/>
    <w:rsid w:val="580737F5"/>
    <w:rsid w:val="5938186F"/>
    <w:rsid w:val="5A461108"/>
    <w:rsid w:val="62FF1978"/>
    <w:rsid w:val="6BEC3275"/>
    <w:rsid w:val="7EDD5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paragraph" w:customStyle="1" w:styleId="7">
    <w:name w:val="WPSOffice手动目录 1"/>
    <w:qFormat/>
    <w:uiPriority w:val="0"/>
    <w:rPr>
      <w:rFonts w:ascii="Calibri" w:hAnsi="Calibri" w:eastAsia="宋体" w:cs="Times New Roman"/>
      <w:lang w:val="en-US" w:eastAsia="zh-CN" w:bidi="ar-SA"/>
    </w:rPr>
  </w:style>
  <w:style w:type="paragraph" w:customStyle="1" w:styleId="8">
    <w:name w:val="WPSOffice手动目录 2"/>
    <w:qFormat/>
    <w:uiPriority w:val="0"/>
    <w:pPr>
      <w:ind w:leftChars="2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5450</Words>
  <Characters>5947</Characters>
  <Lines>0</Lines>
  <Paragraphs>0</Paragraphs>
  <TotalTime>403</TotalTime>
  <ScaleCrop>false</ScaleCrop>
  <LinksUpToDate>false</LinksUpToDate>
  <CharactersWithSpaces>6025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2024-10-25T08:33:00Z</dcterms:created>
  <dc:creator>Administrator</dc:creator>
  <cp:lastModifiedBy>余晓丽</cp:lastModifiedBy>
  <dcterms:modified xsi:type="dcterms:W3CDTF">2025-10-27T09:22:34Z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eyJoZGlkIjoiZTcxZTZlYTRiYjdlYTk3NmExNjZkODJiMDU2NGIyOTciLCJ1c2VySWQiOiI0MzQ1NTA3MzYifQ==</vt:lpwstr>
  </property>
  <property fmtid="{D5CDD505-2E9C-101B-9397-08002B2CF9AE}" pid="4" name="ICV">
    <vt:lpwstr>D3421BA097E745058A392BA2483831CE_13</vt:lpwstr>
  </property>
</Properties>
</file>