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val="en-US" w:eastAsia="zh-CN"/>
        </w:rPr>
        <w:t>琼海市财政局阳江财政所</w:t>
      </w:r>
      <w:r>
        <w:rPr>
          <w:rFonts w:hint="eastAsia" w:ascii="方正小标宋简体" w:hAnsi="方正小标宋简体" w:eastAsia="方正小标宋简体" w:cs="方正小标宋简体"/>
          <w:sz w:val="52"/>
          <w:szCs w:val="52"/>
        </w:rPr>
        <w:t>单位预算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jc w:val="center"/>
        <w:rPr>
          <w:rFonts w:hint="eastAsia" w:ascii="黑体" w:hAnsi="黑体" w:eastAsia="黑体"/>
          <w:sz w:val="52"/>
          <w:szCs w:val="52"/>
        </w:rPr>
        <w:sectPr>
          <w:footerReference r:id="rId5"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spacing w:line="578" w:lineRule="exact"/>
        <w:jc w:val="center"/>
        <w:rPr>
          <w:rFonts w:hint="eastAsia" w:ascii="黑体" w:hAnsi="黑体" w:eastAsia="黑体"/>
          <w:sz w:val="52"/>
          <w:szCs w:val="52"/>
        </w:rPr>
      </w:pPr>
    </w:p>
    <w:p>
      <w:pPr>
        <w:pStyle w:val="5"/>
        <w:numPr>
          <w:ilvl w:val="0"/>
          <w:numId w:val="1"/>
        </w:numPr>
        <w:spacing w:line="578" w:lineRule="exact"/>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琼海市财政局阳江财政所</w:t>
      </w:r>
      <w:r>
        <w:rPr>
          <w:rFonts w:hint="eastAsia" w:ascii="黑体" w:hAnsi="黑体" w:eastAsia="黑体"/>
          <w:sz w:val="32"/>
          <w:szCs w:val="32"/>
        </w:rPr>
        <w:t>概况</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spacing w:line="578" w:lineRule="exact"/>
        <w:ind w:firstLineChars="0"/>
        <w:jc w:val="left"/>
        <w:rPr>
          <w:rFonts w:ascii="黑体" w:hAnsi="黑体" w:eastAsia="黑体"/>
          <w:sz w:val="32"/>
          <w:szCs w:val="32"/>
        </w:rPr>
      </w:pPr>
      <w:r>
        <w:rPr>
          <w:rFonts w:hint="eastAsia" w:ascii="黑体" w:hAnsi="黑体" w:eastAsia="黑体"/>
          <w:sz w:val="32"/>
          <w:szCs w:val="32"/>
        </w:rPr>
        <w:t>预算单位构成</w:t>
      </w:r>
    </w:p>
    <w:p>
      <w:pPr>
        <w:pStyle w:val="5"/>
        <w:numPr>
          <w:ilvl w:val="0"/>
          <w:numId w:val="1"/>
        </w:numPr>
        <w:spacing w:line="578" w:lineRule="exact"/>
        <w:ind w:firstLineChars="0"/>
        <w:rPr>
          <w:rFonts w:ascii="黑体" w:hAnsi="黑体" w:eastAsia="黑体"/>
          <w:sz w:val="32"/>
          <w:szCs w:val="32"/>
        </w:rPr>
      </w:pPr>
      <w:r>
        <w:rPr>
          <w:rFonts w:hint="default" w:ascii="仿宋_GB2312" w:hAnsi="黑体" w:eastAsia="仿宋_GB2312" w:cs="仿宋_GB2312"/>
          <w:sz w:val="32"/>
          <w:szCs w:val="32"/>
          <w:lang w:val="en-US"/>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仿宋_GB2312" w:hAnsi="黑体" w:eastAsia="仿宋_GB2312" w:cs="仿宋_GB2312"/>
          <w:sz w:val="32"/>
          <w:szCs w:val="32"/>
          <w:lang w:val="en-US" w:eastAsia="zh-CN"/>
        </w:rPr>
        <w:t>2024</w:t>
      </w:r>
      <w:r>
        <w:rPr>
          <w:rFonts w:hint="eastAsia" w:ascii="黑体" w:hAnsi="黑体" w:eastAsia="黑体"/>
          <w:sz w:val="32"/>
          <w:szCs w:val="32"/>
        </w:rPr>
        <w:t>年单位预算表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5"/>
        <w:keepNext w:val="0"/>
        <w:keepLines w:val="0"/>
        <w:pageBreakBefore w:val="0"/>
        <w:widowControl/>
        <w:numPr>
          <w:ilvl w:val="0"/>
          <w:numId w:val="3"/>
        </w:numPr>
        <w:kinsoku/>
        <w:wordWrap/>
        <w:overflowPunct/>
        <w:topLinePunct w:val="0"/>
        <w:autoSpaceDE/>
        <w:autoSpaceDN/>
        <w:bidi w:val="0"/>
        <w:adjustRightInd w:val="0"/>
        <w:snapToGrid w:val="0"/>
        <w:spacing w:line="52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pStyle w:val="5"/>
        <w:numPr>
          <w:ilvl w:val="0"/>
          <w:numId w:val="1"/>
        </w:numPr>
        <w:spacing w:line="578" w:lineRule="exact"/>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numPr>
          <w:ilvl w:val="0"/>
          <w:numId w:val="0"/>
        </w:numPr>
        <w:spacing w:line="578" w:lineRule="exact"/>
        <w:ind w:leftChars="0"/>
        <w:jc w:val="both"/>
        <w:rPr>
          <w:rFonts w:ascii="仿宋_GB2312" w:hAnsi="仿宋_GB2312" w:eastAsia="仿宋_GB2312" w:cs="仿宋_GB2312"/>
          <w:sz w:val="32"/>
          <w:szCs w:val="32"/>
        </w:rPr>
        <w:sectPr>
          <w:footerReference r:id="rId6" w:type="default"/>
          <w:pgSz w:w="11906" w:h="16838"/>
          <w:pgMar w:top="1440" w:right="1800" w:bottom="1440" w:left="1800" w:header="851" w:footer="992" w:gutter="0"/>
          <w:pgNumType w:start="1"/>
          <w:cols w:space="720" w:num="1"/>
          <w:docGrid w:type="lines" w:linePitch="312" w:charSpace="0"/>
        </w:sectPr>
      </w:pPr>
    </w:p>
    <w:p>
      <w:pPr>
        <w:pStyle w:val="5"/>
        <w:numPr>
          <w:ilvl w:val="0"/>
          <w:numId w:val="4"/>
        </w:numPr>
        <w:spacing w:line="578" w:lineRule="exact"/>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琼海市财政局</w:t>
      </w:r>
      <w:r>
        <w:rPr>
          <w:rFonts w:hint="eastAsia" w:ascii="黑体" w:hAnsi="黑体" w:eastAsia="黑体"/>
          <w:sz w:val="32"/>
          <w:szCs w:val="32"/>
          <w:lang w:eastAsia="zh-CN"/>
        </w:rPr>
        <w:t>阳江</w:t>
      </w:r>
      <w:r>
        <w:rPr>
          <w:rFonts w:hint="eastAsia" w:ascii="黑体" w:hAnsi="黑体" w:eastAsia="黑体"/>
          <w:sz w:val="32"/>
          <w:szCs w:val="32"/>
        </w:rPr>
        <w:t>财政所单位概况</w:t>
      </w:r>
    </w:p>
    <w:p>
      <w:pPr>
        <w:spacing w:line="578" w:lineRule="exact"/>
        <w:jc w:val="left"/>
        <w:rPr>
          <w:rFonts w:ascii="仿宋_GB2312" w:hAnsi="仿宋_GB2312" w:eastAsia="仿宋_GB2312" w:cs="仿宋_GB2312"/>
          <w:sz w:val="32"/>
          <w:szCs w:val="32"/>
        </w:rPr>
      </w:pP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根据各预算部门提出的年度收支预算建议，编制本级政府年度预算草案；</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编制预算资金使用计划，拨付资金；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rPr>
        <w:t>负责国家对农民各项扶持资金的发放工作（一事一议、粮食补贴等资金）；</w:t>
      </w:r>
    </w:p>
    <w:p>
      <w:pPr>
        <w:pStyle w:val="6"/>
        <w:numPr>
          <w:ilvl w:val="0"/>
          <w:numId w:val="6"/>
        </w:numPr>
        <w:ind w:firstLineChars="0"/>
        <w:jc w:val="left"/>
        <w:rPr>
          <w:rFonts w:hint="eastAsia" w:ascii="仿宋" w:hAnsi="仿宋" w:eastAsia="仿宋" w:cs="宋体"/>
          <w:color w:val="000000"/>
          <w:kern w:val="0"/>
          <w:sz w:val="32"/>
          <w:szCs w:val="30"/>
        </w:rPr>
      </w:pPr>
      <w:r>
        <w:rPr>
          <w:rFonts w:hint="eastAsia" w:ascii="仿宋" w:hAnsi="仿宋" w:eastAsia="仿宋" w:cs="宋体"/>
          <w:color w:val="000000"/>
          <w:kern w:val="0"/>
          <w:sz w:val="32"/>
          <w:szCs w:val="30"/>
          <w:lang w:eastAsia="zh-CN"/>
        </w:rPr>
        <w:t>协助城乡居民基本</w:t>
      </w:r>
      <w:r>
        <w:rPr>
          <w:rFonts w:hint="eastAsia" w:ascii="仿宋" w:hAnsi="仿宋" w:eastAsia="仿宋" w:cs="宋体"/>
          <w:color w:val="000000"/>
          <w:kern w:val="0"/>
          <w:sz w:val="32"/>
          <w:szCs w:val="30"/>
        </w:rPr>
        <w:t>医疗</w:t>
      </w:r>
      <w:r>
        <w:rPr>
          <w:rFonts w:hint="eastAsia" w:ascii="仿宋" w:hAnsi="仿宋" w:eastAsia="仿宋" w:cs="宋体"/>
          <w:color w:val="000000"/>
          <w:kern w:val="0"/>
          <w:sz w:val="32"/>
          <w:szCs w:val="30"/>
          <w:lang w:eastAsia="zh-CN"/>
        </w:rPr>
        <w:t>保险</w:t>
      </w:r>
      <w:r>
        <w:rPr>
          <w:rFonts w:hint="eastAsia" w:ascii="仿宋" w:hAnsi="仿宋" w:eastAsia="仿宋" w:cs="宋体"/>
          <w:color w:val="000000"/>
          <w:kern w:val="0"/>
          <w:sz w:val="32"/>
          <w:szCs w:val="30"/>
        </w:rPr>
        <w:t>征收和管理。</w:t>
      </w:r>
    </w:p>
    <w:p>
      <w:pPr>
        <w:pStyle w:val="5"/>
        <w:numPr>
          <w:ilvl w:val="0"/>
          <w:numId w:val="5"/>
        </w:numPr>
        <w:spacing w:line="578" w:lineRule="exact"/>
        <w:ind w:firstLineChars="0"/>
        <w:jc w:val="left"/>
        <w:rPr>
          <w:rFonts w:ascii="黑体" w:hAnsi="黑体" w:eastAsia="黑体" w:cs="仿宋_GB2312"/>
          <w:sz w:val="32"/>
          <w:szCs w:val="32"/>
        </w:rPr>
      </w:pPr>
      <w:r>
        <w:rPr>
          <w:rFonts w:hint="eastAsia" w:ascii="黑体" w:hAnsi="黑体" w:eastAsia="黑体" w:cs="仿宋_GB2312"/>
          <w:sz w:val="32"/>
          <w:szCs w:val="32"/>
        </w:rPr>
        <w:t>预算单位构成</w:t>
      </w:r>
    </w:p>
    <w:p>
      <w:pPr>
        <w:spacing w:line="578" w:lineRule="exact"/>
        <w:ind w:firstLine="800" w:firstLineChars="25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琼海市财政局阳江财政所</w:t>
      </w:r>
    </w:p>
    <w:p>
      <w:pPr>
        <w:spacing w:line="578" w:lineRule="exact"/>
        <w:ind w:left="800"/>
        <w:jc w:val="left"/>
        <w:rPr>
          <w:rFonts w:ascii="仿宋_GB2312" w:hAnsi="黑体" w:eastAsia="仿宋_GB2312" w:cs="仿宋_GB2312"/>
          <w:sz w:val="32"/>
          <w:szCs w:val="32"/>
        </w:rPr>
      </w:pPr>
      <w:r>
        <w:rPr>
          <w:rFonts w:hint="eastAsia" w:ascii="仿宋" w:hAnsi="仿宋" w:eastAsia="仿宋" w:cs="仿宋"/>
          <w:sz w:val="32"/>
          <w:szCs w:val="32"/>
          <w:lang w:val="en-US" w:eastAsia="zh-CN"/>
        </w:rPr>
        <w:t>无内设机构</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2024</w:t>
      </w:r>
      <w:r>
        <w:rPr>
          <w:rFonts w:hint="eastAsia" w:ascii="黑体" w:hAnsi="黑体" w:eastAsia="黑体"/>
          <w:sz w:val="32"/>
          <w:szCs w:val="32"/>
        </w:rPr>
        <w:t>年单位预算表</w:t>
      </w:r>
    </w:p>
    <w:p>
      <w:pPr>
        <w:spacing w:line="578" w:lineRule="exact"/>
        <w:ind w:firstLine="0" w:firstLineChars="0"/>
        <w:jc w:val="center"/>
        <w:rPr>
          <w:rFonts w:ascii="黑体" w:hAnsi="黑体" w:eastAsia="黑体"/>
          <w:sz w:val="32"/>
          <w:szCs w:val="32"/>
        </w:rPr>
      </w:pPr>
    </w:p>
    <w:p>
      <w:pPr>
        <w:spacing w:line="578" w:lineRule="exact"/>
        <w:ind w:left="800"/>
        <w:jc w:val="left"/>
        <w:rPr>
          <w:rFonts w:ascii="黑体" w:hAnsi="黑体" w:eastAsia="黑体"/>
          <w:sz w:val="32"/>
          <w:szCs w:val="32"/>
        </w:rPr>
      </w:pPr>
    </w:p>
    <w:p>
      <w:pPr>
        <w:spacing w:line="578" w:lineRule="exact"/>
        <w:ind w:left="800"/>
        <w:jc w:val="center"/>
        <w:rPr>
          <w:rFonts w:ascii="仿宋_GB2312" w:hAnsi="黑体" w:eastAsia="仿宋_GB2312"/>
          <w:b/>
          <w:sz w:val="32"/>
          <w:szCs w:val="32"/>
        </w:rPr>
      </w:pPr>
      <w:r>
        <w:rPr>
          <w:rFonts w:hint="eastAsia" w:ascii="仿宋" w:hAnsi="仿宋" w:eastAsia="仿宋" w:cs="仿宋"/>
          <w:b/>
          <w:sz w:val="32"/>
          <w:szCs w:val="32"/>
        </w:rPr>
        <w:t>（此部分内容即为部门或单位预算公开表）</w:t>
      </w:r>
    </w:p>
    <w:p>
      <w:pPr>
        <w:spacing w:line="578" w:lineRule="exact"/>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eastAsia="zh-CN"/>
        </w:rPr>
        <w:t>三</w:t>
      </w:r>
      <w:r>
        <w:rPr>
          <w:rFonts w:hint="eastAsia" w:ascii="黑体" w:hAnsi="黑体" w:eastAsia="黑体"/>
          <w:sz w:val="32"/>
          <w:szCs w:val="32"/>
        </w:rPr>
        <w:t>部分  琼海市财政局</w:t>
      </w:r>
      <w:r>
        <w:rPr>
          <w:rFonts w:hint="eastAsia" w:ascii="黑体" w:hAnsi="黑体" w:eastAsia="黑体"/>
          <w:sz w:val="32"/>
          <w:szCs w:val="32"/>
          <w:lang w:eastAsia="zh-CN"/>
        </w:rPr>
        <w:t>阳江</w:t>
      </w:r>
      <w:r>
        <w:rPr>
          <w:rFonts w:hint="eastAsia" w:ascii="黑体" w:hAnsi="黑体" w:eastAsia="黑体"/>
          <w:sz w:val="32"/>
          <w:szCs w:val="32"/>
        </w:rPr>
        <w:t>财政所</w:t>
      </w:r>
      <w:r>
        <w:rPr>
          <w:rFonts w:hint="eastAsia" w:ascii="黑体" w:hAnsi="黑体" w:eastAsia="黑体"/>
          <w:sz w:val="32"/>
          <w:szCs w:val="32"/>
          <w:lang w:val="en-US" w:eastAsia="zh-CN"/>
        </w:rPr>
        <w:t>2024</w:t>
      </w:r>
      <w:r>
        <w:rPr>
          <w:rFonts w:hint="eastAsia" w:ascii="黑体" w:hAnsi="黑体" w:eastAsia="黑体"/>
          <w:sz w:val="32"/>
          <w:szCs w:val="32"/>
        </w:rPr>
        <w:t>年单位预算情况说明</w:t>
      </w:r>
    </w:p>
    <w:p>
      <w:pPr>
        <w:spacing w:line="578" w:lineRule="exact"/>
        <w:jc w:val="center"/>
        <w:rPr>
          <w:rFonts w:ascii="黑体" w:hAnsi="黑体" w:eastAsia="黑体"/>
          <w:sz w:val="32"/>
          <w:szCs w:val="32"/>
        </w:rPr>
      </w:pPr>
    </w:p>
    <w:p>
      <w:pPr>
        <w:spacing w:line="578" w:lineRule="exact"/>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琼海市财政局阳江财政所2024</w:t>
      </w:r>
      <w:r>
        <w:rPr>
          <w:rFonts w:hint="eastAsia" w:ascii="黑体" w:hAnsi="黑体" w:eastAsia="黑体"/>
          <w:sz w:val="32"/>
          <w:szCs w:val="32"/>
        </w:rPr>
        <w:t>年财政拨款收支预算情况的总体说明</w:t>
      </w:r>
    </w:p>
    <w:p>
      <w:pPr>
        <w:spacing w:line="578"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年财政拨款收支总预算</w:t>
      </w:r>
      <w:r>
        <w:rPr>
          <w:rFonts w:hint="eastAsia" w:ascii="仿宋" w:hAnsi="仿宋" w:eastAsia="仿宋" w:cs="仿宋"/>
          <w:sz w:val="32"/>
          <w:szCs w:val="32"/>
          <w:lang w:val="en-US" w:eastAsia="zh-CN"/>
        </w:rPr>
        <w:t>201.61</w:t>
      </w:r>
      <w:r>
        <w:rPr>
          <w:rFonts w:hint="eastAsia" w:ascii="仿宋" w:hAnsi="仿宋" w:eastAsia="仿宋" w:cs="仿宋"/>
          <w:sz w:val="32"/>
          <w:szCs w:val="32"/>
        </w:rPr>
        <w:t>万元。其中，收入总计</w:t>
      </w:r>
      <w:r>
        <w:rPr>
          <w:rFonts w:hint="eastAsia" w:ascii="仿宋" w:hAnsi="仿宋" w:eastAsia="仿宋" w:cs="仿宋"/>
          <w:sz w:val="32"/>
          <w:szCs w:val="32"/>
          <w:lang w:val="en-US" w:eastAsia="zh-CN"/>
        </w:rPr>
        <w:t>201.61</w:t>
      </w:r>
      <w:r>
        <w:rPr>
          <w:rFonts w:hint="eastAsia" w:ascii="仿宋" w:hAnsi="仿宋" w:eastAsia="仿宋" w:cs="仿宋"/>
          <w:sz w:val="32"/>
          <w:szCs w:val="32"/>
        </w:rPr>
        <w:t>万元，包括一般公共预算本年收入</w:t>
      </w:r>
      <w:r>
        <w:rPr>
          <w:rFonts w:hint="eastAsia" w:ascii="仿宋" w:hAnsi="仿宋" w:eastAsia="仿宋" w:cs="仿宋"/>
          <w:sz w:val="32"/>
          <w:szCs w:val="32"/>
          <w:lang w:val="en-US" w:eastAsia="zh-CN"/>
        </w:rPr>
        <w:t>201.61</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万元，政府性基金预算本年收入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万元、上年结转</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万元；支出总计</w:t>
      </w:r>
      <w:r>
        <w:rPr>
          <w:rFonts w:hint="eastAsia" w:ascii="仿宋" w:hAnsi="仿宋" w:eastAsia="仿宋" w:cs="仿宋"/>
          <w:sz w:val="32"/>
          <w:szCs w:val="32"/>
          <w:lang w:val="en-US" w:eastAsia="zh-CN"/>
        </w:rPr>
        <w:t>201.61</w:t>
      </w:r>
      <w:r>
        <w:rPr>
          <w:rFonts w:hint="eastAsia" w:ascii="仿宋" w:hAnsi="仿宋" w:eastAsia="仿宋" w:cs="仿宋"/>
          <w:sz w:val="32"/>
          <w:szCs w:val="32"/>
        </w:rPr>
        <w:t>万元，包括一般公共服务支出145.09万元、</w:t>
      </w:r>
      <w:r>
        <w:rPr>
          <w:rFonts w:hint="eastAsia" w:ascii="仿宋_GB2312" w:hAnsi="黑体" w:eastAsia="仿宋_GB2312"/>
          <w:sz w:val="32"/>
          <w:szCs w:val="32"/>
        </w:rPr>
        <w:t>社会保障和就业支出</w:t>
      </w:r>
      <w:r>
        <w:rPr>
          <w:rFonts w:hint="eastAsia" w:ascii="仿宋_GB2312" w:hAnsi="黑体" w:eastAsia="仿宋_GB2312"/>
          <w:sz w:val="32"/>
          <w:szCs w:val="32"/>
          <w:lang w:val="en-US" w:eastAsia="zh-CN"/>
        </w:rPr>
        <w:t>26.14</w:t>
      </w:r>
      <w:r>
        <w:rPr>
          <w:rFonts w:hint="eastAsia" w:ascii="仿宋_GB2312" w:hAnsi="黑体" w:eastAsia="仿宋_GB2312"/>
          <w:sz w:val="32"/>
          <w:szCs w:val="32"/>
        </w:rPr>
        <w:t>万元、卫生健康支出</w:t>
      </w:r>
      <w:r>
        <w:rPr>
          <w:rFonts w:hint="eastAsia" w:ascii="仿宋_GB2312" w:hAnsi="黑体" w:eastAsia="仿宋_GB2312"/>
          <w:sz w:val="32"/>
          <w:szCs w:val="32"/>
          <w:lang w:val="en-US" w:eastAsia="zh-CN"/>
        </w:rPr>
        <w:t>18.22</w:t>
      </w:r>
      <w:r>
        <w:rPr>
          <w:rFonts w:hint="eastAsia" w:ascii="仿宋_GB2312" w:hAnsi="黑体" w:eastAsia="仿宋_GB2312"/>
          <w:sz w:val="32"/>
          <w:szCs w:val="32"/>
        </w:rPr>
        <w:t>万元、</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36.61万元、</w:t>
      </w:r>
      <w:r>
        <w:rPr>
          <w:rFonts w:hint="eastAsia" w:ascii="仿宋_GB2312" w:hAnsi="黑体" w:eastAsia="仿宋_GB2312"/>
          <w:sz w:val="32"/>
          <w:szCs w:val="32"/>
        </w:rPr>
        <w:t>住房保障支出</w:t>
      </w:r>
      <w:r>
        <w:rPr>
          <w:rFonts w:hint="eastAsia" w:ascii="仿宋_GB2312" w:hAnsi="黑体" w:eastAsia="仿宋_GB2312"/>
          <w:sz w:val="32"/>
          <w:szCs w:val="32"/>
          <w:lang w:val="en-US" w:eastAsia="zh-CN"/>
        </w:rPr>
        <w:t>12.16</w:t>
      </w:r>
      <w:r>
        <w:rPr>
          <w:rFonts w:hint="eastAsia" w:ascii="仿宋_GB2312" w:hAnsi="黑体" w:eastAsia="仿宋_GB2312"/>
          <w:sz w:val="32"/>
          <w:szCs w:val="32"/>
        </w:rPr>
        <w:t>万元</w:t>
      </w:r>
      <w:r>
        <w:rPr>
          <w:rFonts w:hint="eastAsia" w:ascii="仿宋" w:hAnsi="仿宋" w:eastAsia="仿宋" w:cs="仿宋"/>
          <w:sz w:val="32"/>
          <w:szCs w:val="32"/>
        </w:rPr>
        <w:t>。</w:t>
      </w:r>
    </w:p>
    <w:p>
      <w:pPr>
        <w:spacing w:line="578" w:lineRule="exact"/>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琼海市财政局阳江财政所2024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spacing w:line="578"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201.61</w:t>
      </w:r>
      <w:r>
        <w:rPr>
          <w:rFonts w:hint="eastAsia" w:ascii="仿宋" w:hAnsi="仿宋" w:eastAsia="仿宋" w:cs="仿宋"/>
          <w:sz w:val="32"/>
          <w:szCs w:val="32"/>
        </w:rPr>
        <w:t>万元，比上年预算数增加</w:t>
      </w:r>
      <w:r>
        <w:rPr>
          <w:rFonts w:hint="eastAsia" w:ascii="仿宋" w:hAnsi="仿宋" w:eastAsia="仿宋" w:cs="仿宋"/>
          <w:sz w:val="32"/>
          <w:szCs w:val="32"/>
          <w:lang w:val="en-US" w:eastAsia="zh-CN"/>
        </w:rPr>
        <w:t>36.64</w:t>
      </w:r>
      <w:r>
        <w:rPr>
          <w:rFonts w:hint="eastAsia" w:ascii="仿宋" w:hAnsi="仿宋" w:eastAsia="仿宋" w:cs="仿宋"/>
          <w:sz w:val="32"/>
          <w:szCs w:val="32"/>
        </w:rPr>
        <w:t>万元，</w:t>
      </w:r>
      <w:r>
        <w:rPr>
          <w:rFonts w:hint="eastAsia" w:ascii="仿宋" w:hAnsi="仿宋" w:eastAsia="仿宋" w:cs="仿宋"/>
          <w:sz w:val="32"/>
          <w:szCs w:val="32"/>
          <w:lang w:eastAsia="zh-CN"/>
        </w:rPr>
        <w:t>主要是</w:t>
      </w:r>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减少政府性基金预算</w:t>
      </w:r>
      <w:r>
        <w:rPr>
          <w:rFonts w:hint="eastAsia" w:ascii="仿宋" w:hAnsi="仿宋" w:eastAsia="仿宋" w:cs="仿宋"/>
          <w:sz w:val="32"/>
          <w:szCs w:val="32"/>
          <w:lang w:val="en-US" w:eastAsia="zh-CN"/>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145.09</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71.97</w:t>
      </w:r>
      <w:r>
        <w:rPr>
          <w:rFonts w:hint="eastAsia" w:ascii="仿宋_GB2312" w:hAnsi="黑体" w:eastAsia="仿宋_GB2312"/>
          <w:sz w:val="32"/>
          <w:szCs w:val="32"/>
        </w:rPr>
        <w:t>%；社会保障和就业</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26.14</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12.97</w:t>
      </w:r>
      <w:r>
        <w:rPr>
          <w:rFonts w:hint="eastAsia" w:ascii="仿宋_GB2312" w:hAnsi="黑体" w:eastAsia="仿宋_GB2312"/>
          <w:sz w:val="32"/>
          <w:szCs w:val="32"/>
        </w:rPr>
        <w:t>%；卫生健康</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18.22</w:t>
      </w:r>
      <w:r>
        <w:rPr>
          <w:rFonts w:hint="eastAsia" w:ascii="仿宋_GB2312" w:hAnsi="黑体" w:eastAsia="仿宋_GB2312"/>
          <w:sz w:val="32"/>
          <w:szCs w:val="32"/>
        </w:rPr>
        <w:t>万元，占</w:t>
      </w:r>
      <w:r>
        <w:rPr>
          <w:rFonts w:hint="eastAsia" w:ascii="仿宋_GB2312" w:hAnsi="黑体" w:eastAsia="仿宋_GB2312"/>
          <w:sz w:val="32"/>
          <w:szCs w:val="32"/>
          <w:lang w:val="en-US" w:eastAsia="zh-CN"/>
        </w:rPr>
        <w:t>9.04</w:t>
      </w:r>
      <w:r>
        <w:rPr>
          <w:rFonts w:hint="eastAsia" w:ascii="仿宋_GB2312" w:hAnsi="黑体" w:eastAsia="仿宋_GB2312"/>
          <w:sz w:val="32"/>
          <w:szCs w:val="32"/>
        </w:rPr>
        <w:t>%；住房保障</w:t>
      </w:r>
      <w:r>
        <w:rPr>
          <w:rFonts w:hint="eastAsia" w:ascii="仿宋_GB2312" w:hAnsi="黑体" w:eastAsia="仿宋_GB2312" w:cs="仿宋_GB2312"/>
          <w:sz w:val="32"/>
          <w:szCs w:val="32"/>
        </w:rPr>
        <w:t>（类）支出</w:t>
      </w:r>
      <w:r>
        <w:rPr>
          <w:rFonts w:hint="eastAsia" w:ascii="仿宋_GB2312" w:hAnsi="黑体" w:eastAsia="仿宋_GB2312"/>
          <w:sz w:val="32"/>
          <w:szCs w:val="32"/>
          <w:lang w:val="en-US" w:eastAsia="zh-CN"/>
        </w:rPr>
        <w:t>12.16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6.03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eastAsia="zh-CN"/>
        </w:rPr>
      </w:pPr>
      <w:r>
        <w:rPr>
          <w:rFonts w:hint="eastAsia" w:ascii="仿宋_GB2312" w:hAnsi="黑体" w:eastAsia="仿宋_GB2312" w:cs="仿宋_GB2312"/>
          <w:sz w:val="32"/>
          <w:szCs w:val="32"/>
        </w:rPr>
        <w:t>1.一般公共服务</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财政事</w:t>
      </w:r>
      <w:r>
        <w:rPr>
          <w:rFonts w:hint="eastAsia" w:ascii="仿宋_GB2312" w:hAnsi="黑体" w:eastAsia="仿宋_GB2312" w:cs="仿宋_GB2312"/>
          <w:sz w:val="32"/>
          <w:szCs w:val="32"/>
        </w:rPr>
        <w:t>务（款）行政运行（项）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113.77</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增加1.6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公用支出增加</w:t>
      </w:r>
      <w:r>
        <w:rPr>
          <w:rFonts w:hint="eastAsia" w:ascii="仿宋_GB2312" w:hAnsi="黑体" w:eastAsia="仿宋_GB2312"/>
          <w:sz w:val="32"/>
          <w:szCs w:val="32"/>
          <w:lang w:eastAsia="zh-CN"/>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w:t>
      </w:r>
      <w:r>
        <w:rPr>
          <w:rFonts w:hint="eastAsia" w:ascii="仿宋_GB2312" w:hAnsi="黑体" w:eastAsia="仿宋_GB2312" w:cs="仿宋_GB2312"/>
          <w:sz w:val="32"/>
          <w:szCs w:val="32"/>
        </w:rPr>
        <w:t>社会保障和就业</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（类）行政事业单位养老支出（款）机关事业单位基本养老保险缴费支出（项）</w:t>
      </w:r>
      <w:r>
        <w:rPr>
          <w:rFonts w:hint="eastAsia" w:ascii="仿宋_GB2312" w:hAnsi="黑体" w:eastAsia="仿宋_GB2312" w:cs="仿宋_GB2312"/>
          <w:sz w:val="32"/>
          <w:szCs w:val="32"/>
          <w:lang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13.87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减少0.79</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有人员退休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highlight w:val="none"/>
        </w:rPr>
        <w:t>社会保障和就业</w:t>
      </w:r>
      <w:r>
        <w:rPr>
          <w:rFonts w:hint="eastAsia" w:ascii="仿宋_GB2312" w:hAnsi="黑体" w:eastAsia="仿宋_GB2312" w:cs="仿宋_GB2312"/>
          <w:sz w:val="32"/>
          <w:szCs w:val="32"/>
          <w:highlight w:val="none"/>
          <w:lang w:eastAsia="zh-CN"/>
        </w:rPr>
        <w:t>支出</w:t>
      </w:r>
      <w:r>
        <w:rPr>
          <w:rFonts w:hint="eastAsia" w:ascii="仿宋_GB2312" w:hAnsi="黑体" w:eastAsia="仿宋_GB2312" w:cs="仿宋_GB2312"/>
          <w:sz w:val="32"/>
          <w:szCs w:val="32"/>
          <w:highlight w:val="none"/>
        </w:rPr>
        <w:t>（类）行政事业单位养老支出（款）机关事业单位职业年金缴费支出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highlight w:val="none"/>
          <w:lang w:eastAsia="zh-CN"/>
        </w:rPr>
        <w:t>2024</w:t>
      </w:r>
      <w:r>
        <w:rPr>
          <w:rFonts w:hint="eastAsia" w:ascii="仿宋_GB2312" w:hAnsi="黑体" w:eastAsia="仿宋_GB2312"/>
          <w:sz w:val="32"/>
          <w:szCs w:val="32"/>
          <w:highlight w:val="none"/>
        </w:rPr>
        <w:t>年预算数为</w:t>
      </w:r>
      <w:r>
        <w:rPr>
          <w:rFonts w:hint="eastAsia" w:ascii="仿宋_GB2312" w:hAnsi="黑体" w:eastAsia="仿宋_GB2312" w:cs="仿宋_GB2312"/>
          <w:sz w:val="32"/>
          <w:szCs w:val="32"/>
          <w:highlight w:val="none"/>
          <w:lang w:val="en-US" w:eastAsia="zh-CN"/>
        </w:rPr>
        <w:t>12.26</w:t>
      </w:r>
      <w:r>
        <w:rPr>
          <w:rFonts w:hint="eastAsia" w:ascii="仿宋_GB2312" w:hAnsi="黑体" w:eastAsia="仿宋_GB2312"/>
          <w:sz w:val="32"/>
          <w:szCs w:val="32"/>
          <w:highlight w:val="none"/>
        </w:rPr>
        <w:t>万元，比上年预算数</w:t>
      </w:r>
      <w:r>
        <w:rPr>
          <w:rFonts w:hint="eastAsia" w:ascii="仿宋_GB2312" w:hAnsi="黑体" w:eastAsia="仿宋_GB2312" w:cs="仿宋_GB2312"/>
          <w:sz w:val="32"/>
          <w:szCs w:val="32"/>
          <w:highlight w:val="none"/>
          <w:lang w:val="en-US" w:eastAsia="zh-CN"/>
        </w:rPr>
        <w:t>增加5.21</w:t>
      </w:r>
      <w:r>
        <w:rPr>
          <w:rFonts w:hint="eastAsia" w:ascii="仿宋_GB2312" w:hAnsi="黑体" w:eastAsia="仿宋_GB2312" w:cs="仿宋_GB2312"/>
          <w:sz w:val="32"/>
          <w:szCs w:val="32"/>
          <w:highlight w:val="none"/>
        </w:rPr>
        <w:t>万元</w:t>
      </w:r>
      <w:r>
        <w:rPr>
          <w:rFonts w:hint="eastAsia" w:ascii="仿宋_GB2312" w:hAnsi="黑体" w:eastAsia="仿宋_GB2312"/>
          <w:sz w:val="32"/>
          <w:szCs w:val="32"/>
          <w:highlight w:val="none"/>
        </w:rPr>
        <w:t>，主要是</w:t>
      </w:r>
      <w:r>
        <w:rPr>
          <w:rFonts w:hint="eastAsia" w:ascii="仿宋_GB2312" w:hAnsi="黑体" w:eastAsia="仿宋_GB2312"/>
          <w:sz w:val="32"/>
          <w:szCs w:val="32"/>
          <w:highlight w:val="none"/>
          <w:lang w:val="en-US" w:eastAsia="zh-CN"/>
        </w:rPr>
        <w:t>2023年职业年金为退休人员记实职业年金，在职人员无这项预算，</w:t>
      </w:r>
      <w:r>
        <w:rPr>
          <w:rFonts w:hint="eastAsia" w:ascii="仿宋_GB2312" w:hAnsi="黑体" w:eastAsia="仿宋_GB2312"/>
          <w:sz w:val="32"/>
          <w:szCs w:val="32"/>
          <w:lang w:val="en-US" w:eastAsia="zh-CN"/>
        </w:rPr>
        <w:t>2024年在职人员职业年金为实缴项目，有预算</w:t>
      </w:r>
      <w:r>
        <w:rPr>
          <w:rFonts w:hint="eastAsia" w:ascii="仿宋_GB2312" w:hAnsi="黑体" w:eastAsia="仿宋_GB2312"/>
          <w:sz w:val="32"/>
          <w:szCs w:val="32"/>
          <w:highlight w:val="none"/>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4</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（类）行政事业单位医疗（款）行政单位医疗（项）</w:t>
      </w:r>
      <w:r>
        <w:rPr>
          <w:rFonts w:hint="eastAsia" w:ascii="仿宋_GB2312" w:hAnsi="黑体" w:eastAsia="仿宋_GB2312" w:cs="仿宋_GB2312"/>
          <w:sz w:val="32"/>
          <w:szCs w:val="32"/>
          <w:lang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6.44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减少0.3</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有人员退休</w:t>
      </w:r>
      <w:r>
        <w:rPr>
          <w:rFonts w:hint="eastAsia" w:ascii="仿宋_GB2312" w:hAnsi="黑体" w:eastAsia="仿宋_GB2312"/>
          <w:sz w:val="32"/>
          <w:szCs w:val="32"/>
        </w:rPr>
        <w:t>。</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卫生健康</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（类）行政事业单位医疗（款）公务员医疗补助（项）</w:t>
      </w:r>
      <w:r>
        <w:rPr>
          <w:rFonts w:hint="eastAsia" w:ascii="仿宋_GB2312" w:hAnsi="黑体" w:eastAsia="仿宋_GB2312" w:cs="仿宋_GB2312"/>
          <w:sz w:val="32"/>
          <w:szCs w:val="32"/>
          <w:lang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11.79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增加0.23</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在职人员公补基数增加</w:t>
      </w:r>
      <w:r>
        <w:rPr>
          <w:rFonts w:hint="eastAsia" w:ascii="仿宋_GB2312" w:hAnsi="黑体" w:eastAsia="仿宋_GB2312"/>
          <w:sz w:val="32"/>
          <w:szCs w:val="32"/>
        </w:rPr>
        <w:t>。</w:t>
      </w:r>
    </w:p>
    <w:p>
      <w:pPr>
        <w:spacing w:line="578" w:lineRule="exact"/>
        <w:ind w:firstLine="64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.住房保障</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（类）住房改革支出（款）住房公积金（项）</w:t>
      </w:r>
      <w:r>
        <w:rPr>
          <w:rFonts w:hint="eastAsia" w:ascii="仿宋_GB2312" w:hAnsi="黑体" w:eastAsia="仿宋_GB2312" w:cs="仿宋_GB2312"/>
          <w:sz w:val="32"/>
          <w:szCs w:val="32"/>
          <w:lang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12.16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减少0.62</w:t>
      </w:r>
      <w:r>
        <w:rPr>
          <w:rFonts w:hint="eastAsia" w:ascii="仿宋_GB2312" w:hAnsi="黑体" w:eastAsia="仿宋_GB2312" w:cs="仿宋_GB2312"/>
          <w:sz w:val="32"/>
          <w:szCs w:val="32"/>
        </w:rPr>
        <w:t>万元</w:t>
      </w:r>
      <w:r>
        <w:rPr>
          <w:rFonts w:hint="eastAsia" w:ascii="仿宋_GB2312" w:hAnsi="黑体" w:eastAsia="仿宋_GB2312"/>
          <w:sz w:val="32"/>
          <w:szCs w:val="32"/>
        </w:rPr>
        <w:t>，主要是</w:t>
      </w:r>
      <w:r>
        <w:rPr>
          <w:rFonts w:hint="eastAsia" w:ascii="仿宋_GB2312" w:hAnsi="黑体" w:eastAsia="仿宋_GB2312"/>
          <w:sz w:val="32"/>
          <w:szCs w:val="32"/>
          <w:lang w:val="en-US" w:eastAsia="zh-CN"/>
        </w:rPr>
        <w:t>有人员退休</w:t>
      </w:r>
      <w:r>
        <w:rPr>
          <w:rFonts w:hint="eastAsia" w:ascii="仿宋_GB2312" w:hAnsi="黑体" w:eastAsia="仿宋_GB2312"/>
          <w:sz w:val="32"/>
          <w:szCs w:val="32"/>
        </w:rPr>
        <w:t>。</w:t>
      </w:r>
    </w:p>
    <w:p>
      <w:pPr>
        <w:spacing w:line="578" w:lineRule="exact"/>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琼海市财政局阳江财政所2024</w:t>
      </w:r>
      <w:r>
        <w:rPr>
          <w:rFonts w:hint="eastAsia" w:ascii="黑体" w:hAnsi="黑体" w:eastAsia="黑体"/>
          <w:sz w:val="32"/>
          <w:szCs w:val="32"/>
        </w:rPr>
        <w:t>年一般公共预算基本支出情况说明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年一般公共预算基本支出为</w:t>
      </w:r>
      <w:r>
        <w:rPr>
          <w:rFonts w:hint="eastAsia" w:ascii="仿宋" w:hAnsi="仿宋" w:eastAsia="仿宋" w:cs="仿宋"/>
          <w:sz w:val="32"/>
          <w:szCs w:val="32"/>
          <w:lang w:val="en-US" w:eastAsia="zh-CN"/>
        </w:rPr>
        <w:t>170.92</w:t>
      </w:r>
      <w:r>
        <w:rPr>
          <w:rFonts w:hint="eastAsia" w:ascii="仿宋" w:hAnsi="仿宋" w:eastAsia="仿宋" w:cs="仿宋"/>
          <w:sz w:val="32"/>
          <w:szCs w:val="32"/>
        </w:rPr>
        <w:t>万元，其中：</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人员经费</w:t>
      </w:r>
      <w:r>
        <w:rPr>
          <w:rFonts w:hint="eastAsia" w:ascii="仿宋" w:hAnsi="仿宋" w:eastAsia="仿宋" w:cs="仿宋"/>
          <w:sz w:val="32"/>
          <w:szCs w:val="32"/>
          <w:lang w:val="en-US" w:eastAsia="zh-CN"/>
        </w:rPr>
        <w:t>157.4</w:t>
      </w:r>
      <w:r>
        <w:rPr>
          <w:rFonts w:hint="eastAsia" w:ascii="仿宋" w:hAnsi="仿宋" w:eastAsia="仿宋" w:cs="仿宋"/>
          <w:sz w:val="32"/>
          <w:szCs w:val="32"/>
        </w:rPr>
        <w:t>万元，主要包括：</w:t>
      </w:r>
      <w:r>
        <w:rPr>
          <w:rFonts w:hint="eastAsia" w:ascii="仿宋_GB2312" w:hAnsi="黑体" w:eastAsia="仿宋_GB2312"/>
          <w:sz w:val="32"/>
          <w:szCs w:val="32"/>
        </w:rPr>
        <w:t>基本工资、津贴补贴、奖金、</w:t>
      </w:r>
      <w:r>
        <w:rPr>
          <w:rFonts w:hint="eastAsia" w:ascii="仿宋_GB2312" w:hAnsi="黑体" w:eastAsia="仿宋_GB2312"/>
          <w:sz w:val="32"/>
          <w:szCs w:val="32"/>
          <w:lang w:eastAsia="zh-CN"/>
        </w:rPr>
        <w:t>绩效工资、</w:t>
      </w:r>
      <w:r>
        <w:rPr>
          <w:rFonts w:hint="eastAsia" w:ascii="仿宋_GB2312" w:hAnsi="黑体" w:eastAsia="仿宋_GB2312"/>
          <w:sz w:val="32"/>
          <w:szCs w:val="32"/>
        </w:rPr>
        <w:t>机关事业单位基本养老保险缴费、职业年金缴费</w:t>
      </w:r>
      <w:r>
        <w:rPr>
          <w:rFonts w:hint="eastAsia" w:ascii="仿宋_GB2312" w:hAnsi="黑体" w:eastAsia="仿宋_GB2312"/>
          <w:sz w:val="32"/>
          <w:szCs w:val="32"/>
          <w:lang w:eastAsia="zh-CN"/>
        </w:rPr>
        <w:t>、</w:t>
      </w:r>
      <w:r>
        <w:rPr>
          <w:rFonts w:hint="eastAsia" w:ascii="仿宋_GB2312" w:hAnsi="黑体" w:eastAsia="仿宋_GB2312"/>
          <w:sz w:val="32"/>
          <w:szCs w:val="32"/>
        </w:rPr>
        <w:t>职工基本医疗保险缴费、公务员医疗补助缴费、其他社会保障缴费、住房公积金</w:t>
      </w:r>
      <w:r>
        <w:rPr>
          <w:rFonts w:hint="eastAsia" w:ascii="仿宋_GB2312" w:hAnsi="黑体" w:eastAsia="仿宋_GB2312"/>
          <w:sz w:val="32"/>
          <w:szCs w:val="32"/>
          <w:lang w:eastAsia="zh-CN"/>
        </w:rPr>
        <w:t>；</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公用经费</w:t>
      </w:r>
      <w:r>
        <w:rPr>
          <w:rFonts w:hint="eastAsia" w:ascii="仿宋" w:hAnsi="仿宋" w:eastAsia="仿宋" w:cs="仿宋"/>
          <w:sz w:val="32"/>
          <w:szCs w:val="32"/>
          <w:lang w:val="en-US" w:eastAsia="zh-CN"/>
        </w:rPr>
        <w:t>12.89</w:t>
      </w:r>
      <w:r>
        <w:rPr>
          <w:rFonts w:hint="eastAsia" w:ascii="仿宋" w:hAnsi="仿宋" w:eastAsia="仿宋" w:cs="仿宋"/>
          <w:sz w:val="32"/>
          <w:szCs w:val="32"/>
        </w:rPr>
        <w:t>万元，主要包括：</w:t>
      </w:r>
      <w:r>
        <w:rPr>
          <w:rFonts w:hint="eastAsia" w:ascii="仿宋_GB2312" w:hAnsi="黑体" w:eastAsia="仿宋_GB2312"/>
          <w:sz w:val="32"/>
          <w:szCs w:val="32"/>
        </w:rPr>
        <w:t>办公费、水费、电费、邮电费、物业管理费、差旅费、维修（护）费、会议费、培训费、工会经费</w:t>
      </w:r>
      <w:r>
        <w:rPr>
          <w:rFonts w:hint="eastAsia" w:ascii="仿宋_GB2312" w:hAnsi="黑体" w:eastAsia="仿宋_GB2312"/>
          <w:sz w:val="32"/>
          <w:szCs w:val="32"/>
          <w:lang w:eastAsia="zh-CN"/>
        </w:rPr>
        <w:t>、其他交通费用</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琼海市财政局阳江财政所2024</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年一般公共预算“三公”经费预算数为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p>
    <w:p>
      <w:pPr>
        <w:spacing w:line="578" w:lineRule="exact"/>
        <w:rPr>
          <w:rFonts w:hint="eastAsia" w:ascii="仿宋" w:hAnsi="仿宋" w:eastAsia="仿宋" w:cs="仿宋"/>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琼海市财政局阳江财政所2024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spacing w:line="578" w:lineRule="exact"/>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年政府性基金预算当年拨款</w:t>
      </w:r>
      <w:r>
        <w:rPr>
          <w:rFonts w:hint="eastAsia" w:ascii="仿宋" w:hAnsi="仿宋" w:eastAsia="仿宋" w:cs="仿宋"/>
          <w:sz w:val="32"/>
          <w:szCs w:val="32"/>
          <w:lang w:val="en-US" w:eastAsia="zh-CN"/>
        </w:rPr>
        <w:t>0</w:t>
      </w:r>
      <w:r>
        <w:rPr>
          <w:rFonts w:hint="eastAsia" w:ascii="仿宋" w:hAnsi="仿宋" w:eastAsia="仿宋" w:cs="仿宋"/>
          <w:sz w:val="32"/>
          <w:szCs w:val="32"/>
        </w:rPr>
        <w:t>万元，比上年预算数减少</w:t>
      </w:r>
      <w:r>
        <w:rPr>
          <w:rFonts w:hint="eastAsia" w:ascii="仿宋" w:hAnsi="仿宋" w:eastAsia="仿宋" w:cs="仿宋"/>
          <w:sz w:val="32"/>
          <w:szCs w:val="32"/>
          <w:lang w:val="en-US" w:eastAsia="zh-CN"/>
        </w:rPr>
        <w:t>36.61</w:t>
      </w:r>
      <w:r>
        <w:rPr>
          <w:rFonts w:hint="eastAsia" w:ascii="仿宋" w:hAnsi="仿宋" w:eastAsia="仿宋" w:cs="仿宋"/>
          <w:sz w:val="32"/>
          <w:szCs w:val="32"/>
        </w:rPr>
        <w:t>万元，</w:t>
      </w:r>
      <w:r>
        <w:rPr>
          <w:rFonts w:hint="eastAsia" w:ascii="仿宋" w:hAnsi="仿宋" w:eastAsia="仿宋" w:cs="仿宋"/>
          <w:sz w:val="32"/>
          <w:szCs w:val="32"/>
          <w:lang w:eastAsia="zh-CN"/>
        </w:rPr>
        <w:t>主要是</w:t>
      </w:r>
      <w:bookmarkStart w:id="0" w:name="_GoBack"/>
      <w:bookmarkEnd w:id="0"/>
      <w:r>
        <w:rPr>
          <w:rFonts w:hint="eastAsia" w:ascii="仿宋_GB2312" w:hAnsi="黑体" w:eastAsia="仿宋_GB2312"/>
          <w:sz w:val="32"/>
          <w:szCs w:val="32"/>
          <w:lang w:eastAsia="zh-CN"/>
        </w:rPr>
        <w:t>资金性质调整，</w:t>
      </w:r>
      <w:r>
        <w:rPr>
          <w:rFonts w:hint="eastAsia" w:ascii="仿宋_GB2312" w:hAnsi="黑体" w:eastAsia="仿宋_GB2312"/>
          <w:sz w:val="32"/>
          <w:szCs w:val="32"/>
          <w:lang w:val="en-US" w:eastAsia="zh-CN"/>
        </w:rPr>
        <w:t>减少政府性基金预算</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spacing w:line="578" w:lineRule="exact"/>
        <w:ind w:firstLine="800" w:firstLineChars="250"/>
        <w:rPr>
          <w:rFonts w:hint="eastAsia" w:ascii="仿宋" w:hAnsi="仿宋" w:eastAsia="仿宋" w:cs="仿宋"/>
          <w:sz w:val="32"/>
          <w:szCs w:val="32"/>
        </w:rPr>
      </w:pPr>
      <w:r>
        <w:rPr>
          <w:rFonts w:hint="eastAsia" w:ascii="仿宋" w:hAnsi="仿宋" w:eastAsia="仿宋" w:cs="仿宋"/>
          <w:sz w:val="32"/>
          <w:szCs w:val="32"/>
          <w:lang w:val="en-US" w:eastAsia="zh-CN"/>
        </w:rPr>
        <w:t>无</w:t>
      </w:r>
      <w:r>
        <w:rPr>
          <w:rFonts w:hint="eastAsia" w:ascii="仿宋" w:hAnsi="仿宋" w:eastAsia="仿宋" w:cs="仿宋"/>
          <w:sz w:val="32"/>
          <w:szCs w:val="32"/>
        </w:rPr>
        <w:t>。</w:t>
      </w:r>
    </w:p>
    <w:p>
      <w:pPr>
        <w:spacing w:line="578" w:lineRule="exact"/>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无</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琼海市财政局阳江财政所2024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按照综合预算原则，</w:t>
      </w:r>
      <w:r>
        <w:rPr>
          <w:rFonts w:hint="eastAsia" w:ascii="仿宋" w:hAnsi="仿宋" w:eastAsia="仿宋" w:cs="仿宋"/>
          <w:sz w:val="32"/>
          <w:szCs w:val="32"/>
          <w:lang w:val="en-US" w:eastAsia="zh-CN"/>
        </w:rPr>
        <w:t>琼海市财政局阳江财政所</w:t>
      </w:r>
      <w:r>
        <w:rPr>
          <w:rFonts w:hint="eastAsia" w:ascii="仿宋" w:hAnsi="仿宋" w:eastAsia="仿宋" w:cs="仿宋"/>
          <w:sz w:val="32"/>
          <w:szCs w:val="32"/>
        </w:rPr>
        <w:t>所有收入和支出均纳入部门预算管理。收入包括：一般公共预算收入；支出包括：一般公共服务支出、</w:t>
      </w:r>
      <w:r>
        <w:rPr>
          <w:rFonts w:hint="eastAsia" w:ascii="仿宋_GB2312" w:hAnsi="黑体" w:eastAsia="仿宋_GB2312"/>
          <w:sz w:val="32"/>
          <w:szCs w:val="32"/>
        </w:rPr>
        <w:t>社会保障和就业支出、卫生健康支出、 城乡社区支出</w:t>
      </w:r>
      <w:r>
        <w:rPr>
          <w:rFonts w:hint="eastAsia" w:ascii="仿宋_GB2312" w:hAnsi="黑体" w:eastAsia="仿宋_GB2312"/>
          <w:sz w:val="32"/>
          <w:szCs w:val="32"/>
          <w:lang w:eastAsia="zh-CN"/>
        </w:rPr>
        <w:t>、</w:t>
      </w:r>
      <w:r>
        <w:rPr>
          <w:rFonts w:hint="eastAsia" w:ascii="仿宋_GB2312" w:hAnsi="黑体" w:eastAsia="仿宋_GB2312"/>
          <w:sz w:val="32"/>
          <w:szCs w:val="32"/>
        </w:rPr>
        <w:t>住房保障支出。</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201.61</w:t>
      </w:r>
      <w:r>
        <w:rPr>
          <w:rFonts w:hint="eastAsia" w:ascii="仿宋_GB2312" w:hAnsi="黑体" w:eastAsia="仿宋_GB2312"/>
          <w:sz w:val="32"/>
          <w:szCs w:val="32"/>
        </w:rPr>
        <w:t>万元。</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琼海市财政局阳江财政所2024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琼海市财政局阳江财政所2024</w:t>
      </w:r>
      <w:r>
        <w:rPr>
          <w:rFonts w:hint="eastAsia" w:ascii="仿宋" w:hAnsi="仿宋" w:eastAsia="仿宋" w:cs="仿宋"/>
          <w:sz w:val="32"/>
          <w:szCs w:val="32"/>
        </w:rPr>
        <w:t>年收入预算</w:t>
      </w:r>
      <w:r>
        <w:rPr>
          <w:rFonts w:hint="eastAsia" w:ascii="仿宋" w:hAnsi="仿宋" w:eastAsia="仿宋" w:cs="仿宋"/>
          <w:sz w:val="32"/>
          <w:szCs w:val="32"/>
          <w:lang w:val="en-US" w:eastAsia="zh-CN"/>
        </w:rPr>
        <w:t>201.61</w:t>
      </w:r>
      <w:r>
        <w:rPr>
          <w:rFonts w:hint="eastAsia" w:ascii="仿宋" w:hAnsi="仿宋" w:eastAsia="仿宋" w:cs="仿宋"/>
          <w:sz w:val="32"/>
          <w:szCs w:val="32"/>
        </w:rPr>
        <w:t>万元，其中：经费拨款收入</w:t>
      </w:r>
      <w:r>
        <w:rPr>
          <w:rFonts w:hint="eastAsia" w:ascii="仿宋" w:hAnsi="仿宋" w:eastAsia="仿宋" w:cs="仿宋"/>
          <w:sz w:val="32"/>
          <w:szCs w:val="32"/>
          <w:lang w:val="en-US" w:eastAsia="zh-CN"/>
        </w:rPr>
        <w:t>201.61</w:t>
      </w:r>
      <w:r>
        <w:rPr>
          <w:rFonts w:hint="eastAsia" w:ascii="仿宋" w:hAnsi="仿宋" w:eastAsia="仿宋" w:cs="仿宋"/>
          <w:sz w:val="32"/>
          <w:szCs w:val="32"/>
        </w:rPr>
        <w:t>万元，占</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val="en-US" w:eastAsia="zh-CN"/>
        </w:rPr>
        <w:t>琼海市财政局阳江财政所2024</w:t>
      </w:r>
      <w:r>
        <w:rPr>
          <w:rFonts w:hint="eastAsia" w:ascii="黑体" w:hAnsi="黑体" w:eastAsia="黑体" w:cs="Times New Roman"/>
          <w:sz w:val="32"/>
          <w:shd w:val="clear" w:color="auto" w:fill="FFFFFF"/>
        </w:rPr>
        <w:t>年支出预算情况说明</w:t>
      </w:r>
    </w:p>
    <w:p>
      <w:pPr>
        <w:spacing w:line="578" w:lineRule="exact"/>
        <w:ind w:firstLine="640" w:firstLineChars="200"/>
        <w:rPr>
          <w:rFonts w:hint="eastAsia" w:ascii="仿宋" w:hAnsi="仿宋" w:eastAsia="仿宋" w:cs="仿宋"/>
          <w:sz w:val="32"/>
          <w:szCs w:val="32"/>
        </w:rPr>
      </w:pP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 w:hAnsi="仿宋" w:eastAsia="仿宋" w:cs="仿宋_GB2312"/>
          <w:sz w:val="32"/>
          <w:szCs w:val="32"/>
          <w:lang w:val="en-US" w:eastAsia="zh-CN"/>
        </w:rPr>
        <w:t>2024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201.61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170.29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84.47</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31.32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15.53</w:t>
      </w:r>
      <w:r>
        <w:rPr>
          <w:rFonts w:hint="eastAsia" w:ascii="仿宋_GB2312" w:hAnsi="黑体" w:eastAsia="仿宋_GB2312"/>
          <w:sz w:val="32"/>
          <w:szCs w:val="32"/>
        </w:rPr>
        <w:t>%。比上年预算数</w:t>
      </w:r>
      <w:r>
        <w:rPr>
          <w:rFonts w:hint="eastAsia" w:ascii="仿宋_GB2312" w:hAnsi="黑体" w:eastAsia="仿宋_GB2312" w:cs="仿宋_GB2312"/>
          <w:sz w:val="32"/>
          <w:szCs w:val="32"/>
          <w:highlight w:val="none"/>
          <w:lang w:val="en-US" w:eastAsia="zh-CN"/>
        </w:rPr>
        <w:t>增加0.03</w:t>
      </w:r>
      <w:r>
        <w:rPr>
          <w:rFonts w:hint="eastAsia" w:ascii="仿宋_GB2312" w:hAnsi="黑体" w:eastAsia="仿宋_GB2312"/>
          <w:sz w:val="32"/>
          <w:szCs w:val="32"/>
          <w:highlight w:val="none"/>
        </w:rPr>
        <w:t>万元，主要</w:t>
      </w:r>
      <w:r>
        <w:rPr>
          <w:rFonts w:hint="eastAsia" w:ascii="仿宋_GB2312" w:hAnsi="黑体" w:eastAsia="仿宋_GB2312"/>
          <w:sz w:val="32"/>
          <w:szCs w:val="32"/>
          <w:highlight w:val="none"/>
          <w:lang w:val="en-US" w:eastAsia="zh-CN"/>
        </w:rPr>
        <w:t>一方面一名</w:t>
      </w:r>
      <w:r>
        <w:rPr>
          <w:rFonts w:hint="eastAsia" w:ascii="仿宋_GB2312" w:hAnsi="黑体" w:eastAsia="仿宋_GB2312"/>
          <w:sz w:val="32"/>
          <w:szCs w:val="32"/>
          <w:highlight w:val="none"/>
          <w:lang w:eastAsia="zh-CN"/>
        </w:rPr>
        <w:t>人员退休，</w:t>
      </w:r>
      <w:r>
        <w:rPr>
          <w:rFonts w:hint="eastAsia" w:ascii="仿宋_GB2312" w:hAnsi="黑体" w:eastAsia="仿宋_GB2312"/>
          <w:sz w:val="32"/>
          <w:szCs w:val="32"/>
          <w:highlight w:val="none"/>
          <w:lang w:val="en-US" w:eastAsia="zh-CN"/>
        </w:rPr>
        <w:t>工资社保预算减少；另一方面，在职人员社保基数增加，预算增加，以及公用支出增加，两方面此消彼长，因此两年预算数基本持平</w:t>
      </w:r>
      <w:r>
        <w:rPr>
          <w:rFonts w:hint="eastAsia" w:ascii="仿宋" w:hAnsi="仿宋" w:eastAsia="仿宋" w:cs="仿宋"/>
          <w:sz w:val="32"/>
          <w:szCs w:val="32"/>
        </w:rPr>
        <w:t>。</w:t>
      </w:r>
    </w:p>
    <w:p>
      <w:pPr>
        <w:spacing w:line="578" w:lineRule="exact"/>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12.89</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val="en-US" w:eastAsia="zh-CN"/>
        </w:rPr>
        <w:t>其中，其他车辆1台。</w:t>
      </w:r>
      <w:r>
        <w:rPr>
          <w:rFonts w:hint="eastAsia" w:ascii="仿宋_GB2312" w:hAnsi="黑体" w:eastAsia="仿宋_GB2312" w:cs="仿宋_GB2312"/>
          <w:sz w:val="32"/>
          <w:szCs w:val="32"/>
        </w:rPr>
        <w:t>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spacing w:line="578" w:lineRule="exact"/>
        <w:ind w:firstLine="640" w:firstLineChars="200"/>
        <w:rPr>
          <w:rFonts w:ascii="楷体" w:hAnsi="楷体" w:eastAsia="楷体"/>
          <w:sz w:val="32"/>
          <w:szCs w:val="32"/>
        </w:rPr>
      </w:pPr>
      <w:r>
        <w:rPr>
          <w:rFonts w:hint="eastAsia" w:ascii="楷体" w:hAnsi="楷体" w:eastAsia="楷体"/>
          <w:sz w:val="32"/>
          <w:szCs w:val="32"/>
        </w:rPr>
        <w:t>（四）绩效目标设置情况</w:t>
      </w:r>
    </w:p>
    <w:p>
      <w:pPr>
        <w:spacing w:line="578" w:lineRule="exact"/>
        <w:ind w:firstLine="640" w:firstLineChars="200"/>
        <w:rPr>
          <w:rFonts w:hint="eastAsia" w:ascii="仿宋" w:hAnsi="仿宋" w:eastAsia="仿宋" w:cs="仿宋"/>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 w:hAnsi="仿宋" w:eastAsia="仿宋" w:cs="仿宋_GB2312"/>
          <w:sz w:val="32"/>
          <w:szCs w:val="32"/>
        </w:rPr>
        <w:t>琼海市财政局</w:t>
      </w:r>
      <w:r>
        <w:rPr>
          <w:rFonts w:hint="eastAsia" w:ascii="仿宋" w:hAnsi="仿宋" w:eastAsia="仿宋" w:cs="仿宋_GB2312"/>
          <w:sz w:val="32"/>
          <w:szCs w:val="32"/>
          <w:lang w:eastAsia="zh-CN"/>
        </w:rPr>
        <w:t>阳江</w:t>
      </w:r>
      <w:r>
        <w:rPr>
          <w:rFonts w:hint="eastAsia" w:ascii="仿宋" w:hAnsi="仿宋" w:eastAsia="仿宋" w:cs="仿宋_GB2312"/>
          <w:sz w:val="32"/>
          <w:szCs w:val="32"/>
        </w:rPr>
        <w:t>财政所</w:t>
      </w:r>
      <w:r>
        <w:rPr>
          <w:rFonts w:hint="eastAsia" w:ascii="仿宋_GB2312" w:hAnsi="黑体" w:eastAsia="仿宋_GB2312" w:cs="仿宋_GB2312"/>
          <w:sz w:val="32"/>
          <w:szCs w:val="32"/>
          <w:lang w:val="en-US" w:eastAsia="zh-CN"/>
        </w:rPr>
        <w:t>10</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201.61</w:t>
      </w:r>
      <w:r>
        <w:rPr>
          <w:rFonts w:hint="eastAsia" w:ascii="仿宋_GB2312" w:hAnsi="黑体" w:eastAsia="仿宋_GB2312"/>
          <w:sz w:val="32"/>
          <w:szCs w:val="32"/>
        </w:rPr>
        <w:t>万元</w:t>
      </w:r>
      <w:r>
        <w:rPr>
          <w:rFonts w:hint="eastAsia" w:ascii="仿宋" w:hAnsi="仿宋" w:eastAsia="仿宋" w:cs="仿宋"/>
          <w:sz w:val="32"/>
          <w:szCs w:val="32"/>
        </w:rPr>
        <w:t>。</w:t>
      </w:r>
    </w:p>
    <w:p>
      <w:pPr>
        <w:spacing w:line="578" w:lineRule="exact"/>
        <w:jc w:val="center"/>
        <w:rPr>
          <w:rFonts w:hint="eastAsia" w:ascii="仿宋" w:hAnsi="仿宋" w:eastAsia="仿宋" w:cs="仿宋"/>
          <w:sz w:val="32"/>
          <w:szCs w:val="32"/>
        </w:rPr>
      </w:pPr>
    </w:p>
    <w:p>
      <w:pPr>
        <w:spacing w:line="578" w:lineRule="exact"/>
        <w:jc w:val="left"/>
        <w:rPr>
          <w:rFonts w:hint="eastAsia" w:ascii="仿宋" w:hAnsi="仿宋" w:eastAsia="仿宋" w:cs="仿宋"/>
          <w:color w:val="000000"/>
          <w:kern w:val="0"/>
          <w:sz w:val="32"/>
          <w:szCs w:val="30"/>
        </w:rPr>
      </w:pPr>
    </w:p>
    <w:p>
      <w:pPr>
        <w:spacing w:line="578" w:lineRule="exact"/>
        <w:jc w:val="center"/>
        <w:rPr>
          <w:rFonts w:ascii="黑体" w:hAnsi="黑体" w:eastAsia="黑体"/>
          <w:b w:val="0"/>
          <w:bCs/>
          <w:sz w:val="32"/>
          <w:szCs w:val="32"/>
        </w:rPr>
      </w:pPr>
      <w:r>
        <w:rPr>
          <w:rFonts w:hint="eastAsia" w:ascii="黑体" w:hAnsi="黑体" w:eastAsia="黑体"/>
          <w:b w:val="0"/>
          <w:bCs/>
          <w:sz w:val="32"/>
          <w:szCs w:val="32"/>
        </w:rPr>
        <w:t>第四部分  名词解释</w:t>
      </w:r>
    </w:p>
    <w:p>
      <w:pPr>
        <w:spacing w:line="578" w:lineRule="exact"/>
        <w:ind w:firstLine="640" w:firstLineChars="200"/>
        <w:jc w:val="left"/>
        <w:rPr>
          <w:rFonts w:ascii="仿宋_GB2312" w:eastAsia="仿宋_GB2312" w:cs="宋体"/>
          <w:bCs/>
          <w:color w:val="000000"/>
          <w:kern w:val="0"/>
          <w:sz w:val="32"/>
          <w:szCs w:val="32"/>
          <w:lang w:val="zh-CN"/>
        </w:rPr>
      </w:pP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一、财政拨款收入：指本级财政当年拨付的资金。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二、事业收入：指事业单位开展专业业务活动及辅助活动取得的收入。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三、经营收入：指事业单位在专业业务活动及其辅助活动之外开展非独立核算经营活动取得的收入。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四、其他收入：指除上述“财政拨款收入”“事业收入”“经营收入”等以外的收入。</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五、年初结转和结余：指以前年度尚未完成、结转到本年按有关规定继续使用的资金。</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 xml:space="preserve">六、基本支出：指行政事业单位用于为保障其机构正常运转、完成日常工作任务而发生的人员支出和公用支出。   </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七、工资福利支出：反映单位开支的在职职工和编制外长期聘用人员的各类劳动报酬，以及为上述人员缴纳的各项社会保险费等。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 w:hAnsi="仿宋" w:eastAsia="仿宋" w:cs="仿宋"/>
          <w:color w:val="000000"/>
          <w:kern w:val="0"/>
          <w:sz w:val="32"/>
          <w:szCs w:val="30"/>
          <w:lang w:eastAsia="zh-CN"/>
        </w:rPr>
        <w:t>个人农业生产补贴、代缴社会保险费、</w:t>
      </w:r>
      <w:r>
        <w:rPr>
          <w:rFonts w:hint="eastAsia" w:ascii="仿宋" w:hAnsi="仿宋" w:eastAsia="仿宋" w:cs="仿宋"/>
          <w:color w:val="000000"/>
          <w:kern w:val="0"/>
          <w:sz w:val="32"/>
          <w:szCs w:val="30"/>
        </w:rPr>
        <w:t>其他等。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九、商品和服务支出：反映单位购买商品和服务的支出，包括办公费、</w:t>
      </w:r>
      <w:r>
        <w:rPr>
          <w:rFonts w:hint="eastAsia" w:ascii="仿宋" w:hAnsi="仿宋" w:eastAsia="仿宋" w:cs="仿宋"/>
          <w:color w:val="000000"/>
          <w:kern w:val="0"/>
          <w:sz w:val="32"/>
          <w:szCs w:val="30"/>
          <w:lang w:eastAsia="zh-CN"/>
        </w:rPr>
        <w:t>印刷费、咨询费、手续费、</w:t>
      </w:r>
      <w:r>
        <w:rPr>
          <w:rFonts w:hint="eastAsia" w:ascii="仿宋" w:hAnsi="仿宋" w:eastAsia="仿宋" w:cs="仿宋"/>
          <w:color w:val="000000"/>
          <w:kern w:val="0"/>
          <w:sz w:val="32"/>
          <w:szCs w:val="30"/>
        </w:rPr>
        <w:t>水费、电费、邮电费、</w:t>
      </w:r>
      <w:r>
        <w:rPr>
          <w:rFonts w:hint="eastAsia" w:ascii="仿宋" w:hAnsi="仿宋" w:eastAsia="仿宋" w:cs="仿宋"/>
          <w:color w:val="000000"/>
          <w:kern w:val="0"/>
          <w:sz w:val="32"/>
          <w:szCs w:val="30"/>
          <w:lang w:eastAsia="zh-CN"/>
        </w:rPr>
        <w:t>取暖费、物业管理费、</w:t>
      </w:r>
      <w:r>
        <w:rPr>
          <w:rFonts w:hint="eastAsia" w:ascii="仿宋" w:hAnsi="仿宋" w:eastAsia="仿宋" w:cs="仿宋"/>
          <w:color w:val="000000"/>
          <w:kern w:val="0"/>
          <w:sz w:val="32"/>
          <w:szCs w:val="30"/>
        </w:rPr>
        <w:t>差旅费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因公出国（境）费用</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维修（护）费、</w:t>
      </w:r>
      <w:r>
        <w:rPr>
          <w:rFonts w:hint="eastAsia" w:ascii="仿宋" w:hAnsi="仿宋" w:eastAsia="仿宋" w:cs="仿宋"/>
          <w:color w:val="000000"/>
          <w:kern w:val="0"/>
          <w:sz w:val="32"/>
          <w:szCs w:val="30"/>
          <w:lang w:eastAsia="zh-CN"/>
        </w:rPr>
        <w:t>租赁费、</w:t>
      </w:r>
      <w:r>
        <w:rPr>
          <w:rFonts w:hint="eastAsia" w:ascii="仿宋" w:hAnsi="仿宋" w:eastAsia="仿宋" w:cs="仿宋"/>
          <w:color w:val="000000"/>
          <w:kern w:val="0"/>
          <w:sz w:val="32"/>
          <w:szCs w:val="30"/>
        </w:rPr>
        <w:t>会议费、培训费、公务接待费、</w:t>
      </w:r>
      <w:r>
        <w:rPr>
          <w:rFonts w:hint="eastAsia" w:ascii="仿宋" w:hAnsi="仿宋" w:eastAsia="仿宋" w:cs="仿宋"/>
          <w:color w:val="000000"/>
          <w:kern w:val="0"/>
          <w:sz w:val="32"/>
          <w:szCs w:val="30"/>
          <w:lang w:eastAsia="zh-CN"/>
        </w:rPr>
        <w:t>专用材料费、被装购置费、专用燃料费、劳务费、委托业务费</w:t>
      </w:r>
      <w:r>
        <w:rPr>
          <w:rFonts w:hint="eastAsia" w:ascii="仿宋" w:hAnsi="仿宋" w:eastAsia="仿宋" w:cs="仿宋"/>
          <w:color w:val="000000"/>
          <w:kern w:val="0"/>
          <w:sz w:val="32"/>
          <w:szCs w:val="30"/>
        </w:rPr>
        <w:t>、工会经费</w:t>
      </w:r>
      <w:r>
        <w:rPr>
          <w:rFonts w:hint="eastAsia" w:ascii="仿宋" w:hAnsi="仿宋" w:eastAsia="仿宋" w:cs="仿宋"/>
          <w:color w:val="000000"/>
          <w:kern w:val="0"/>
          <w:sz w:val="32"/>
          <w:szCs w:val="30"/>
          <w:lang w:eastAsia="zh-CN"/>
        </w:rPr>
        <w:t>、</w:t>
      </w:r>
      <w:r>
        <w:rPr>
          <w:rFonts w:hint="eastAsia" w:ascii="仿宋" w:hAnsi="仿宋" w:eastAsia="仿宋" w:cs="仿宋"/>
          <w:color w:val="000000"/>
          <w:kern w:val="0"/>
          <w:sz w:val="32"/>
          <w:szCs w:val="30"/>
        </w:rPr>
        <w:t>福利费、公务用车运行维护费、</w:t>
      </w:r>
      <w:r>
        <w:rPr>
          <w:rFonts w:hint="eastAsia" w:ascii="仿宋" w:hAnsi="仿宋" w:eastAsia="仿宋" w:cs="仿宋"/>
          <w:color w:val="000000"/>
          <w:kern w:val="0"/>
          <w:sz w:val="32"/>
          <w:szCs w:val="30"/>
          <w:lang w:eastAsia="zh-CN"/>
        </w:rPr>
        <w:t>其他交通费用、税金及附加费用、</w:t>
      </w:r>
      <w:r>
        <w:rPr>
          <w:rFonts w:hint="eastAsia" w:ascii="仿宋" w:hAnsi="仿宋" w:eastAsia="仿宋" w:cs="仿宋"/>
          <w:color w:val="000000"/>
          <w:kern w:val="0"/>
          <w:sz w:val="32"/>
          <w:szCs w:val="30"/>
        </w:rPr>
        <w:t>其他</w:t>
      </w:r>
      <w:r>
        <w:rPr>
          <w:rFonts w:hint="eastAsia" w:ascii="仿宋" w:hAnsi="仿宋" w:eastAsia="仿宋" w:cs="仿宋"/>
          <w:color w:val="000000"/>
          <w:kern w:val="0"/>
          <w:sz w:val="32"/>
          <w:szCs w:val="30"/>
          <w:lang w:eastAsia="zh-CN"/>
        </w:rPr>
        <w:t>商品和服务支出</w:t>
      </w:r>
      <w:r>
        <w:rPr>
          <w:rFonts w:hint="eastAsia" w:ascii="仿宋" w:hAnsi="仿宋" w:eastAsia="仿宋" w:cs="仿宋"/>
          <w:color w:val="000000"/>
          <w:kern w:val="0"/>
          <w:sz w:val="32"/>
          <w:szCs w:val="30"/>
        </w:rPr>
        <w:t>等。</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十、项目支出：指各部门、各单位为完成其特定的工作任务和事业发展目标所发生的支出。</w:t>
      </w:r>
    </w:p>
    <w:p>
      <w:pPr>
        <w:spacing w:line="578" w:lineRule="exact"/>
        <w:ind w:firstLine="640" w:firstLineChars="200"/>
        <w:jc w:val="left"/>
        <w:rPr>
          <w:rFonts w:hint="eastAsia" w:ascii="仿宋" w:hAnsi="仿宋" w:eastAsia="仿宋" w:cs="仿宋"/>
          <w:color w:val="000000"/>
          <w:kern w:val="0"/>
          <w:sz w:val="32"/>
          <w:szCs w:val="30"/>
        </w:rPr>
      </w:pPr>
      <w:r>
        <w:rPr>
          <w:rFonts w:hint="eastAsia" w:ascii="仿宋" w:hAnsi="仿宋" w:eastAsia="仿宋" w:cs="仿宋"/>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 w:hAnsi="仿宋" w:eastAsia="仿宋" w:cs="仿宋"/>
          <w:color w:val="000000"/>
          <w:kern w:val="0"/>
          <w:sz w:val="32"/>
          <w:szCs w:val="30"/>
          <w:lang w:eastAsia="zh-CN"/>
        </w:rPr>
        <w:t>、牌照费</w:t>
      </w:r>
      <w:r>
        <w:rPr>
          <w:rFonts w:hint="eastAsia" w:ascii="仿宋" w:hAnsi="仿宋" w:eastAsia="仿宋" w:cs="仿宋"/>
          <w:color w:val="000000"/>
          <w:kern w:val="0"/>
          <w:sz w:val="32"/>
          <w:szCs w:val="30"/>
        </w:rPr>
        <w:t>）及燃料费、维修费、过路过桥费、保险费、安全奖励费用等支出；公务接待费指单位按规定开支的各类公务接待（含外宾接待）</w:t>
      </w:r>
      <w:r>
        <w:rPr>
          <w:rFonts w:hint="eastAsia" w:ascii="仿宋" w:hAnsi="仿宋" w:eastAsia="仿宋" w:cs="仿宋"/>
          <w:color w:val="000000"/>
          <w:kern w:val="0"/>
          <w:sz w:val="32"/>
          <w:szCs w:val="30"/>
          <w:lang w:eastAsia="zh-CN"/>
        </w:rPr>
        <w:t>费用等支出</w:t>
      </w:r>
      <w:r>
        <w:rPr>
          <w:rFonts w:hint="eastAsia" w:ascii="仿宋" w:hAnsi="仿宋" w:eastAsia="仿宋" w:cs="仿宋"/>
          <w:color w:val="000000"/>
          <w:kern w:val="0"/>
          <w:sz w:val="32"/>
          <w:szCs w:val="30"/>
        </w:rPr>
        <w:t>。</w:t>
      </w:r>
    </w:p>
    <w:p>
      <w:pPr>
        <w:spacing w:line="578" w:lineRule="exact"/>
        <w:ind w:firstLine="640" w:firstLineChars="200"/>
        <w:jc w:val="left"/>
        <w:rPr>
          <w:rFonts w:ascii="仿宋_GB2312" w:hAnsi="黑体" w:eastAsia="仿宋_GB2312" w:cs="仿宋_GB2312"/>
          <w:sz w:val="32"/>
          <w:szCs w:val="32"/>
        </w:rPr>
      </w:pPr>
      <w:r>
        <w:rPr>
          <w:rFonts w:hint="eastAsia" w:ascii="仿宋" w:hAnsi="仿宋" w:eastAsia="仿宋" w:cs="仿宋"/>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220" w:lineRule="atLeast"/>
      </w:pPr>
    </w:p>
    <w:sectPr>
      <w:footerReference r:id="rId7" w:type="default"/>
      <w:pgSz w:w="11906" w:h="16838"/>
      <w:pgMar w:top="2098" w:right="1474" w:bottom="1984" w:left="1587" w:header="851" w:footer="1587" w:gutter="0"/>
      <w:pgNumType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2NTE5ZDVhMDA1YzYzNmU4YjA4OWU5OTU1NTc0NTcifQ=="/>
  </w:docVars>
  <w:rsids>
    <w:rsidRoot w:val="00D31D50"/>
    <w:rsid w:val="00323B43"/>
    <w:rsid w:val="003D37D8"/>
    <w:rsid w:val="00426133"/>
    <w:rsid w:val="004358AB"/>
    <w:rsid w:val="008B2DE5"/>
    <w:rsid w:val="008B7726"/>
    <w:rsid w:val="00A33BCF"/>
    <w:rsid w:val="00D31D50"/>
    <w:rsid w:val="019C09DA"/>
    <w:rsid w:val="028D337C"/>
    <w:rsid w:val="045F6D76"/>
    <w:rsid w:val="07EA01C5"/>
    <w:rsid w:val="091C39F7"/>
    <w:rsid w:val="0AD01D50"/>
    <w:rsid w:val="0B0629BC"/>
    <w:rsid w:val="0C045454"/>
    <w:rsid w:val="0C2A044F"/>
    <w:rsid w:val="0D230031"/>
    <w:rsid w:val="0DE02C57"/>
    <w:rsid w:val="0DE325EB"/>
    <w:rsid w:val="0FAA6B7D"/>
    <w:rsid w:val="0FFF2167"/>
    <w:rsid w:val="10AF222B"/>
    <w:rsid w:val="113F5831"/>
    <w:rsid w:val="12B46673"/>
    <w:rsid w:val="14C945DB"/>
    <w:rsid w:val="15396F94"/>
    <w:rsid w:val="17010F21"/>
    <w:rsid w:val="17155E95"/>
    <w:rsid w:val="1BC72D6C"/>
    <w:rsid w:val="22081949"/>
    <w:rsid w:val="24C8689B"/>
    <w:rsid w:val="255E32F5"/>
    <w:rsid w:val="274F5B4F"/>
    <w:rsid w:val="279248C8"/>
    <w:rsid w:val="2C9D4B6F"/>
    <w:rsid w:val="2CCD64E8"/>
    <w:rsid w:val="2E41718E"/>
    <w:rsid w:val="2FA568C1"/>
    <w:rsid w:val="321C2315"/>
    <w:rsid w:val="346375DB"/>
    <w:rsid w:val="34E00D83"/>
    <w:rsid w:val="355157DD"/>
    <w:rsid w:val="358F5BF0"/>
    <w:rsid w:val="38A130A5"/>
    <w:rsid w:val="3A306E97"/>
    <w:rsid w:val="3A670C82"/>
    <w:rsid w:val="3C01096F"/>
    <w:rsid w:val="3C2D6106"/>
    <w:rsid w:val="3EEB6AB7"/>
    <w:rsid w:val="4271639A"/>
    <w:rsid w:val="44112320"/>
    <w:rsid w:val="47D10791"/>
    <w:rsid w:val="49BA2FC4"/>
    <w:rsid w:val="4A42420A"/>
    <w:rsid w:val="4B757AF8"/>
    <w:rsid w:val="4EAA69CE"/>
    <w:rsid w:val="4EBB12D3"/>
    <w:rsid w:val="4FC00FFA"/>
    <w:rsid w:val="534044C4"/>
    <w:rsid w:val="534E5E76"/>
    <w:rsid w:val="5363126C"/>
    <w:rsid w:val="556829A3"/>
    <w:rsid w:val="57A42114"/>
    <w:rsid w:val="5AD9345E"/>
    <w:rsid w:val="5B472E3C"/>
    <w:rsid w:val="5BB71F8E"/>
    <w:rsid w:val="62896230"/>
    <w:rsid w:val="668E0EC9"/>
    <w:rsid w:val="66CF23D6"/>
    <w:rsid w:val="67281559"/>
    <w:rsid w:val="67BF46A4"/>
    <w:rsid w:val="6B92434F"/>
    <w:rsid w:val="6D192556"/>
    <w:rsid w:val="6EF62DB2"/>
    <w:rsid w:val="727871FE"/>
    <w:rsid w:val="74C94E9D"/>
    <w:rsid w:val="77292348"/>
    <w:rsid w:val="77C716BC"/>
    <w:rsid w:val="783469E8"/>
    <w:rsid w:val="7B1D3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 w:type="paragraph" w:customStyle="1" w:styleId="6">
    <w:name w:val="List Paragraph_8bb30b41-7097-446e-a156-2f1396e1d67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3212</Words>
  <Characters>3517</Characters>
  <Lines>1</Lines>
  <Paragraphs>1</Paragraphs>
  <TotalTime>1</TotalTime>
  <ScaleCrop>false</ScaleCrop>
  <LinksUpToDate>false</LinksUpToDate>
  <CharactersWithSpaces>3539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醣丝</cp:lastModifiedBy>
  <dcterms:modified xsi:type="dcterms:W3CDTF">2024-03-26T07:54:07Z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3E1AB54C4369478B94E0429655D6617B_13</vt:lpwstr>
  </property>
</Properties>
</file>